
<file path=[Content_Types].xml><?xml version="1.0" encoding="utf-8"?>
<Types xmlns="http://schemas.openxmlformats.org/package/2006/content-types">
  <Default Extension="xml" ContentType="application/xml"/>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eastAsia="仿宋_GB2312"/>
          <w:sz w:val="36"/>
          <w:szCs w:val="36"/>
        </w:rPr>
      </w:pPr>
      <w:bookmarkStart w:id="0" w:name="_Hlk57883707"/>
    </w:p>
    <w:p>
      <w:pPr>
        <w:rPr>
          <w:rFonts w:eastAsia="仿宋_GB2312"/>
          <w:sz w:val="36"/>
          <w:szCs w:val="36"/>
        </w:rPr>
      </w:pPr>
    </w:p>
    <w:p>
      <w:pPr>
        <w:rPr>
          <w:rFonts w:eastAsia="仿宋_GB2312"/>
          <w:sz w:val="36"/>
          <w:szCs w:val="36"/>
        </w:rPr>
      </w:pPr>
    </w:p>
    <w:p>
      <w:pPr>
        <w:rPr>
          <w:rFonts w:eastAsia="仿宋_GB2312"/>
          <w:sz w:val="36"/>
          <w:szCs w:val="36"/>
        </w:rPr>
      </w:pPr>
    </w:p>
    <w:bookmarkEnd w:id="0"/>
    <w:p>
      <w:pPr>
        <w:adjustRightInd w:val="0"/>
        <w:snapToGrid w:val="0"/>
        <w:jc w:val="center"/>
        <w:outlineLvl w:val="0"/>
        <w:rPr>
          <w:rFonts w:eastAsia="方正小标宋_GBK"/>
          <w:bCs/>
          <w:sz w:val="72"/>
          <w:szCs w:val="72"/>
        </w:rPr>
      </w:pPr>
      <w:r>
        <w:rPr>
          <w:rFonts w:eastAsia="方正小标宋_GBK"/>
          <w:bCs/>
          <w:sz w:val="72"/>
          <w:szCs w:val="72"/>
        </w:rPr>
        <w:t>建设项目环境影响报告表</w:t>
      </w:r>
    </w:p>
    <w:p>
      <w:pPr>
        <w:adjustRightInd w:val="0"/>
        <w:snapToGrid w:val="0"/>
        <w:spacing w:before="192" w:beforeLines="80"/>
        <w:jc w:val="center"/>
        <w:rPr>
          <w:rFonts w:eastAsia="楷体_GB2312"/>
          <w:bCs/>
          <w:sz w:val="48"/>
          <w:szCs w:val="48"/>
        </w:rPr>
      </w:pPr>
      <w:r>
        <w:rPr>
          <w:rFonts w:eastAsia="楷体_GB2312"/>
          <w:bCs/>
          <w:sz w:val="48"/>
          <w:szCs w:val="48"/>
        </w:rPr>
        <w:t>（生态影响类）</w:t>
      </w:r>
    </w:p>
    <w:p>
      <w:pPr>
        <w:adjustRightInd w:val="0"/>
        <w:snapToGrid w:val="0"/>
        <w:spacing w:line="288" w:lineRule="auto"/>
        <w:jc w:val="center"/>
        <w:rPr>
          <w:rFonts w:eastAsia="华文仿宋"/>
          <w:kern w:val="44"/>
          <w:sz w:val="52"/>
          <w:szCs w:val="52"/>
        </w:rPr>
      </w:pPr>
      <w:bookmarkStart w:id="1" w:name="_Hlk57883728"/>
    </w:p>
    <w:p>
      <w:pPr>
        <w:jc w:val="center"/>
        <w:rPr>
          <w:rFonts w:eastAsia="仿宋"/>
          <w:sz w:val="52"/>
          <w:szCs w:val="52"/>
        </w:rPr>
      </w:pPr>
    </w:p>
    <w:p>
      <w:pPr>
        <w:ind w:firstLine="1040"/>
        <w:rPr>
          <w:rFonts w:eastAsia="仿宋"/>
          <w:sz w:val="52"/>
          <w:szCs w:val="52"/>
        </w:rPr>
      </w:pPr>
    </w:p>
    <w:p>
      <w:pPr>
        <w:ind w:firstLine="1040"/>
        <w:rPr>
          <w:rFonts w:eastAsia="仿宋"/>
          <w:sz w:val="52"/>
          <w:szCs w:val="52"/>
        </w:rPr>
      </w:pPr>
    </w:p>
    <w:p>
      <w:pPr>
        <w:ind w:firstLine="1040"/>
        <w:rPr>
          <w:rFonts w:eastAsia="仿宋"/>
          <w:sz w:val="52"/>
          <w:szCs w:val="52"/>
        </w:rPr>
      </w:pPr>
    </w:p>
    <w:p>
      <w:pPr>
        <w:ind w:firstLine="1040"/>
        <w:rPr>
          <w:rFonts w:eastAsia="仿宋"/>
          <w:sz w:val="52"/>
          <w:szCs w:val="52"/>
        </w:rPr>
      </w:pPr>
    </w:p>
    <w:bookmarkEnd w:id="1"/>
    <w:p>
      <w:pPr>
        <w:adjustRightInd w:val="0"/>
        <w:snapToGrid w:val="0"/>
        <w:spacing w:line="288" w:lineRule="auto"/>
        <w:ind w:firstLine="360" w:firstLineChars="100"/>
        <w:rPr>
          <w:rFonts w:eastAsia="仿宋_GB2312"/>
          <w:sz w:val="36"/>
          <w:szCs w:val="36"/>
          <w:u w:val="single"/>
        </w:rPr>
      </w:pPr>
      <w:r>
        <w:rPr>
          <w:rFonts w:eastAsia="仿宋_GB2312"/>
          <w:sz w:val="36"/>
          <w:szCs w:val="36"/>
        </w:rPr>
        <w:t>项目名称：</w:t>
      </w:r>
      <w:r>
        <w:rPr>
          <w:rFonts w:eastAsia="仿宋_GB2312"/>
          <w:sz w:val="36"/>
          <w:szCs w:val="36"/>
          <w:u w:val="single"/>
        </w:rPr>
        <w:t xml:space="preserve">         平安101井钻井工程     </w:t>
      </w:r>
    </w:p>
    <w:p>
      <w:pPr>
        <w:adjustRightInd w:val="0"/>
        <w:snapToGrid w:val="0"/>
        <w:spacing w:line="288" w:lineRule="auto"/>
        <w:ind w:firstLine="360" w:firstLineChars="100"/>
        <w:rPr>
          <w:rFonts w:eastAsia="仿宋_GB2312"/>
          <w:sz w:val="36"/>
          <w:szCs w:val="36"/>
          <w:u w:val="single"/>
        </w:rPr>
      </w:pPr>
      <w:r>
        <w:rPr>
          <w:rFonts w:eastAsia="仿宋_GB2312"/>
          <w:sz w:val="36"/>
          <w:szCs w:val="36"/>
        </w:rPr>
        <w:t>建设单位：</w:t>
      </w:r>
      <w:bookmarkStart w:id="2" w:name="_Hlk66954754"/>
      <w:r>
        <w:rPr>
          <w:rFonts w:eastAsia="仿宋_GB2312"/>
          <w:sz w:val="36"/>
          <w:szCs w:val="36"/>
          <w:u w:val="single"/>
        </w:rPr>
        <w:t xml:space="preserve">       大庆油田有限责任公司</w:t>
      </w:r>
      <w:bookmarkEnd w:id="2"/>
      <w:r>
        <w:rPr>
          <w:rFonts w:eastAsia="仿宋_GB2312"/>
          <w:sz w:val="36"/>
          <w:szCs w:val="36"/>
          <w:u w:val="single"/>
        </w:rPr>
        <w:t xml:space="preserve">     </w:t>
      </w:r>
    </w:p>
    <w:p>
      <w:pPr>
        <w:adjustRightInd w:val="0"/>
        <w:snapToGrid w:val="0"/>
        <w:spacing w:line="288" w:lineRule="auto"/>
        <w:ind w:firstLine="360" w:firstLineChars="100"/>
        <w:rPr>
          <w:rFonts w:eastAsia="仿宋_GB2312"/>
          <w:sz w:val="36"/>
          <w:szCs w:val="36"/>
          <w:u w:val="single"/>
        </w:rPr>
      </w:pPr>
      <w:r>
        <w:rPr>
          <w:rFonts w:eastAsia="仿宋_GB2312"/>
          <w:sz w:val="36"/>
          <w:szCs w:val="36"/>
        </w:rPr>
        <w:t>编制日期：</w:t>
      </w:r>
      <w:r>
        <w:rPr>
          <w:rFonts w:eastAsia="仿宋_GB2312"/>
          <w:sz w:val="36"/>
          <w:szCs w:val="36"/>
          <w:u w:val="single"/>
        </w:rPr>
        <w:t xml:space="preserve">         2022年10月            </w:t>
      </w:r>
    </w:p>
    <w:p>
      <w:pPr>
        <w:adjustRightInd w:val="0"/>
        <w:snapToGrid w:val="0"/>
        <w:spacing w:line="288" w:lineRule="auto"/>
        <w:ind w:firstLine="1040"/>
        <w:rPr>
          <w:rFonts w:eastAsia="仿宋_GB2312"/>
          <w:sz w:val="36"/>
          <w:szCs w:val="36"/>
          <w:u w:val="single"/>
        </w:rPr>
      </w:pPr>
    </w:p>
    <w:p>
      <w:pPr>
        <w:adjustRightInd w:val="0"/>
        <w:snapToGrid w:val="0"/>
        <w:spacing w:line="288" w:lineRule="auto"/>
        <w:ind w:firstLine="1040"/>
        <w:rPr>
          <w:rFonts w:eastAsia="仿宋_GB2312"/>
          <w:sz w:val="36"/>
          <w:szCs w:val="36"/>
        </w:rPr>
      </w:pPr>
    </w:p>
    <w:p>
      <w:pPr>
        <w:adjustRightInd w:val="0"/>
        <w:snapToGrid w:val="0"/>
        <w:spacing w:line="288" w:lineRule="auto"/>
        <w:ind w:firstLine="1040"/>
        <w:rPr>
          <w:rFonts w:eastAsia="仿宋_GB2312"/>
          <w:sz w:val="36"/>
          <w:szCs w:val="36"/>
        </w:rPr>
      </w:pPr>
    </w:p>
    <w:p>
      <w:pPr>
        <w:adjustRightInd w:val="0"/>
        <w:snapToGrid w:val="0"/>
        <w:spacing w:line="288" w:lineRule="auto"/>
        <w:ind w:firstLine="1040"/>
        <w:rPr>
          <w:rFonts w:eastAsia="仿宋_GB2312"/>
          <w:sz w:val="36"/>
          <w:szCs w:val="36"/>
        </w:rPr>
      </w:pPr>
    </w:p>
    <w:p>
      <w:pPr>
        <w:adjustRightInd w:val="0"/>
        <w:snapToGrid w:val="0"/>
        <w:spacing w:line="288" w:lineRule="auto"/>
        <w:ind w:firstLine="1040"/>
        <w:rPr>
          <w:rFonts w:eastAsia="仿宋_GB2312"/>
          <w:sz w:val="36"/>
          <w:szCs w:val="36"/>
        </w:rPr>
      </w:pPr>
    </w:p>
    <w:p>
      <w:pPr>
        <w:adjustRightInd w:val="0"/>
        <w:snapToGrid w:val="0"/>
        <w:spacing w:line="288" w:lineRule="auto"/>
        <w:jc w:val="center"/>
        <w:rPr>
          <w:rFonts w:eastAsia="楷体_GB2312"/>
          <w:sz w:val="36"/>
          <w:szCs w:val="36"/>
        </w:rPr>
      </w:pPr>
      <w:r>
        <w:rPr>
          <w:rFonts w:eastAsia="楷体_GB2312"/>
          <w:sz w:val="36"/>
          <w:szCs w:val="36"/>
        </w:rPr>
        <w:t>中华人民共和国生态环境部制</w:t>
      </w:r>
    </w:p>
    <w:p>
      <w:pPr>
        <w:adjustRightInd w:val="0"/>
        <w:snapToGrid w:val="0"/>
        <w:spacing w:line="288" w:lineRule="auto"/>
        <w:ind w:firstLine="1040"/>
        <w:rPr>
          <w:rFonts w:eastAsia="仿宋_GB2312"/>
          <w:szCs w:val="21"/>
        </w:rPr>
        <w:sectPr>
          <w:footerReference r:id="rId3" w:type="default"/>
          <w:footerReference r:id="rId4" w:type="even"/>
          <w:pgSz w:w="11906" w:h="16838"/>
          <w:pgMar w:top="1701" w:right="1531" w:bottom="1701" w:left="1531" w:header="851" w:footer="1077" w:gutter="0"/>
          <w:pgNumType w:start="1"/>
          <w:cols w:space="720" w:num="1"/>
          <w:docGrid w:linePitch="312" w:charSpace="0"/>
        </w:sectPr>
      </w:pPr>
    </w:p>
    <w:p>
      <w:pPr>
        <w:pStyle w:val="36"/>
        <w:jc w:val="center"/>
        <w:outlineLvl w:val="0"/>
        <w:rPr>
          <w:rFonts w:ascii="Times New Roman" w:hAnsi="Times New Roman" w:eastAsia="黑体"/>
          <w:snapToGrid w:val="0"/>
          <w:sz w:val="30"/>
          <w:szCs w:val="30"/>
        </w:rPr>
      </w:pPr>
      <w:r>
        <w:rPr>
          <w:rFonts w:ascii="Times New Roman" w:hAnsi="Times New Roman" w:eastAsia="黑体"/>
          <w:snapToGrid w:val="0"/>
          <w:sz w:val="30"/>
          <w:szCs w:val="30"/>
        </w:rPr>
        <w:t>一、建设项目基本情况</w:t>
      </w:r>
    </w:p>
    <w:tbl>
      <w:tblPr>
        <w:tblStyle w:val="42"/>
        <w:tblW w:w="8789" w:type="dxa"/>
        <w:tblInd w:w="16"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134"/>
        <w:gridCol w:w="3135"/>
        <w:gridCol w:w="1968"/>
        <w:gridCol w:w="255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2" w:hRule="atLeast"/>
        </w:trPr>
        <w:tc>
          <w:tcPr>
            <w:tcW w:w="1134" w:type="dxa"/>
            <w:tcMar>
              <w:top w:w="16" w:type="dxa"/>
              <w:left w:w="16" w:type="dxa"/>
              <w:right w:w="16" w:type="dxa"/>
            </w:tcMar>
            <w:vAlign w:val="center"/>
          </w:tcPr>
          <w:p>
            <w:pPr>
              <w:adjustRightInd w:val="0"/>
              <w:snapToGrid w:val="0"/>
              <w:jc w:val="center"/>
              <w:rPr>
                <w:szCs w:val="21"/>
              </w:rPr>
            </w:pPr>
            <w:r>
              <w:rPr>
                <w:szCs w:val="21"/>
              </w:rPr>
              <w:t>建设项目名称</w:t>
            </w:r>
          </w:p>
        </w:tc>
        <w:tc>
          <w:tcPr>
            <w:tcW w:w="7655" w:type="dxa"/>
            <w:gridSpan w:val="3"/>
            <w:vAlign w:val="center"/>
          </w:tcPr>
          <w:p>
            <w:pPr>
              <w:adjustRightInd w:val="0"/>
              <w:snapToGrid w:val="0"/>
              <w:jc w:val="center"/>
              <w:rPr>
                <w:szCs w:val="21"/>
              </w:rPr>
            </w:pPr>
            <w:r>
              <w:rPr>
                <w:szCs w:val="21"/>
              </w:rPr>
              <w:t>平安101井钻井工程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55" w:hRule="atLeast"/>
        </w:trPr>
        <w:tc>
          <w:tcPr>
            <w:tcW w:w="1134" w:type="dxa"/>
            <w:tcMar>
              <w:top w:w="16" w:type="dxa"/>
              <w:left w:w="16" w:type="dxa"/>
              <w:right w:w="16" w:type="dxa"/>
            </w:tcMar>
            <w:vAlign w:val="center"/>
          </w:tcPr>
          <w:p>
            <w:pPr>
              <w:adjustRightInd w:val="0"/>
              <w:snapToGrid w:val="0"/>
              <w:jc w:val="center"/>
              <w:rPr>
                <w:szCs w:val="21"/>
              </w:rPr>
            </w:pPr>
            <w:r>
              <w:rPr>
                <w:szCs w:val="21"/>
              </w:rPr>
              <w:t>项目代码</w:t>
            </w:r>
          </w:p>
        </w:tc>
        <w:tc>
          <w:tcPr>
            <w:tcW w:w="7655" w:type="dxa"/>
            <w:gridSpan w:val="3"/>
            <w:vAlign w:val="center"/>
          </w:tcPr>
          <w:p>
            <w:pPr>
              <w:adjustRightInd w:val="0"/>
              <w:snapToGrid w:val="0"/>
              <w:jc w:val="center"/>
              <w:rPr>
                <w:szCs w:val="21"/>
              </w:rPr>
            </w:pPr>
            <w:r>
              <w:rPr>
                <w:szCs w:val="21"/>
              </w:rPr>
              <w:t>2207-511702-04-01-709960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2" w:hRule="atLeast"/>
        </w:trPr>
        <w:tc>
          <w:tcPr>
            <w:tcW w:w="1134" w:type="dxa"/>
            <w:tcMar>
              <w:top w:w="16" w:type="dxa"/>
              <w:left w:w="16" w:type="dxa"/>
              <w:right w:w="16" w:type="dxa"/>
            </w:tcMar>
            <w:vAlign w:val="center"/>
          </w:tcPr>
          <w:p>
            <w:pPr>
              <w:adjustRightInd w:val="0"/>
              <w:snapToGrid w:val="0"/>
              <w:jc w:val="center"/>
              <w:rPr>
                <w:szCs w:val="21"/>
              </w:rPr>
            </w:pPr>
            <w:r>
              <w:rPr>
                <w:szCs w:val="21"/>
              </w:rPr>
              <w:t>建设单位联系人</w:t>
            </w:r>
          </w:p>
        </w:tc>
        <w:tc>
          <w:tcPr>
            <w:tcW w:w="3135" w:type="dxa"/>
            <w:vAlign w:val="center"/>
          </w:tcPr>
          <w:p>
            <w:pPr>
              <w:adjustRightInd w:val="0"/>
              <w:snapToGrid w:val="0"/>
              <w:jc w:val="center"/>
              <w:rPr>
                <w:szCs w:val="21"/>
              </w:rPr>
            </w:pPr>
            <w:r>
              <w:rPr>
                <w:szCs w:val="21"/>
              </w:rPr>
              <w:t>黄明洋</w:t>
            </w:r>
          </w:p>
        </w:tc>
        <w:tc>
          <w:tcPr>
            <w:tcW w:w="1968" w:type="dxa"/>
            <w:vAlign w:val="center"/>
          </w:tcPr>
          <w:p>
            <w:pPr>
              <w:adjustRightInd w:val="0"/>
              <w:snapToGrid w:val="0"/>
              <w:jc w:val="center"/>
              <w:rPr>
                <w:szCs w:val="21"/>
              </w:rPr>
            </w:pPr>
            <w:r>
              <w:rPr>
                <w:szCs w:val="21"/>
              </w:rPr>
              <w:t>联系方式</w:t>
            </w:r>
          </w:p>
        </w:tc>
        <w:tc>
          <w:tcPr>
            <w:tcW w:w="2552" w:type="dxa"/>
            <w:vAlign w:val="center"/>
          </w:tcPr>
          <w:p>
            <w:pPr>
              <w:adjustRightInd w:val="0"/>
              <w:snapToGrid w:val="0"/>
              <w:jc w:val="center"/>
              <w:rPr>
                <w:szCs w:val="21"/>
              </w:rPr>
            </w:pPr>
            <w:r>
              <w:rPr>
                <w:szCs w:val="21"/>
              </w:rPr>
              <w:t>18181117227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2" w:hRule="atLeast"/>
        </w:trPr>
        <w:tc>
          <w:tcPr>
            <w:tcW w:w="1134" w:type="dxa"/>
            <w:tcMar>
              <w:top w:w="16" w:type="dxa"/>
              <w:left w:w="16" w:type="dxa"/>
              <w:right w:w="16" w:type="dxa"/>
            </w:tcMar>
            <w:vAlign w:val="center"/>
          </w:tcPr>
          <w:p>
            <w:pPr>
              <w:adjustRightInd w:val="0"/>
              <w:snapToGrid w:val="0"/>
              <w:jc w:val="center"/>
              <w:rPr>
                <w:szCs w:val="21"/>
              </w:rPr>
            </w:pPr>
            <w:r>
              <w:rPr>
                <w:szCs w:val="21"/>
              </w:rPr>
              <w:t>建设地点</w:t>
            </w:r>
          </w:p>
        </w:tc>
        <w:tc>
          <w:tcPr>
            <w:tcW w:w="7655" w:type="dxa"/>
            <w:gridSpan w:val="3"/>
            <w:vAlign w:val="center"/>
          </w:tcPr>
          <w:p>
            <w:pPr>
              <w:adjustRightInd w:val="0"/>
              <w:snapToGrid w:val="0"/>
              <w:jc w:val="center"/>
              <w:rPr>
                <w:szCs w:val="21"/>
              </w:rPr>
            </w:pPr>
            <w:r>
              <w:rPr>
                <w:szCs w:val="21"/>
                <w:u w:val="single"/>
              </w:rPr>
              <w:t xml:space="preserve">四川 </w:t>
            </w:r>
            <w:r>
              <w:rPr>
                <w:szCs w:val="21"/>
              </w:rPr>
              <w:t>省</w:t>
            </w:r>
            <w:r>
              <w:rPr>
                <w:szCs w:val="21"/>
                <w:u w:val="single"/>
              </w:rPr>
              <w:t xml:space="preserve"> 达州 </w:t>
            </w:r>
            <w:r>
              <w:rPr>
                <w:szCs w:val="21"/>
              </w:rPr>
              <w:t>市</w:t>
            </w:r>
            <w:r>
              <w:rPr>
                <w:szCs w:val="21"/>
                <w:u w:val="single"/>
              </w:rPr>
              <w:t xml:space="preserve"> 通川 区 北山</w:t>
            </w:r>
            <w:r>
              <w:rPr>
                <w:szCs w:val="21"/>
              </w:rPr>
              <w:t>镇</w:t>
            </w:r>
            <w:r>
              <w:rPr>
                <w:szCs w:val="21"/>
                <w:u w:val="single"/>
              </w:rPr>
              <w:t xml:space="preserve"> 苏坪村 6 组</w:t>
            </w:r>
            <w:r>
              <w:rPr>
                <w:szCs w:val="21"/>
              </w:rPr>
              <w:t xml:space="preserve">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55" w:hRule="atLeast"/>
        </w:trPr>
        <w:tc>
          <w:tcPr>
            <w:tcW w:w="1134" w:type="dxa"/>
            <w:tcMar>
              <w:top w:w="16" w:type="dxa"/>
              <w:left w:w="16" w:type="dxa"/>
              <w:right w:w="16" w:type="dxa"/>
            </w:tcMar>
            <w:vAlign w:val="center"/>
          </w:tcPr>
          <w:p>
            <w:pPr>
              <w:adjustRightInd w:val="0"/>
              <w:snapToGrid w:val="0"/>
              <w:jc w:val="center"/>
              <w:rPr>
                <w:szCs w:val="21"/>
              </w:rPr>
            </w:pPr>
            <w:r>
              <w:rPr>
                <w:szCs w:val="21"/>
              </w:rPr>
              <w:t>地理坐标</w:t>
            </w:r>
          </w:p>
        </w:tc>
        <w:tc>
          <w:tcPr>
            <w:tcW w:w="7655" w:type="dxa"/>
            <w:gridSpan w:val="3"/>
            <w:vAlign w:val="center"/>
          </w:tcPr>
          <w:p>
            <w:pPr>
              <w:adjustRightInd w:val="0"/>
              <w:snapToGrid w:val="0"/>
              <w:jc w:val="center"/>
              <w:rPr>
                <w:szCs w:val="21"/>
              </w:rPr>
            </w:pPr>
            <w:r>
              <w:rPr>
                <w:szCs w:val="21"/>
              </w:rPr>
              <w:t>（</w:t>
            </w:r>
            <w:r>
              <w:rPr>
                <w:szCs w:val="21"/>
                <w:u w:val="single"/>
              </w:rPr>
              <w:t>107</w:t>
            </w:r>
            <w:r>
              <w:rPr>
                <w:szCs w:val="21"/>
              </w:rPr>
              <w:t>度</w:t>
            </w:r>
            <w:r>
              <w:rPr>
                <w:szCs w:val="21"/>
                <w:u w:val="single"/>
              </w:rPr>
              <w:t xml:space="preserve"> 16 </w:t>
            </w:r>
            <w:r>
              <w:rPr>
                <w:szCs w:val="21"/>
              </w:rPr>
              <w:t>分</w:t>
            </w:r>
            <w:r>
              <w:rPr>
                <w:szCs w:val="21"/>
                <w:u w:val="single"/>
              </w:rPr>
              <w:t xml:space="preserve"> 19.529</w:t>
            </w:r>
            <w:r>
              <w:rPr>
                <w:szCs w:val="21"/>
              </w:rPr>
              <w:t>秒，</w:t>
            </w:r>
            <w:r>
              <w:rPr>
                <w:szCs w:val="21"/>
                <w:u w:val="single"/>
              </w:rPr>
              <w:t xml:space="preserve"> 31 </w:t>
            </w:r>
            <w:r>
              <w:rPr>
                <w:szCs w:val="21"/>
              </w:rPr>
              <w:t>度</w:t>
            </w:r>
            <w:r>
              <w:rPr>
                <w:szCs w:val="21"/>
                <w:u w:val="single"/>
              </w:rPr>
              <w:t xml:space="preserve"> 27 </w:t>
            </w:r>
            <w:r>
              <w:rPr>
                <w:szCs w:val="21"/>
              </w:rPr>
              <w:t>分</w:t>
            </w:r>
            <w:r>
              <w:rPr>
                <w:szCs w:val="21"/>
                <w:u w:val="single"/>
              </w:rPr>
              <w:t>28.936</w:t>
            </w:r>
            <w:r>
              <w:rPr>
                <w:szCs w:val="21"/>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715" w:hRule="atLeast"/>
        </w:trPr>
        <w:tc>
          <w:tcPr>
            <w:tcW w:w="1134" w:type="dxa"/>
            <w:tcMar>
              <w:top w:w="16" w:type="dxa"/>
              <w:left w:w="16" w:type="dxa"/>
              <w:right w:w="16" w:type="dxa"/>
            </w:tcMar>
            <w:vAlign w:val="center"/>
          </w:tcPr>
          <w:p>
            <w:pPr>
              <w:adjustRightInd w:val="0"/>
              <w:snapToGrid w:val="0"/>
              <w:jc w:val="center"/>
              <w:rPr>
                <w:szCs w:val="21"/>
              </w:rPr>
            </w:pPr>
            <w:r>
              <w:rPr>
                <w:szCs w:val="21"/>
              </w:rPr>
              <w:t>建设项目</w:t>
            </w:r>
          </w:p>
          <w:p>
            <w:pPr>
              <w:adjustRightInd w:val="0"/>
              <w:snapToGrid w:val="0"/>
              <w:jc w:val="center"/>
              <w:rPr>
                <w:szCs w:val="21"/>
              </w:rPr>
            </w:pPr>
            <w:r>
              <w:rPr>
                <w:szCs w:val="21"/>
              </w:rPr>
              <w:t>行业类别</w:t>
            </w:r>
          </w:p>
        </w:tc>
        <w:tc>
          <w:tcPr>
            <w:tcW w:w="3135" w:type="dxa"/>
            <w:vAlign w:val="center"/>
          </w:tcPr>
          <w:p>
            <w:pPr>
              <w:adjustRightInd w:val="0"/>
              <w:snapToGrid w:val="0"/>
              <w:jc w:val="center"/>
              <w:rPr>
                <w:szCs w:val="21"/>
              </w:rPr>
            </w:pPr>
            <w:r>
              <w:rPr>
                <w:szCs w:val="21"/>
              </w:rPr>
              <w:t>四十六、专业技术服务业</w:t>
            </w:r>
          </w:p>
          <w:p>
            <w:pPr>
              <w:adjustRightInd w:val="0"/>
              <w:snapToGrid w:val="0"/>
              <w:jc w:val="center"/>
              <w:rPr>
                <w:szCs w:val="21"/>
              </w:rPr>
            </w:pPr>
            <w:r>
              <w:rPr>
                <w:szCs w:val="21"/>
              </w:rPr>
              <w:t>99</w:t>
            </w:r>
            <w:bookmarkStart w:id="3" w:name="_Hlk67602426"/>
            <w:r>
              <w:rPr>
                <w:szCs w:val="21"/>
              </w:rPr>
              <w:t>陆地矿产资源地质勘查</w:t>
            </w:r>
          </w:p>
          <w:p>
            <w:pPr>
              <w:adjustRightInd w:val="0"/>
              <w:snapToGrid w:val="0"/>
              <w:jc w:val="center"/>
              <w:rPr>
                <w:szCs w:val="21"/>
              </w:rPr>
            </w:pPr>
            <w:r>
              <w:rPr>
                <w:szCs w:val="21"/>
              </w:rPr>
              <w:t>（含油气资源勘探）</w:t>
            </w:r>
            <w:bookmarkEnd w:id="3"/>
          </w:p>
        </w:tc>
        <w:tc>
          <w:tcPr>
            <w:tcW w:w="1968" w:type="dxa"/>
            <w:vAlign w:val="center"/>
          </w:tcPr>
          <w:p>
            <w:pPr>
              <w:adjustRightInd w:val="0"/>
              <w:snapToGrid w:val="0"/>
              <w:jc w:val="center"/>
              <w:rPr>
                <w:szCs w:val="21"/>
              </w:rPr>
            </w:pPr>
            <w:r>
              <w:rPr>
                <w:szCs w:val="21"/>
              </w:rPr>
              <w:t>用地（用海）面积（m</w:t>
            </w:r>
            <w:r>
              <w:rPr>
                <w:szCs w:val="21"/>
                <w:vertAlign w:val="superscript"/>
              </w:rPr>
              <w:t>2</w:t>
            </w:r>
            <w:r>
              <w:rPr>
                <w:szCs w:val="21"/>
              </w:rPr>
              <w:t>）/长度（km）</w:t>
            </w:r>
          </w:p>
        </w:tc>
        <w:tc>
          <w:tcPr>
            <w:tcW w:w="2552" w:type="dxa"/>
            <w:vAlign w:val="center"/>
          </w:tcPr>
          <w:p>
            <w:pPr>
              <w:adjustRightInd w:val="0"/>
              <w:snapToGrid w:val="0"/>
              <w:jc w:val="center"/>
              <w:rPr>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04" w:hRule="atLeast"/>
        </w:trPr>
        <w:tc>
          <w:tcPr>
            <w:tcW w:w="1134" w:type="dxa"/>
            <w:tcMar>
              <w:top w:w="16" w:type="dxa"/>
              <w:left w:w="16" w:type="dxa"/>
              <w:right w:w="16" w:type="dxa"/>
            </w:tcMar>
            <w:vAlign w:val="center"/>
          </w:tcPr>
          <w:p>
            <w:pPr>
              <w:adjustRightInd w:val="0"/>
              <w:snapToGrid w:val="0"/>
              <w:jc w:val="center"/>
              <w:rPr>
                <w:szCs w:val="21"/>
              </w:rPr>
            </w:pPr>
            <w:r>
              <w:rPr>
                <w:szCs w:val="21"/>
              </w:rPr>
              <w:t>建设性质</w:t>
            </w:r>
          </w:p>
        </w:tc>
        <w:tc>
          <w:tcPr>
            <w:tcW w:w="3135" w:type="dxa"/>
            <w:vAlign w:val="center"/>
          </w:tcPr>
          <w:p>
            <w:pPr>
              <w:adjustRightInd w:val="0"/>
              <w:snapToGrid w:val="0"/>
              <w:ind w:left="210" w:leftChars="100"/>
              <w:jc w:val="left"/>
              <w:rPr>
                <w:szCs w:val="21"/>
              </w:rPr>
            </w:pPr>
            <w:r>
              <w:rPr>
                <w:szCs w:val="21"/>
              </w:rPr>
              <w:sym w:font="Wingdings 2" w:char="F052"/>
            </w:r>
            <w:r>
              <w:rPr>
                <w:szCs w:val="21"/>
              </w:rPr>
              <w:t>新建（迁建）</w:t>
            </w:r>
          </w:p>
          <w:p>
            <w:pPr>
              <w:adjustRightInd w:val="0"/>
              <w:snapToGrid w:val="0"/>
              <w:ind w:left="210" w:leftChars="100"/>
              <w:jc w:val="left"/>
              <w:rPr>
                <w:szCs w:val="21"/>
              </w:rPr>
            </w:pPr>
            <w:r>
              <w:rPr>
                <w:szCs w:val="21"/>
              </w:rPr>
              <w:t>□改建</w:t>
            </w:r>
          </w:p>
          <w:p>
            <w:pPr>
              <w:adjustRightInd w:val="0"/>
              <w:snapToGrid w:val="0"/>
              <w:ind w:left="210" w:leftChars="100"/>
              <w:jc w:val="left"/>
              <w:rPr>
                <w:szCs w:val="21"/>
              </w:rPr>
            </w:pPr>
            <w:r>
              <w:rPr>
                <w:szCs w:val="21"/>
              </w:rPr>
              <w:t>□扩建</w:t>
            </w:r>
          </w:p>
          <w:p>
            <w:pPr>
              <w:adjustRightInd w:val="0"/>
              <w:snapToGrid w:val="0"/>
              <w:ind w:left="210" w:leftChars="100"/>
              <w:jc w:val="left"/>
              <w:rPr>
                <w:szCs w:val="21"/>
              </w:rPr>
            </w:pPr>
            <w:r>
              <w:rPr>
                <w:szCs w:val="21"/>
              </w:rPr>
              <w:t>□技术改造</w:t>
            </w:r>
          </w:p>
        </w:tc>
        <w:tc>
          <w:tcPr>
            <w:tcW w:w="1968" w:type="dxa"/>
            <w:vAlign w:val="center"/>
          </w:tcPr>
          <w:p>
            <w:pPr>
              <w:adjustRightInd w:val="0"/>
              <w:snapToGrid w:val="0"/>
              <w:jc w:val="center"/>
              <w:rPr>
                <w:szCs w:val="21"/>
              </w:rPr>
            </w:pPr>
            <w:r>
              <w:rPr>
                <w:szCs w:val="21"/>
              </w:rPr>
              <w:t>建设项目</w:t>
            </w:r>
          </w:p>
          <w:p>
            <w:pPr>
              <w:adjustRightInd w:val="0"/>
              <w:snapToGrid w:val="0"/>
              <w:jc w:val="center"/>
              <w:rPr>
                <w:szCs w:val="21"/>
              </w:rPr>
            </w:pPr>
            <w:r>
              <w:rPr>
                <w:szCs w:val="21"/>
              </w:rPr>
              <w:t>申报情形</w:t>
            </w:r>
          </w:p>
        </w:tc>
        <w:tc>
          <w:tcPr>
            <w:tcW w:w="2552" w:type="dxa"/>
            <w:vAlign w:val="center"/>
          </w:tcPr>
          <w:p>
            <w:pPr>
              <w:adjustRightInd w:val="0"/>
              <w:snapToGrid w:val="0"/>
              <w:jc w:val="left"/>
              <w:rPr>
                <w:szCs w:val="21"/>
              </w:rPr>
            </w:pPr>
            <w:r>
              <w:rPr>
                <w:szCs w:val="21"/>
              </w:rPr>
              <w:sym w:font="Wingdings 2" w:char="F052"/>
            </w:r>
            <w:r>
              <w:rPr>
                <w:szCs w:val="21"/>
              </w:rPr>
              <w:t>首次申报项目</w:t>
            </w:r>
          </w:p>
          <w:p>
            <w:pPr>
              <w:adjustRightInd w:val="0"/>
              <w:snapToGrid w:val="0"/>
              <w:jc w:val="left"/>
              <w:rPr>
                <w:szCs w:val="21"/>
              </w:rPr>
            </w:pPr>
            <w:r>
              <w:rPr>
                <w:szCs w:val="21"/>
              </w:rPr>
              <w:t>□不予批准后再次申报项目</w:t>
            </w:r>
          </w:p>
          <w:p>
            <w:pPr>
              <w:adjustRightInd w:val="0"/>
              <w:snapToGrid w:val="0"/>
              <w:jc w:val="left"/>
              <w:rPr>
                <w:szCs w:val="21"/>
              </w:rPr>
            </w:pPr>
            <w:r>
              <w:rPr>
                <w:szCs w:val="21"/>
              </w:rPr>
              <w:t>□超五年重新审核项目</w:t>
            </w:r>
          </w:p>
          <w:p>
            <w:pPr>
              <w:adjustRightInd w:val="0"/>
              <w:snapToGrid w:val="0"/>
              <w:rPr>
                <w:szCs w:val="21"/>
              </w:rPr>
            </w:pPr>
            <w:r>
              <w:rPr>
                <w:szCs w:val="21"/>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62" w:hRule="atLeast"/>
        </w:trPr>
        <w:tc>
          <w:tcPr>
            <w:tcW w:w="1134" w:type="dxa"/>
            <w:tcMar>
              <w:top w:w="16" w:type="dxa"/>
              <w:left w:w="16" w:type="dxa"/>
              <w:right w:w="16" w:type="dxa"/>
            </w:tcMar>
            <w:vAlign w:val="center"/>
          </w:tcPr>
          <w:p>
            <w:pPr>
              <w:adjustRightInd w:val="0"/>
              <w:snapToGrid w:val="0"/>
              <w:jc w:val="center"/>
              <w:rPr>
                <w:szCs w:val="21"/>
              </w:rPr>
            </w:pPr>
            <w:r>
              <w:rPr>
                <w:szCs w:val="21"/>
              </w:rPr>
              <w:t>项目审批（核准/</w:t>
            </w:r>
          </w:p>
          <w:p>
            <w:pPr>
              <w:adjustRightInd w:val="0"/>
              <w:snapToGrid w:val="0"/>
              <w:jc w:val="center"/>
              <w:rPr>
                <w:szCs w:val="21"/>
              </w:rPr>
            </w:pPr>
            <w:r>
              <w:rPr>
                <w:szCs w:val="21"/>
              </w:rPr>
              <w:t>备案）部门（选填）</w:t>
            </w:r>
          </w:p>
        </w:tc>
        <w:tc>
          <w:tcPr>
            <w:tcW w:w="3135" w:type="dxa"/>
            <w:vAlign w:val="center"/>
          </w:tcPr>
          <w:p>
            <w:pPr>
              <w:adjustRightInd w:val="0"/>
              <w:snapToGrid w:val="0"/>
              <w:jc w:val="center"/>
              <w:rPr>
                <w:szCs w:val="21"/>
              </w:rPr>
            </w:pPr>
            <w:r>
              <w:rPr>
                <w:szCs w:val="21"/>
              </w:rPr>
              <w:t>通川区发展和改革局</w:t>
            </w:r>
          </w:p>
        </w:tc>
        <w:tc>
          <w:tcPr>
            <w:tcW w:w="1968" w:type="dxa"/>
            <w:vAlign w:val="center"/>
          </w:tcPr>
          <w:p>
            <w:pPr>
              <w:adjustRightInd w:val="0"/>
              <w:snapToGrid w:val="0"/>
              <w:jc w:val="center"/>
              <w:rPr>
                <w:szCs w:val="21"/>
              </w:rPr>
            </w:pPr>
            <w:r>
              <w:rPr>
                <w:szCs w:val="21"/>
              </w:rPr>
              <w:t>项目审批（核准/</w:t>
            </w:r>
          </w:p>
          <w:p>
            <w:pPr>
              <w:adjustRightInd w:val="0"/>
              <w:snapToGrid w:val="0"/>
              <w:jc w:val="center"/>
              <w:rPr>
                <w:szCs w:val="21"/>
              </w:rPr>
            </w:pPr>
            <w:r>
              <w:rPr>
                <w:szCs w:val="21"/>
              </w:rPr>
              <w:t>备案）文号（选填）</w:t>
            </w:r>
          </w:p>
        </w:tc>
        <w:tc>
          <w:tcPr>
            <w:tcW w:w="2552" w:type="dxa"/>
            <w:vAlign w:val="center"/>
          </w:tcPr>
          <w:p>
            <w:pPr>
              <w:adjustRightInd w:val="0"/>
              <w:snapToGrid w:val="0"/>
              <w:jc w:val="center"/>
              <w:rPr>
                <w:szCs w:val="21"/>
              </w:rPr>
            </w:pPr>
            <w:r>
              <w:rPr>
                <w:szCs w:val="21"/>
              </w:rPr>
              <w:t>2207-511702-04-01-709960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55" w:hRule="atLeast"/>
        </w:trPr>
        <w:tc>
          <w:tcPr>
            <w:tcW w:w="1134" w:type="dxa"/>
            <w:tcMar>
              <w:top w:w="16" w:type="dxa"/>
              <w:left w:w="16" w:type="dxa"/>
              <w:right w:w="16" w:type="dxa"/>
            </w:tcMar>
            <w:vAlign w:val="center"/>
          </w:tcPr>
          <w:p>
            <w:pPr>
              <w:adjustRightInd w:val="0"/>
              <w:snapToGrid w:val="0"/>
              <w:jc w:val="center"/>
              <w:rPr>
                <w:szCs w:val="21"/>
              </w:rPr>
            </w:pPr>
            <w:r>
              <w:rPr>
                <w:szCs w:val="21"/>
              </w:rPr>
              <w:t>总投资（万元）</w:t>
            </w:r>
          </w:p>
        </w:tc>
        <w:tc>
          <w:tcPr>
            <w:tcW w:w="3135" w:type="dxa"/>
            <w:vAlign w:val="center"/>
          </w:tcPr>
          <w:p>
            <w:pPr>
              <w:adjustRightInd w:val="0"/>
              <w:snapToGrid w:val="0"/>
              <w:jc w:val="center"/>
              <w:rPr>
                <w:szCs w:val="21"/>
              </w:rPr>
            </w:pPr>
            <w:r>
              <w:rPr>
                <w:szCs w:val="21"/>
              </w:rPr>
              <w:t>9000</w:t>
            </w:r>
          </w:p>
        </w:tc>
        <w:tc>
          <w:tcPr>
            <w:tcW w:w="1968" w:type="dxa"/>
            <w:tcMar>
              <w:top w:w="16" w:type="dxa"/>
              <w:left w:w="16" w:type="dxa"/>
              <w:right w:w="16" w:type="dxa"/>
            </w:tcMar>
            <w:vAlign w:val="center"/>
          </w:tcPr>
          <w:p>
            <w:pPr>
              <w:adjustRightInd w:val="0"/>
              <w:snapToGrid w:val="0"/>
              <w:jc w:val="center"/>
              <w:rPr>
                <w:szCs w:val="21"/>
              </w:rPr>
            </w:pPr>
            <w:r>
              <w:rPr>
                <w:szCs w:val="21"/>
              </w:rPr>
              <w:t>环保投资（万元）</w:t>
            </w:r>
          </w:p>
        </w:tc>
        <w:tc>
          <w:tcPr>
            <w:tcW w:w="2552" w:type="dxa"/>
            <w:vAlign w:val="center"/>
          </w:tcPr>
          <w:p>
            <w:pPr>
              <w:adjustRightInd w:val="0"/>
              <w:snapToGrid w:val="0"/>
              <w:jc w:val="center"/>
              <w:rPr>
                <w:szCs w:val="21"/>
              </w:rPr>
            </w:pPr>
            <w:r>
              <w:rPr>
                <w:szCs w:val="21"/>
              </w:rPr>
              <w:t>150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4" w:hRule="atLeast"/>
        </w:trPr>
        <w:tc>
          <w:tcPr>
            <w:tcW w:w="1134" w:type="dxa"/>
            <w:tcMar>
              <w:top w:w="16" w:type="dxa"/>
              <w:left w:w="16" w:type="dxa"/>
              <w:right w:w="16" w:type="dxa"/>
            </w:tcMar>
            <w:vAlign w:val="center"/>
          </w:tcPr>
          <w:p>
            <w:pPr>
              <w:adjustRightInd w:val="0"/>
              <w:snapToGrid w:val="0"/>
              <w:jc w:val="center"/>
              <w:rPr>
                <w:szCs w:val="21"/>
              </w:rPr>
            </w:pPr>
            <w:r>
              <w:rPr>
                <w:szCs w:val="21"/>
              </w:rPr>
              <w:t>环保投资占比（%）</w:t>
            </w:r>
          </w:p>
        </w:tc>
        <w:tc>
          <w:tcPr>
            <w:tcW w:w="3135" w:type="dxa"/>
            <w:vAlign w:val="center"/>
          </w:tcPr>
          <w:p>
            <w:pPr>
              <w:adjustRightInd w:val="0"/>
              <w:snapToGrid w:val="0"/>
              <w:jc w:val="center"/>
              <w:rPr>
                <w:szCs w:val="21"/>
              </w:rPr>
            </w:pPr>
            <w:r>
              <w:rPr>
                <w:szCs w:val="21"/>
              </w:rPr>
              <w:t>1.7</w:t>
            </w:r>
          </w:p>
        </w:tc>
        <w:tc>
          <w:tcPr>
            <w:tcW w:w="1968" w:type="dxa"/>
            <w:tcMar>
              <w:top w:w="16" w:type="dxa"/>
              <w:left w:w="16" w:type="dxa"/>
              <w:right w:w="16" w:type="dxa"/>
            </w:tcMar>
            <w:vAlign w:val="center"/>
          </w:tcPr>
          <w:p>
            <w:pPr>
              <w:adjustRightInd w:val="0"/>
              <w:snapToGrid w:val="0"/>
              <w:jc w:val="center"/>
              <w:rPr>
                <w:szCs w:val="21"/>
              </w:rPr>
            </w:pPr>
            <w:r>
              <w:rPr>
                <w:szCs w:val="21"/>
              </w:rPr>
              <w:t>施工工期</w:t>
            </w:r>
          </w:p>
        </w:tc>
        <w:tc>
          <w:tcPr>
            <w:tcW w:w="2552" w:type="dxa"/>
            <w:vAlign w:val="center"/>
          </w:tcPr>
          <w:p>
            <w:pPr>
              <w:adjustRightInd w:val="0"/>
              <w:snapToGrid w:val="0"/>
              <w:jc w:val="center"/>
              <w:rPr>
                <w:szCs w:val="21"/>
              </w:rPr>
            </w:pPr>
            <w:r>
              <w:rPr>
                <w:szCs w:val="21"/>
              </w:rPr>
              <w:t>12个月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11" w:hRule="atLeast"/>
        </w:trPr>
        <w:tc>
          <w:tcPr>
            <w:tcW w:w="1134" w:type="dxa"/>
            <w:tcMar>
              <w:top w:w="16" w:type="dxa"/>
              <w:left w:w="16" w:type="dxa"/>
              <w:right w:w="16" w:type="dxa"/>
            </w:tcMar>
            <w:vAlign w:val="center"/>
          </w:tcPr>
          <w:p>
            <w:pPr>
              <w:adjustRightInd w:val="0"/>
              <w:snapToGrid w:val="0"/>
              <w:jc w:val="center"/>
              <w:rPr>
                <w:szCs w:val="21"/>
              </w:rPr>
            </w:pPr>
            <w:r>
              <w:rPr>
                <w:szCs w:val="21"/>
              </w:rPr>
              <w:t>是否开工建设</w:t>
            </w:r>
          </w:p>
        </w:tc>
        <w:tc>
          <w:tcPr>
            <w:tcW w:w="7655" w:type="dxa"/>
            <w:gridSpan w:val="3"/>
            <w:vAlign w:val="center"/>
          </w:tcPr>
          <w:p>
            <w:pPr>
              <w:adjustRightInd w:val="0"/>
              <w:snapToGrid w:val="0"/>
              <w:ind w:firstLine="105"/>
              <w:jc w:val="left"/>
              <w:rPr>
                <w:szCs w:val="21"/>
              </w:rPr>
            </w:pPr>
            <w:r>
              <w:rPr>
                <w:szCs w:val="21"/>
              </w:rPr>
              <w:sym w:font="Wingdings 2" w:char="F052"/>
            </w:r>
            <w:r>
              <w:rPr>
                <w:szCs w:val="21"/>
              </w:rPr>
              <w:t>否</w:t>
            </w:r>
          </w:p>
          <w:p>
            <w:pPr>
              <w:adjustRightInd w:val="0"/>
              <w:snapToGrid w:val="0"/>
              <w:ind w:firstLine="92"/>
              <w:jc w:val="left"/>
              <w:rPr>
                <w:szCs w:val="21"/>
              </w:rPr>
            </w:pPr>
            <w:r>
              <w:rPr>
                <w:szCs w:val="21"/>
              </w:rPr>
              <w:t>□是：</w:t>
            </w:r>
            <w:r>
              <w:rPr>
                <w:szCs w:val="21"/>
                <w:u w:val="single"/>
              </w:rPr>
              <w:t xml:space="preserve">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11" w:hRule="atLeast"/>
        </w:trPr>
        <w:tc>
          <w:tcPr>
            <w:tcW w:w="1134" w:type="dxa"/>
            <w:tcMar>
              <w:top w:w="16" w:type="dxa"/>
              <w:left w:w="16" w:type="dxa"/>
              <w:right w:w="16" w:type="dxa"/>
            </w:tcMar>
            <w:vAlign w:val="center"/>
          </w:tcPr>
          <w:p>
            <w:pPr>
              <w:autoSpaceDE w:val="0"/>
              <w:autoSpaceDN w:val="0"/>
              <w:adjustRightInd w:val="0"/>
              <w:snapToGrid w:val="0"/>
              <w:jc w:val="center"/>
              <w:rPr>
                <w:kern w:val="0"/>
                <w:szCs w:val="21"/>
              </w:rPr>
            </w:pPr>
            <w:r>
              <w:rPr>
                <w:kern w:val="0"/>
                <w:szCs w:val="21"/>
              </w:rPr>
              <w:t>专项评价设置情况</w:t>
            </w:r>
          </w:p>
        </w:tc>
        <w:tc>
          <w:tcPr>
            <w:tcW w:w="7655" w:type="dxa"/>
            <w:gridSpan w:val="3"/>
            <w:tcMar>
              <w:top w:w="16" w:type="dxa"/>
              <w:left w:w="16" w:type="dxa"/>
              <w:right w:w="16" w:type="dxa"/>
            </w:tcMar>
            <w:vAlign w:val="center"/>
          </w:tcPr>
          <w:tbl>
            <w:tblPr>
              <w:tblStyle w:val="42"/>
              <w:tblW w:w="75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513"/>
              <w:gridCol w:w="60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4" w:hRule="atLeast"/>
                <w:jc w:val="center"/>
              </w:trPr>
              <w:tc>
                <w:tcPr>
                  <w:tcW w:w="1513" w:type="dxa"/>
                  <w:vAlign w:val="center"/>
                </w:tcPr>
                <w:p>
                  <w:pPr>
                    <w:autoSpaceDE w:val="0"/>
                    <w:autoSpaceDN w:val="0"/>
                    <w:adjustRightInd w:val="0"/>
                    <w:snapToGrid w:val="0"/>
                    <w:rPr>
                      <w:sz w:val="18"/>
                      <w:szCs w:val="18"/>
                    </w:rPr>
                  </w:pPr>
                  <w:r>
                    <w:rPr>
                      <w:sz w:val="18"/>
                      <w:szCs w:val="18"/>
                    </w:rPr>
                    <w:t>专项评价的类别</w:t>
                  </w:r>
                </w:p>
              </w:tc>
              <w:tc>
                <w:tcPr>
                  <w:tcW w:w="6020" w:type="dxa"/>
                  <w:vAlign w:val="center"/>
                </w:tcPr>
                <w:p>
                  <w:pPr>
                    <w:autoSpaceDE w:val="0"/>
                    <w:autoSpaceDN w:val="0"/>
                    <w:adjustRightInd w:val="0"/>
                    <w:snapToGrid w:val="0"/>
                    <w:jc w:val="center"/>
                    <w:rPr>
                      <w:sz w:val="18"/>
                      <w:szCs w:val="18"/>
                    </w:rPr>
                  </w:pPr>
                  <w:r>
                    <w:rPr>
                      <w:sz w:val="18"/>
                      <w:szCs w:val="18"/>
                    </w:rPr>
                    <w:t>设置理由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4" w:hRule="atLeast"/>
                <w:jc w:val="center"/>
              </w:trPr>
              <w:tc>
                <w:tcPr>
                  <w:tcW w:w="1513" w:type="dxa"/>
                  <w:vAlign w:val="center"/>
                </w:tcPr>
                <w:p>
                  <w:pPr>
                    <w:autoSpaceDE w:val="0"/>
                    <w:autoSpaceDN w:val="0"/>
                    <w:adjustRightInd w:val="0"/>
                    <w:snapToGrid w:val="0"/>
                    <w:jc w:val="center"/>
                    <w:rPr>
                      <w:sz w:val="18"/>
                      <w:szCs w:val="18"/>
                    </w:rPr>
                  </w:pPr>
                  <w:r>
                    <w:rPr>
                      <w:sz w:val="18"/>
                      <w:szCs w:val="18"/>
                    </w:rPr>
                    <w:t>地表水</w:t>
                  </w:r>
                </w:p>
              </w:tc>
              <w:tc>
                <w:tcPr>
                  <w:tcW w:w="6020" w:type="dxa"/>
                  <w:vAlign w:val="center"/>
                </w:tcPr>
                <w:p>
                  <w:pPr>
                    <w:autoSpaceDE w:val="0"/>
                    <w:autoSpaceDN w:val="0"/>
                    <w:adjustRightInd w:val="0"/>
                    <w:snapToGrid w:val="0"/>
                    <w:jc w:val="center"/>
                    <w:rPr>
                      <w:sz w:val="18"/>
                      <w:szCs w:val="18"/>
                    </w:rPr>
                  </w:pPr>
                  <w:r>
                    <w:rPr>
                      <w:sz w:val="18"/>
                      <w:szCs w:val="18"/>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4" w:hRule="atLeast"/>
                <w:jc w:val="center"/>
              </w:trPr>
              <w:tc>
                <w:tcPr>
                  <w:tcW w:w="1513" w:type="dxa"/>
                  <w:vAlign w:val="center"/>
                </w:tcPr>
                <w:p>
                  <w:pPr>
                    <w:autoSpaceDE w:val="0"/>
                    <w:autoSpaceDN w:val="0"/>
                    <w:adjustRightInd w:val="0"/>
                    <w:snapToGrid w:val="0"/>
                    <w:jc w:val="center"/>
                    <w:rPr>
                      <w:sz w:val="18"/>
                      <w:szCs w:val="18"/>
                    </w:rPr>
                  </w:pPr>
                  <w:r>
                    <w:rPr>
                      <w:sz w:val="18"/>
                      <w:szCs w:val="18"/>
                    </w:rPr>
                    <w:t>地下水</w:t>
                  </w:r>
                </w:p>
              </w:tc>
              <w:tc>
                <w:tcPr>
                  <w:tcW w:w="6020" w:type="dxa"/>
                  <w:vAlign w:val="center"/>
                </w:tcPr>
                <w:p>
                  <w:pPr>
                    <w:autoSpaceDE w:val="0"/>
                    <w:autoSpaceDN w:val="0"/>
                    <w:adjustRightInd w:val="0"/>
                    <w:snapToGrid w:val="0"/>
                    <w:jc w:val="center"/>
                    <w:rPr>
                      <w:sz w:val="18"/>
                      <w:szCs w:val="18"/>
                    </w:rPr>
                  </w:pPr>
                  <w:r>
                    <w:rPr>
                      <w:rFonts w:hint="eastAsia"/>
                      <w:sz w:val="18"/>
                      <w:szCs w:val="18"/>
                    </w:rPr>
                    <w:t>拟建项目为专业技术服务业类项目中的陆地矿产资源地质勘查（含油气资源勘探）；二氧化碳地质封存，根据《建设项目环境影响报告表编制技术指南》（生态影响类）（试行）不设置地下水专题，但本项目环境影响与“石油和天然气开采业”中钻井工程的环境影响情况相似，为更好管控其造成的环境影响，因此本次专项评价设置参照“石油和天然气开采”进行设置，即本次环评设置地下水环境影响专项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4" w:hRule="atLeast"/>
                <w:jc w:val="center"/>
              </w:trPr>
              <w:tc>
                <w:tcPr>
                  <w:tcW w:w="1513" w:type="dxa"/>
                  <w:vAlign w:val="center"/>
                </w:tcPr>
                <w:p>
                  <w:pPr>
                    <w:autoSpaceDE w:val="0"/>
                    <w:autoSpaceDN w:val="0"/>
                    <w:adjustRightInd w:val="0"/>
                    <w:snapToGrid w:val="0"/>
                    <w:jc w:val="center"/>
                    <w:rPr>
                      <w:sz w:val="18"/>
                      <w:szCs w:val="18"/>
                    </w:rPr>
                  </w:pPr>
                  <w:r>
                    <w:rPr>
                      <w:sz w:val="18"/>
                      <w:szCs w:val="18"/>
                    </w:rPr>
                    <w:t>生态</w:t>
                  </w:r>
                </w:p>
              </w:tc>
              <w:tc>
                <w:tcPr>
                  <w:tcW w:w="6020" w:type="dxa"/>
                  <w:vAlign w:val="center"/>
                </w:tcPr>
                <w:p>
                  <w:pPr>
                    <w:autoSpaceDE w:val="0"/>
                    <w:autoSpaceDN w:val="0"/>
                    <w:adjustRightInd w:val="0"/>
                    <w:snapToGrid w:val="0"/>
                    <w:jc w:val="center"/>
                    <w:rPr>
                      <w:sz w:val="18"/>
                      <w:szCs w:val="18"/>
                    </w:rPr>
                  </w:pPr>
                  <w:r>
                    <w:rPr>
                      <w:rFonts w:hint="eastAsia"/>
                      <w:sz w:val="18"/>
                      <w:szCs w:val="18"/>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4" w:hRule="atLeast"/>
                <w:jc w:val="center"/>
              </w:trPr>
              <w:tc>
                <w:tcPr>
                  <w:tcW w:w="1513" w:type="dxa"/>
                  <w:vAlign w:val="center"/>
                </w:tcPr>
                <w:p>
                  <w:pPr>
                    <w:autoSpaceDE w:val="0"/>
                    <w:autoSpaceDN w:val="0"/>
                    <w:adjustRightInd w:val="0"/>
                    <w:snapToGrid w:val="0"/>
                    <w:jc w:val="center"/>
                    <w:rPr>
                      <w:sz w:val="18"/>
                      <w:szCs w:val="18"/>
                    </w:rPr>
                  </w:pPr>
                  <w:r>
                    <w:rPr>
                      <w:sz w:val="18"/>
                      <w:szCs w:val="18"/>
                    </w:rPr>
                    <w:t>大气</w:t>
                  </w:r>
                </w:p>
              </w:tc>
              <w:tc>
                <w:tcPr>
                  <w:tcW w:w="6020" w:type="dxa"/>
                  <w:vAlign w:val="center"/>
                </w:tcPr>
                <w:p>
                  <w:pPr>
                    <w:autoSpaceDE w:val="0"/>
                    <w:autoSpaceDN w:val="0"/>
                    <w:adjustRightInd w:val="0"/>
                    <w:snapToGrid w:val="0"/>
                    <w:jc w:val="center"/>
                    <w:rPr>
                      <w:sz w:val="18"/>
                      <w:szCs w:val="18"/>
                    </w:rPr>
                  </w:pPr>
                  <w:r>
                    <w:rPr>
                      <w:sz w:val="18"/>
                      <w:szCs w:val="18"/>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4" w:hRule="atLeast"/>
                <w:jc w:val="center"/>
              </w:trPr>
              <w:tc>
                <w:tcPr>
                  <w:tcW w:w="1513" w:type="dxa"/>
                  <w:vAlign w:val="center"/>
                </w:tcPr>
                <w:p>
                  <w:pPr>
                    <w:autoSpaceDE w:val="0"/>
                    <w:autoSpaceDN w:val="0"/>
                    <w:adjustRightInd w:val="0"/>
                    <w:snapToGrid w:val="0"/>
                    <w:jc w:val="center"/>
                    <w:rPr>
                      <w:sz w:val="18"/>
                      <w:szCs w:val="18"/>
                    </w:rPr>
                  </w:pPr>
                  <w:r>
                    <w:rPr>
                      <w:sz w:val="18"/>
                      <w:szCs w:val="18"/>
                    </w:rPr>
                    <w:t>噪声</w:t>
                  </w:r>
                </w:p>
              </w:tc>
              <w:tc>
                <w:tcPr>
                  <w:tcW w:w="6020" w:type="dxa"/>
                  <w:vAlign w:val="center"/>
                </w:tcPr>
                <w:p>
                  <w:pPr>
                    <w:autoSpaceDE w:val="0"/>
                    <w:autoSpaceDN w:val="0"/>
                    <w:adjustRightInd w:val="0"/>
                    <w:snapToGrid w:val="0"/>
                    <w:jc w:val="center"/>
                    <w:rPr>
                      <w:sz w:val="18"/>
                      <w:szCs w:val="18"/>
                    </w:rPr>
                  </w:pPr>
                  <w:r>
                    <w:rPr>
                      <w:sz w:val="18"/>
                      <w:szCs w:val="18"/>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4" w:hRule="atLeast"/>
                <w:jc w:val="center"/>
              </w:trPr>
              <w:tc>
                <w:tcPr>
                  <w:tcW w:w="1513" w:type="dxa"/>
                  <w:vAlign w:val="center"/>
                </w:tcPr>
                <w:p>
                  <w:pPr>
                    <w:autoSpaceDE w:val="0"/>
                    <w:autoSpaceDN w:val="0"/>
                    <w:adjustRightInd w:val="0"/>
                    <w:snapToGrid w:val="0"/>
                    <w:jc w:val="center"/>
                    <w:rPr>
                      <w:sz w:val="18"/>
                      <w:szCs w:val="18"/>
                    </w:rPr>
                  </w:pPr>
                  <w:r>
                    <w:rPr>
                      <w:sz w:val="18"/>
                      <w:szCs w:val="18"/>
                    </w:rPr>
                    <w:t>环境风险</w:t>
                  </w:r>
                </w:p>
              </w:tc>
              <w:tc>
                <w:tcPr>
                  <w:tcW w:w="6020" w:type="dxa"/>
                  <w:vAlign w:val="center"/>
                </w:tcPr>
                <w:p>
                  <w:pPr>
                    <w:autoSpaceDE w:val="0"/>
                    <w:autoSpaceDN w:val="0"/>
                    <w:adjustRightInd w:val="0"/>
                    <w:snapToGrid w:val="0"/>
                    <w:jc w:val="center"/>
                    <w:rPr>
                      <w:sz w:val="18"/>
                      <w:szCs w:val="18"/>
                    </w:rPr>
                  </w:pPr>
                  <w:r>
                    <w:rPr>
                      <w:rFonts w:hint="eastAsia"/>
                      <w:sz w:val="18"/>
                      <w:szCs w:val="18"/>
                    </w:rPr>
                    <w:t>拟建项目为专业技术服务业类项目中的陆地矿产资源地质勘查（含油气资源勘探）；二氧化碳地质封存，根据《建设项目环境影响报告表编制技术指南》（生态影响类）（试行）不设置专题，但本项目环境影响与“石油和天然气开采业”中钻井工程的环境影响情况相似，为更好管控其环境风险，因此本次专项评价设置参照“石油和天然气开采”进行设置，即本次环评设置环境风险专项评价。</w:t>
                  </w:r>
                </w:p>
              </w:tc>
            </w:tr>
          </w:tbl>
          <w:p>
            <w:pPr>
              <w:spacing w:line="360" w:lineRule="auto"/>
              <w:ind w:firstLine="420" w:firstLineChars="200"/>
              <w:rPr>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11" w:hRule="atLeast"/>
        </w:trPr>
        <w:tc>
          <w:tcPr>
            <w:tcW w:w="1134" w:type="dxa"/>
            <w:tcMar>
              <w:top w:w="16" w:type="dxa"/>
              <w:left w:w="16" w:type="dxa"/>
              <w:right w:w="16" w:type="dxa"/>
            </w:tcMar>
            <w:vAlign w:val="center"/>
          </w:tcPr>
          <w:p>
            <w:pPr>
              <w:autoSpaceDE w:val="0"/>
              <w:autoSpaceDN w:val="0"/>
              <w:adjustRightInd w:val="0"/>
              <w:snapToGrid w:val="0"/>
              <w:jc w:val="center"/>
              <w:rPr>
                <w:kern w:val="0"/>
                <w:szCs w:val="21"/>
              </w:rPr>
            </w:pPr>
            <w:r>
              <w:rPr>
                <w:szCs w:val="21"/>
              </w:rPr>
              <w:t>规划情况</w:t>
            </w:r>
          </w:p>
        </w:tc>
        <w:tc>
          <w:tcPr>
            <w:tcW w:w="7655" w:type="dxa"/>
            <w:gridSpan w:val="3"/>
            <w:tcMar>
              <w:top w:w="16" w:type="dxa"/>
              <w:left w:w="16" w:type="dxa"/>
              <w:right w:w="16" w:type="dxa"/>
            </w:tcMar>
            <w:vAlign w:val="center"/>
          </w:tcPr>
          <w:p>
            <w:pPr>
              <w:spacing w:line="360" w:lineRule="auto"/>
              <w:ind w:firstLine="420" w:firstLineChars="200"/>
              <w:rPr>
                <w:kern w:val="0"/>
                <w:szCs w:val="21"/>
              </w:rPr>
            </w:pPr>
            <w:r>
              <w:rPr>
                <w:kern w:val="0"/>
                <w:szCs w:val="21"/>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911" w:hRule="atLeast"/>
        </w:trPr>
        <w:tc>
          <w:tcPr>
            <w:tcW w:w="1134" w:type="dxa"/>
            <w:tcMar>
              <w:top w:w="16" w:type="dxa"/>
              <w:left w:w="16" w:type="dxa"/>
              <w:right w:w="16" w:type="dxa"/>
            </w:tcMar>
            <w:vAlign w:val="center"/>
          </w:tcPr>
          <w:p>
            <w:pPr>
              <w:autoSpaceDE w:val="0"/>
              <w:autoSpaceDN w:val="0"/>
              <w:adjustRightInd w:val="0"/>
              <w:snapToGrid w:val="0"/>
              <w:jc w:val="center"/>
              <w:rPr>
                <w:kern w:val="0"/>
                <w:szCs w:val="21"/>
              </w:rPr>
            </w:pPr>
            <w:r>
              <w:rPr>
                <w:szCs w:val="21"/>
              </w:rPr>
              <w:t>规划环境影响评价情况</w:t>
            </w:r>
          </w:p>
        </w:tc>
        <w:tc>
          <w:tcPr>
            <w:tcW w:w="7655" w:type="dxa"/>
            <w:gridSpan w:val="3"/>
            <w:tcMar>
              <w:top w:w="16" w:type="dxa"/>
              <w:left w:w="16" w:type="dxa"/>
              <w:right w:w="16" w:type="dxa"/>
            </w:tcMar>
            <w:vAlign w:val="center"/>
          </w:tcPr>
          <w:p>
            <w:pPr>
              <w:spacing w:line="360" w:lineRule="auto"/>
              <w:ind w:firstLine="420" w:firstLineChars="200"/>
              <w:rPr>
                <w:kern w:val="0"/>
                <w:szCs w:val="21"/>
              </w:rPr>
            </w:pPr>
            <w:r>
              <w:rPr>
                <w:kern w:val="0"/>
                <w:szCs w:val="21"/>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1557" w:hRule="atLeast"/>
        </w:trPr>
        <w:tc>
          <w:tcPr>
            <w:tcW w:w="1134" w:type="dxa"/>
            <w:tcMar>
              <w:top w:w="16" w:type="dxa"/>
              <w:left w:w="16" w:type="dxa"/>
              <w:right w:w="16" w:type="dxa"/>
            </w:tcMar>
            <w:vAlign w:val="center"/>
          </w:tcPr>
          <w:p>
            <w:pPr>
              <w:autoSpaceDE w:val="0"/>
              <w:autoSpaceDN w:val="0"/>
              <w:adjustRightInd w:val="0"/>
              <w:snapToGrid w:val="0"/>
              <w:jc w:val="center"/>
              <w:rPr>
                <w:kern w:val="0"/>
                <w:szCs w:val="21"/>
              </w:rPr>
            </w:pPr>
            <w:r>
              <w:rPr>
                <w:kern w:val="0"/>
                <w:szCs w:val="21"/>
              </w:rPr>
              <w:t>规划及</w:t>
            </w:r>
            <w:r>
              <w:rPr>
                <w:szCs w:val="21"/>
              </w:rPr>
              <w:t>规划环境影响评价</w:t>
            </w:r>
            <w:r>
              <w:rPr>
                <w:kern w:val="0"/>
                <w:szCs w:val="21"/>
              </w:rPr>
              <w:t>符合性分析</w:t>
            </w:r>
          </w:p>
        </w:tc>
        <w:tc>
          <w:tcPr>
            <w:tcW w:w="7655" w:type="dxa"/>
            <w:gridSpan w:val="3"/>
            <w:tcMar>
              <w:top w:w="16" w:type="dxa"/>
              <w:left w:w="16" w:type="dxa"/>
              <w:right w:w="16" w:type="dxa"/>
            </w:tcMar>
            <w:vAlign w:val="center"/>
          </w:tcPr>
          <w:p>
            <w:pPr>
              <w:spacing w:line="460" w:lineRule="exact"/>
              <w:ind w:firstLine="420" w:firstLineChars="200"/>
              <w:rPr>
                <w:kern w:val="0"/>
                <w:szCs w:val="21"/>
              </w:rPr>
            </w:pPr>
            <w:r>
              <w:rPr>
                <w:kern w:val="0"/>
                <w:szCs w:val="21"/>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077" w:hRule="atLeast"/>
        </w:trPr>
        <w:tc>
          <w:tcPr>
            <w:tcW w:w="1134" w:type="dxa"/>
            <w:tcMar>
              <w:top w:w="16" w:type="dxa"/>
              <w:left w:w="16" w:type="dxa"/>
              <w:right w:w="16" w:type="dxa"/>
            </w:tcMar>
            <w:vAlign w:val="center"/>
          </w:tcPr>
          <w:p>
            <w:pPr>
              <w:autoSpaceDE w:val="0"/>
              <w:autoSpaceDN w:val="0"/>
              <w:adjustRightInd w:val="0"/>
              <w:snapToGrid w:val="0"/>
              <w:jc w:val="center"/>
              <w:rPr>
                <w:kern w:val="0"/>
                <w:szCs w:val="21"/>
              </w:rPr>
            </w:pPr>
            <w:bookmarkStart w:id="4" w:name="_Hlk56690880"/>
            <w:r>
              <w:rPr>
                <w:kern w:val="0"/>
                <w:szCs w:val="21"/>
              </w:rPr>
              <w:t>其他符合性分析</w:t>
            </w:r>
            <w:bookmarkEnd w:id="4"/>
          </w:p>
        </w:tc>
        <w:tc>
          <w:tcPr>
            <w:tcW w:w="7655" w:type="dxa"/>
            <w:gridSpan w:val="3"/>
            <w:tcMar>
              <w:top w:w="16" w:type="dxa"/>
              <w:left w:w="16" w:type="dxa"/>
              <w:right w:w="16" w:type="dxa"/>
            </w:tcMar>
            <w:vAlign w:val="center"/>
          </w:tcPr>
          <w:p>
            <w:pPr>
              <w:pStyle w:val="36"/>
              <w:numPr>
                <w:ilvl w:val="1"/>
                <w:numId w:val="2"/>
              </w:numPr>
              <w:spacing w:before="0" w:beforeAutospacing="0" w:after="0" w:afterAutospacing="0" w:line="360" w:lineRule="auto"/>
              <w:ind w:left="0" w:firstLine="0"/>
              <w:rPr>
                <w:rFonts w:ascii="Times New Roman" w:hAnsi="Times New Roman"/>
                <w:b/>
                <w:sz w:val="21"/>
                <w:szCs w:val="21"/>
              </w:rPr>
            </w:pPr>
            <w:r>
              <w:rPr>
                <w:rFonts w:ascii="Times New Roman" w:hAnsi="Times New Roman"/>
                <w:b/>
                <w:sz w:val="21"/>
                <w:szCs w:val="21"/>
              </w:rPr>
              <w:t>项目由来</w:t>
            </w:r>
          </w:p>
          <w:p>
            <w:pPr>
              <w:autoSpaceDE w:val="0"/>
              <w:autoSpaceDN w:val="0"/>
              <w:adjustRightInd w:val="0"/>
              <w:snapToGrid w:val="0"/>
              <w:spacing w:line="360" w:lineRule="auto"/>
              <w:ind w:firstLine="420" w:firstLineChars="200"/>
              <w:rPr>
                <w:szCs w:val="21"/>
              </w:rPr>
            </w:pPr>
            <w:r>
              <w:rPr>
                <w:szCs w:val="21"/>
              </w:rPr>
              <w:t>大庆油田有限责任公司拟在四川省达州市通川区北山镇实施平安101井，平安101井属评价井（详见附件）。根据《石油天然气勘探规范》（GB/T39537-2020），勘探井包含地质井、区域探井、预探井、评价井4种，根据《建设项目环境影响评价分类管理名录》（部令 第16号），本项目属于陆地矿产资源地质勘查类项目（油气资源勘探），应编制环境影响报告表。</w:t>
            </w:r>
          </w:p>
          <w:p>
            <w:pPr>
              <w:pStyle w:val="36"/>
              <w:numPr>
                <w:ilvl w:val="1"/>
                <w:numId w:val="2"/>
              </w:numPr>
              <w:spacing w:before="0" w:beforeAutospacing="0" w:after="0" w:afterAutospacing="0" w:line="360" w:lineRule="auto"/>
              <w:ind w:left="0" w:firstLine="0"/>
              <w:rPr>
                <w:rFonts w:ascii="Times New Roman" w:hAnsi="Times New Roman"/>
                <w:b/>
                <w:sz w:val="21"/>
                <w:szCs w:val="21"/>
              </w:rPr>
            </w:pPr>
            <w:r>
              <w:rPr>
                <w:rFonts w:ascii="Times New Roman" w:hAnsi="Times New Roman"/>
                <w:b/>
                <w:sz w:val="21"/>
                <w:szCs w:val="21"/>
              </w:rPr>
              <w:t>与产业政策符合性分析</w:t>
            </w:r>
          </w:p>
          <w:p>
            <w:pPr>
              <w:spacing w:line="360" w:lineRule="auto"/>
              <w:ind w:firstLine="420" w:firstLineChars="200"/>
              <w:rPr>
                <w:bCs/>
                <w:szCs w:val="21"/>
              </w:rPr>
            </w:pPr>
            <w:r>
              <w:rPr>
                <w:bCs/>
                <w:szCs w:val="21"/>
              </w:rPr>
              <w:t>项目属于陆地矿产资源地质勘查（油气资源勘探），根据《产业结构调整指导目录（2019年本）》的有关规定，项目属于第一类“鼓励类”第七条“石油类、天然气”第一款“常规石油、天然气探勘与开采”，因此，符合国家有关产业政策。</w:t>
            </w:r>
          </w:p>
          <w:p>
            <w:pPr>
              <w:pStyle w:val="36"/>
              <w:numPr>
                <w:ilvl w:val="1"/>
                <w:numId w:val="2"/>
              </w:numPr>
              <w:spacing w:before="0" w:beforeAutospacing="0" w:after="0" w:afterAutospacing="0" w:line="360" w:lineRule="auto"/>
              <w:ind w:left="0" w:firstLine="0"/>
              <w:rPr>
                <w:rFonts w:ascii="Times New Roman" w:hAnsi="Times New Roman"/>
                <w:b/>
                <w:sz w:val="21"/>
                <w:szCs w:val="21"/>
              </w:rPr>
            </w:pPr>
            <w:r>
              <w:rPr>
                <w:rFonts w:ascii="Times New Roman" w:hAnsi="Times New Roman"/>
                <w:b/>
                <w:sz w:val="21"/>
                <w:szCs w:val="21"/>
              </w:rPr>
              <w:t>项目与规划符合性分析</w:t>
            </w:r>
          </w:p>
          <w:p>
            <w:pPr>
              <w:autoSpaceDE w:val="0"/>
              <w:autoSpaceDN w:val="0"/>
              <w:adjustRightInd w:val="0"/>
              <w:snapToGrid w:val="0"/>
              <w:spacing w:line="360" w:lineRule="auto"/>
              <w:ind w:firstLine="420" w:firstLineChars="200"/>
              <w:rPr>
                <w:kern w:val="0"/>
                <w:szCs w:val="21"/>
              </w:rPr>
            </w:pPr>
            <w:r>
              <w:rPr>
                <w:kern w:val="0"/>
                <w:szCs w:val="21"/>
              </w:rPr>
              <w:t>根据《四川省矿产资源总体规划（2016-2020年）》可知，在确保矿产资源有效供给的情况下，加大天然气、页岩气、煤层气、铀矿、地热等勘查开发力度，适度开展煤炭勘查，全力化解煤炭过剩产能，继续淘汰年产15万吨及以下煤矿，年产30万吨以下高瓦斯和煤与瓦斯突出煤矿不再新建年产30万吨以下煤矿、年产90万吨以下高瓦斯和煤与瓦斯突出煤矿。</w:t>
            </w:r>
          </w:p>
          <w:p>
            <w:pPr>
              <w:autoSpaceDE w:val="0"/>
              <w:autoSpaceDN w:val="0"/>
              <w:adjustRightInd w:val="0"/>
              <w:snapToGrid w:val="0"/>
              <w:spacing w:line="360" w:lineRule="auto"/>
              <w:ind w:firstLine="420" w:firstLineChars="200"/>
              <w:rPr>
                <w:kern w:val="0"/>
                <w:szCs w:val="21"/>
              </w:rPr>
            </w:pPr>
            <w:r>
              <w:rPr>
                <w:kern w:val="0"/>
                <w:szCs w:val="21"/>
              </w:rPr>
              <w:t>项目属于陆地矿产资源地质勘查（含油气资源勘探），符合加大天然气、页岩气、煤层气、铀矿、地热等勘查开发力度。因此符合《四川省矿产资源总体规划（2016-2020年）》规划要求。</w:t>
            </w:r>
          </w:p>
          <w:p>
            <w:pPr>
              <w:pStyle w:val="36"/>
              <w:numPr>
                <w:ilvl w:val="1"/>
                <w:numId w:val="2"/>
              </w:numPr>
              <w:spacing w:before="0" w:beforeAutospacing="0" w:after="0" w:afterAutospacing="0" w:line="360" w:lineRule="auto"/>
              <w:ind w:left="0" w:firstLine="0"/>
              <w:rPr>
                <w:rFonts w:ascii="Times New Roman" w:hAnsi="Times New Roman"/>
                <w:b/>
                <w:sz w:val="21"/>
                <w:szCs w:val="21"/>
              </w:rPr>
            </w:pPr>
            <w:r>
              <w:rPr>
                <w:rFonts w:ascii="Times New Roman" w:hAnsi="Times New Roman"/>
                <w:b/>
                <w:sz w:val="21"/>
                <w:szCs w:val="21"/>
              </w:rPr>
              <w:t>与城乡规划的符合性分析</w:t>
            </w:r>
          </w:p>
          <w:p>
            <w:pPr>
              <w:pStyle w:val="339"/>
              <w:ind w:firstLine="420"/>
              <w:rPr>
                <w:bCs/>
                <w:szCs w:val="21"/>
              </w:rPr>
            </w:pPr>
            <w:r>
              <w:rPr>
                <w:bCs/>
                <w:szCs w:val="21"/>
              </w:rPr>
              <w:t>本工程位于四川省达州市通川区北山镇苏坪村6组，项目区域属于农村地区，根据《通川区北部农旅融合发展片区国土空间总体规划（2022-2035年）》，平安101井所在区域未在北山镇控制性详细规划内。根据</w:t>
            </w:r>
            <w:r>
              <w:rPr>
                <w:rFonts w:hint="eastAsia"/>
                <w:bCs/>
                <w:szCs w:val="21"/>
              </w:rPr>
              <w:t>达州市</w:t>
            </w:r>
            <w:r>
              <w:rPr>
                <w:bCs/>
                <w:szCs w:val="21"/>
              </w:rPr>
              <w:t>通川区</w:t>
            </w:r>
            <w:r>
              <w:rPr>
                <w:rFonts w:hint="eastAsia"/>
                <w:bCs/>
                <w:szCs w:val="21"/>
              </w:rPr>
              <w:t>自然资源局</w:t>
            </w:r>
            <w:r>
              <w:rPr>
                <w:bCs/>
                <w:szCs w:val="21"/>
              </w:rPr>
              <w:t>出具的《关于</w:t>
            </w:r>
            <w:r>
              <w:rPr>
                <w:rFonts w:hint="eastAsia"/>
                <w:bCs/>
                <w:szCs w:val="21"/>
              </w:rPr>
              <w:t>平安1</w:t>
            </w:r>
            <w:r>
              <w:rPr>
                <w:bCs/>
                <w:szCs w:val="21"/>
              </w:rPr>
              <w:t>01</w:t>
            </w:r>
            <w:r>
              <w:rPr>
                <w:rFonts w:hint="eastAsia"/>
                <w:bCs/>
                <w:szCs w:val="21"/>
              </w:rPr>
              <w:t>井点位的</w:t>
            </w:r>
            <w:r>
              <w:rPr>
                <w:bCs/>
                <w:szCs w:val="21"/>
              </w:rPr>
              <w:t>复函》，项目选址</w:t>
            </w:r>
            <w:r>
              <w:rPr>
                <w:rFonts w:hint="eastAsia"/>
                <w:bCs/>
                <w:szCs w:val="21"/>
              </w:rPr>
              <w:t>不在通川区</w:t>
            </w:r>
            <w:r>
              <w:rPr>
                <w:bCs/>
                <w:szCs w:val="21"/>
              </w:rPr>
              <w:t>北山镇</w:t>
            </w:r>
            <w:r>
              <w:rPr>
                <w:rFonts w:hint="eastAsia"/>
                <w:bCs/>
                <w:szCs w:val="21"/>
              </w:rPr>
              <w:t>场镇规划建设用地范围内</w:t>
            </w:r>
            <w:r>
              <w:rPr>
                <w:bCs/>
                <w:szCs w:val="21"/>
              </w:rPr>
              <w:t>，本项目建设将占用永久基本农田，目前</w:t>
            </w:r>
            <w:r>
              <w:rPr>
                <w:rFonts w:hint="eastAsia"/>
                <w:bCs/>
                <w:szCs w:val="21"/>
              </w:rPr>
              <w:t>建设单位</w:t>
            </w:r>
            <w:r>
              <w:rPr>
                <w:bCs/>
                <w:szCs w:val="21"/>
              </w:rPr>
              <w:t>正在办理相关用地手续，因此项目实施不影响城乡建设。</w:t>
            </w:r>
          </w:p>
          <w:p>
            <w:pPr>
              <w:pStyle w:val="36"/>
              <w:numPr>
                <w:ilvl w:val="1"/>
                <w:numId w:val="2"/>
              </w:numPr>
              <w:spacing w:before="0" w:beforeAutospacing="0" w:after="0" w:afterAutospacing="0" w:line="360" w:lineRule="auto"/>
              <w:ind w:left="0" w:firstLine="0"/>
              <w:rPr>
                <w:rFonts w:ascii="Times New Roman" w:hAnsi="Times New Roman"/>
                <w:b/>
                <w:sz w:val="21"/>
                <w:szCs w:val="21"/>
              </w:rPr>
            </w:pPr>
            <w:r>
              <w:rPr>
                <w:rFonts w:ascii="Times New Roman" w:hAnsi="Times New Roman"/>
                <w:b/>
                <w:sz w:val="21"/>
                <w:szCs w:val="21"/>
              </w:rPr>
              <w:t>与《石油天然气开采业污染防治技术政策》的符合性</w:t>
            </w:r>
          </w:p>
          <w:p>
            <w:pPr>
              <w:numPr>
                <w:ilvl w:val="0"/>
                <w:numId w:val="3"/>
              </w:numPr>
              <w:spacing w:line="360" w:lineRule="auto"/>
              <w:ind w:left="0" w:firstLine="0"/>
              <w:jc w:val="center"/>
              <w:rPr>
                <w:b/>
                <w:szCs w:val="21"/>
              </w:rPr>
            </w:pPr>
            <w:r>
              <w:rPr>
                <w:b/>
                <w:szCs w:val="21"/>
              </w:rPr>
              <w:t>与《石油天然气开采业污染防治技术政策》对比分析表</w:t>
            </w:r>
          </w:p>
          <w:tbl>
            <w:tblPr>
              <w:tblStyle w:val="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8"/>
              <w:gridCol w:w="3472"/>
              <w:gridCol w:w="2835"/>
              <w:gridCol w:w="6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48" w:type="dxa"/>
                  <w:vAlign w:val="center"/>
                </w:tcPr>
                <w:p>
                  <w:pPr>
                    <w:pStyle w:val="340"/>
                    <w:rPr>
                      <w:szCs w:val="21"/>
                      <w:lang w:bidi="ar"/>
                    </w:rPr>
                  </w:pPr>
                  <w:r>
                    <w:rPr>
                      <w:szCs w:val="21"/>
                    </w:rPr>
                    <w:t>序号</w:t>
                  </w:r>
                </w:p>
              </w:tc>
              <w:tc>
                <w:tcPr>
                  <w:tcW w:w="3472" w:type="dxa"/>
                  <w:vAlign w:val="center"/>
                </w:tcPr>
                <w:p>
                  <w:pPr>
                    <w:pStyle w:val="340"/>
                    <w:rPr>
                      <w:szCs w:val="21"/>
                      <w:lang w:bidi="ar"/>
                    </w:rPr>
                  </w:pPr>
                  <w:r>
                    <w:rPr>
                      <w:szCs w:val="21"/>
                    </w:rPr>
                    <w:t>技术政策要求</w:t>
                  </w:r>
                </w:p>
              </w:tc>
              <w:tc>
                <w:tcPr>
                  <w:tcW w:w="2835" w:type="dxa"/>
                  <w:vAlign w:val="center"/>
                </w:tcPr>
                <w:p>
                  <w:pPr>
                    <w:pStyle w:val="340"/>
                    <w:rPr>
                      <w:szCs w:val="21"/>
                      <w:lang w:bidi="ar"/>
                    </w:rPr>
                  </w:pPr>
                  <w:r>
                    <w:rPr>
                      <w:szCs w:val="21"/>
                    </w:rPr>
                    <w:t>本工程内容</w:t>
                  </w:r>
                </w:p>
              </w:tc>
              <w:tc>
                <w:tcPr>
                  <w:tcW w:w="693" w:type="dxa"/>
                  <w:vAlign w:val="center"/>
                </w:tcPr>
                <w:p>
                  <w:pPr>
                    <w:pStyle w:val="340"/>
                    <w:rPr>
                      <w:szCs w:val="21"/>
                      <w:lang w:bidi="ar"/>
                    </w:rPr>
                  </w:pPr>
                  <w:r>
                    <w:rPr>
                      <w:szCs w:val="21"/>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48" w:type="dxa"/>
                  <w:vAlign w:val="center"/>
                </w:tcPr>
                <w:p>
                  <w:pPr>
                    <w:pStyle w:val="340"/>
                    <w:rPr>
                      <w:b/>
                      <w:bCs/>
                      <w:szCs w:val="21"/>
                      <w:lang w:bidi="ar"/>
                    </w:rPr>
                  </w:pPr>
                  <w:r>
                    <w:rPr>
                      <w:b/>
                      <w:bCs/>
                      <w:szCs w:val="21"/>
                    </w:rPr>
                    <w:t>一</w:t>
                  </w:r>
                </w:p>
              </w:tc>
              <w:tc>
                <w:tcPr>
                  <w:tcW w:w="7000" w:type="dxa"/>
                  <w:gridSpan w:val="3"/>
                  <w:vAlign w:val="center"/>
                </w:tcPr>
                <w:p>
                  <w:pPr>
                    <w:pStyle w:val="340"/>
                    <w:rPr>
                      <w:b/>
                      <w:bCs/>
                      <w:szCs w:val="21"/>
                      <w:lang w:bidi="ar"/>
                    </w:rPr>
                  </w:pPr>
                  <w:r>
                    <w:rPr>
                      <w:b/>
                      <w:bCs/>
                      <w:szCs w:val="21"/>
                    </w:rPr>
                    <w:t>清洁生产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48" w:type="dxa"/>
                  <w:vAlign w:val="center"/>
                </w:tcPr>
                <w:p>
                  <w:pPr>
                    <w:pStyle w:val="340"/>
                    <w:rPr>
                      <w:szCs w:val="21"/>
                    </w:rPr>
                  </w:pPr>
                  <w:r>
                    <w:rPr>
                      <w:szCs w:val="21"/>
                      <w:lang w:bidi="ar"/>
                    </w:rPr>
                    <w:t>1</w:t>
                  </w:r>
                </w:p>
              </w:tc>
              <w:tc>
                <w:tcPr>
                  <w:tcW w:w="3472" w:type="dxa"/>
                  <w:vAlign w:val="center"/>
                </w:tcPr>
                <w:p>
                  <w:pPr>
                    <w:pStyle w:val="340"/>
                    <w:rPr>
                      <w:szCs w:val="21"/>
                    </w:rPr>
                  </w:pPr>
                  <w:r>
                    <w:rPr>
                      <w:szCs w:val="21"/>
                    </w:rPr>
                    <w:t>油气田建设应总体规划，优化布局，整体开发，减少占地和油气损失，实现油气和废物的集中收集、处理处置。</w:t>
                  </w:r>
                </w:p>
              </w:tc>
              <w:tc>
                <w:tcPr>
                  <w:tcW w:w="2835" w:type="dxa"/>
                  <w:vAlign w:val="center"/>
                </w:tcPr>
                <w:p>
                  <w:pPr>
                    <w:pStyle w:val="340"/>
                    <w:rPr>
                      <w:szCs w:val="21"/>
                    </w:rPr>
                  </w:pPr>
                  <w:r>
                    <w:rPr>
                      <w:szCs w:val="21"/>
                    </w:rPr>
                    <w:t>本项目属于陆地矿产资源地质勘查（含油气资源勘探），占地较少，废水收集后集中处置，固体废物交由有资质单位处置。</w:t>
                  </w:r>
                </w:p>
              </w:tc>
              <w:tc>
                <w:tcPr>
                  <w:tcW w:w="693" w:type="dxa"/>
                  <w:vAlign w:val="center"/>
                </w:tcPr>
                <w:p>
                  <w:pPr>
                    <w:pStyle w:val="340"/>
                    <w:rPr>
                      <w:szCs w:val="21"/>
                    </w:rPr>
                  </w:pPr>
                  <w:r>
                    <w:rPr>
                      <w:szCs w:val="21"/>
                      <w:lang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48" w:type="dxa"/>
                  <w:vAlign w:val="center"/>
                </w:tcPr>
                <w:p>
                  <w:pPr>
                    <w:pStyle w:val="340"/>
                    <w:rPr>
                      <w:szCs w:val="21"/>
                      <w:lang w:bidi="ar"/>
                    </w:rPr>
                  </w:pPr>
                  <w:r>
                    <w:rPr>
                      <w:szCs w:val="21"/>
                      <w:lang w:bidi="ar"/>
                    </w:rPr>
                    <w:t>2</w:t>
                  </w:r>
                </w:p>
              </w:tc>
              <w:tc>
                <w:tcPr>
                  <w:tcW w:w="3472" w:type="dxa"/>
                  <w:vAlign w:val="center"/>
                </w:tcPr>
                <w:p>
                  <w:pPr>
                    <w:pStyle w:val="340"/>
                    <w:rPr>
                      <w:szCs w:val="21"/>
                    </w:rPr>
                  </w:pPr>
                  <w:r>
                    <w:rPr>
                      <w:szCs w:val="21"/>
                    </w:rPr>
                    <w:t>油气田开发不得使用含有国际公约禁用化学物质的油气田化学剂，逐步淘汰微毒及以上油气田化学剂，鼓励使用无毒油气田化学剂。</w:t>
                  </w:r>
                </w:p>
              </w:tc>
              <w:tc>
                <w:tcPr>
                  <w:tcW w:w="2835" w:type="dxa"/>
                  <w:vAlign w:val="center"/>
                </w:tcPr>
                <w:p>
                  <w:pPr>
                    <w:pStyle w:val="340"/>
                    <w:rPr>
                      <w:szCs w:val="21"/>
                    </w:rPr>
                  </w:pPr>
                  <w:r>
                    <w:rPr>
                      <w:szCs w:val="21"/>
                    </w:rPr>
                    <w:t>本项目无国际公约禁用化学物质，符合要求。</w:t>
                  </w:r>
                </w:p>
              </w:tc>
              <w:tc>
                <w:tcPr>
                  <w:tcW w:w="693" w:type="dxa"/>
                  <w:vAlign w:val="center"/>
                </w:tcPr>
                <w:p>
                  <w:pPr>
                    <w:pStyle w:val="340"/>
                    <w:rPr>
                      <w:szCs w:val="21"/>
                    </w:rPr>
                  </w:pPr>
                  <w:r>
                    <w:rPr>
                      <w:szCs w:val="21"/>
                      <w:lang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48" w:type="dxa"/>
                  <w:vAlign w:val="center"/>
                </w:tcPr>
                <w:p>
                  <w:pPr>
                    <w:pStyle w:val="340"/>
                    <w:rPr>
                      <w:szCs w:val="21"/>
                    </w:rPr>
                  </w:pPr>
                  <w:r>
                    <w:rPr>
                      <w:szCs w:val="21"/>
                      <w:lang w:bidi="ar"/>
                    </w:rPr>
                    <w:t>3</w:t>
                  </w:r>
                </w:p>
              </w:tc>
              <w:tc>
                <w:tcPr>
                  <w:tcW w:w="3472" w:type="dxa"/>
                  <w:vAlign w:val="center"/>
                </w:tcPr>
                <w:p>
                  <w:pPr>
                    <w:pStyle w:val="340"/>
                    <w:rPr>
                      <w:szCs w:val="21"/>
                    </w:rPr>
                  </w:pPr>
                  <w:r>
                    <w:rPr>
                      <w:szCs w:val="21"/>
                    </w:rPr>
                    <w:t>在油气勘探过程中，宜使用环保型炸药和可控震源，应采取防渗等措施预防燃料泄漏对环境的污染。</w:t>
                  </w:r>
                </w:p>
              </w:tc>
              <w:tc>
                <w:tcPr>
                  <w:tcW w:w="2835" w:type="dxa"/>
                  <w:vAlign w:val="center"/>
                </w:tcPr>
                <w:p>
                  <w:pPr>
                    <w:pStyle w:val="340"/>
                    <w:rPr>
                      <w:szCs w:val="21"/>
                    </w:rPr>
                  </w:pPr>
                  <w:r>
                    <w:rPr>
                      <w:szCs w:val="21"/>
                    </w:rPr>
                    <w:t>本项目无需炸药，油罐区设置地面硬化防渗、围堰，井场场内建设排水沟及4个隔油池，可预防柴油泄漏。</w:t>
                  </w:r>
                </w:p>
              </w:tc>
              <w:tc>
                <w:tcPr>
                  <w:tcW w:w="693" w:type="dxa"/>
                  <w:vAlign w:val="center"/>
                </w:tcPr>
                <w:p>
                  <w:pPr>
                    <w:pStyle w:val="340"/>
                    <w:rPr>
                      <w:szCs w:val="21"/>
                    </w:rPr>
                  </w:pPr>
                  <w:r>
                    <w:rPr>
                      <w:szCs w:val="21"/>
                      <w:lang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48" w:type="dxa"/>
                  <w:vAlign w:val="center"/>
                </w:tcPr>
                <w:p>
                  <w:pPr>
                    <w:pStyle w:val="340"/>
                    <w:rPr>
                      <w:szCs w:val="21"/>
                      <w:lang w:bidi="ar"/>
                    </w:rPr>
                  </w:pPr>
                  <w:r>
                    <w:rPr>
                      <w:szCs w:val="21"/>
                      <w:lang w:bidi="ar"/>
                    </w:rPr>
                    <w:t>4</w:t>
                  </w:r>
                </w:p>
              </w:tc>
              <w:tc>
                <w:tcPr>
                  <w:tcW w:w="3472" w:type="dxa"/>
                  <w:vAlign w:val="center"/>
                </w:tcPr>
                <w:p>
                  <w:pPr>
                    <w:pStyle w:val="340"/>
                    <w:rPr>
                      <w:szCs w:val="21"/>
                    </w:rPr>
                  </w:pPr>
                  <w:r>
                    <w:rPr>
                      <w:szCs w:val="21"/>
                    </w:rPr>
                    <w:t>在钻井过程中，鼓励采用环境友好的钻井液体系；配备完善的固控设备，钻井液循环率达到95%以上；钻井过程产生的废水应回用。</w:t>
                  </w:r>
                </w:p>
              </w:tc>
              <w:tc>
                <w:tcPr>
                  <w:tcW w:w="2835" w:type="dxa"/>
                  <w:vAlign w:val="center"/>
                </w:tcPr>
                <w:p>
                  <w:pPr>
                    <w:pStyle w:val="340"/>
                    <w:rPr>
                      <w:szCs w:val="21"/>
                    </w:rPr>
                  </w:pPr>
                  <w:r>
                    <w:rPr>
                      <w:szCs w:val="21"/>
                    </w:rPr>
                    <w:t>本项目导管段采用清水钻井，一开~三开钻井采用水基钻井液，钻井过程中钻井液循环使用，钻井过程中产生的废水回用；不能回用时拟交由四川瑞利生物科技有限公司处理。</w:t>
                  </w:r>
                </w:p>
              </w:tc>
              <w:tc>
                <w:tcPr>
                  <w:tcW w:w="693" w:type="dxa"/>
                  <w:vAlign w:val="center"/>
                </w:tcPr>
                <w:p>
                  <w:pPr>
                    <w:pStyle w:val="340"/>
                    <w:rPr>
                      <w:szCs w:val="21"/>
                    </w:rPr>
                  </w:pPr>
                  <w:r>
                    <w:rPr>
                      <w:szCs w:val="21"/>
                      <w:lang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48" w:type="dxa"/>
                  <w:vAlign w:val="center"/>
                </w:tcPr>
                <w:p>
                  <w:pPr>
                    <w:pStyle w:val="340"/>
                    <w:rPr>
                      <w:szCs w:val="21"/>
                    </w:rPr>
                  </w:pPr>
                  <w:r>
                    <w:rPr>
                      <w:szCs w:val="21"/>
                      <w:lang w:bidi="ar"/>
                    </w:rPr>
                    <w:t>5</w:t>
                  </w:r>
                </w:p>
              </w:tc>
              <w:tc>
                <w:tcPr>
                  <w:tcW w:w="3472" w:type="dxa"/>
                  <w:vAlign w:val="center"/>
                </w:tcPr>
                <w:p>
                  <w:pPr>
                    <w:pStyle w:val="340"/>
                    <w:rPr>
                      <w:szCs w:val="21"/>
                    </w:rPr>
                  </w:pPr>
                  <w:r>
                    <w:rPr>
                      <w:szCs w:val="21"/>
                    </w:rPr>
                    <w:t>在井下作业过程中，酸化液和压裂液宜集中配制，酸化残液、压裂残液和返排液应回收利用或进行无害化处置，压裂放喷返排入罐率应达到100%。酸化、压裂作业和试油（气）过程应采取防喷、地面管线防刺、防漏、防溢等措施。</w:t>
                  </w:r>
                </w:p>
              </w:tc>
              <w:tc>
                <w:tcPr>
                  <w:tcW w:w="2835" w:type="dxa"/>
                  <w:vAlign w:val="center"/>
                </w:tcPr>
                <w:p>
                  <w:pPr>
                    <w:pStyle w:val="340"/>
                    <w:rPr>
                      <w:szCs w:val="21"/>
                    </w:rPr>
                  </w:pPr>
                  <w:r>
                    <w:rPr>
                      <w:szCs w:val="21"/>
                    </w:rPr>
                    <w:t>本项目酸化液运输到现场集中配置，测试放喷作业时通过放喷分离器分离后全部收集在集酸坑，采取了防漏、防溢措施，全部外运处理。</w:t>
                  </w:r>
                </w:p>
              </w:tc>
              <w:tc>
                <w:tcPr>
                  <w:tcW w:w="693" w:type="dxa"/>
                  <w:vAlign w:val="center"/>
                </w:tcPr>
                <w:p>
                  <w:pPr>
                    <w:pStyle w:val="340"/>
                    <w:rPr>
                      <w:szCs w:val="21"/>
                    </w:rPr>
                  </w:pPr>
                  <w:r>
                    <w:rPr>
                      <w:szCs w:val="21"/>
                      <w:lang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48" w:type="dxa"/>
                  <w:vAlign w:val="center"/>
                </w:tcPr>
                <w:p>
                  <w:pPr>
                    <w:pStyle w:val="340"/>
                    <w:rPr>
                      <w:b/>
                      <w:bCs/>
                      <w:szCs w:val="21"/>
                      <w:lang w:bidi="ar"/>
                    </w:rPr>
                  </w:pPr>
                  <w:r>
                    <w:rPr>
                      <w:b/>
                      <w:bCs/>
                      <w:szCs w:val="21"/>
                      <w:lang w:bidi="ar"/>
                    </w:rPr>
                    <w:t>二</w:t>
                  </w:r>
                </w:p>
              </w:tc>
              <w:tc>
                <w:tcPr>
                  <w:tcW w:w="7000" w:type="dxa"/>
                  <w:gridSpan w:val="3"/>
                  <w:vAlign w:val="center"/>
                </w:tcPr>
                <w:p>
                  <w:pPr>
                    <w:pStyle w:val="340"/>
                    <w:rPr>
                      <w:b/>
                      <w:bCs/>
                      <w:szCs w:val="21"/>
                      <w:lang w:bidi="ar"/>
                    </w:rPr>
                  </w:pPr>
                  <w:r>
                    <w:rPr>
                      <w:b/>
                      <w:bCs/>
                      <w:szCs w:val="21"/>
                      <w:lang w:bidi="ar"/>
                    </w:rPr>
                    <w:t>生态保护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48" w:type="dxa"/>
                  <w:vAlign w:val="center"/>
                </w:tcPr>
                <w:p>
                  <w:pPr>
                    <w:pStyle w:val="340"/>
                    <w:rPr>
                      <w:szCs w:val="21"/>
                      <w:lang w:bidi="ar"/>
                    </w:rPr>
                  </w:pPr>
                  <w:r>
                    <w:rPr>
                      <w:szCs w:val="21"/>
                      <w:lang w:bidi="ar"/>
                    </w:rPr>
                    <w:t>1</w:t>
                  </w:r>
                </w:p>
              </w:tc>
              <w:tc>
                <w:tcPr>
                  <w:tcW w:w="3472" w:type="dxa"/>
                  <w:vAlign w:val="center"/>
                </w:tcPr>
                <w:p>
                  <w:pPr>
                    <w:pStyle w:val="340"/>
                    <w:rPr>
                      <w:szCs w:val="21"/>
                      <w:lang w:bidi="ar"/>
                    </w:rPr>
                  </w:pPr>
                  <w:r>
                    <w:rPr>
                      <w:szCs w:val="21"/>
                      <w:lang w:bidi="ar"/>
                    </w:rPr>
                    <w:t>在开发过程中，伴生气应回收利用，减少温室气体排放，不具备回收利用条件的，应充分燃烧，伴生气回收利用率应达到80%以上；站场放空天然气应充分燃烧。燃烧放空设施应避开鸟类迁徙通道</w:t>
                  </w:r>
                </w:p>
              </w:tc>
              <w:tc>
                <w:tcPr>
                  <w:tcW w:w="2835" w:type="dxa"/>
                  <w:vAlign w:val="center"/>
                </w:tcPr>
                <w:p>
                  <w:pPr>
                    <w:pStyle w:val="340"/>
                    <w:rPr>
                      <w:szCs w:val="21"/>
                      <w:lang w:bidi="ar"/>
                    </w:rPr>
                  </w:pPr>
                  <w:r>
                    <w:rPr>
                      <w:szCs w:val="21"/>
                      <w:lang w:bidi="ar"/>
                    </w:rPr>
                    <w:t>放喷过程中不具备利用条件，在放喷池进行充分燃烧。放喷池不位于鸟类迁徙通道上。</w:t>
                  </w:r>
                </w:p>
              </w:tc>
              <w:tc>
                <w:tcPr>
                  <w:tcW w:w="693" w:type="dxa"/>
                  <w:vAlign w:val="center"/>
                </w:tcPr>
                <w:p>
                  <w:pPr>
                    <w:pStyle w:val="340"/>
                    <w:rPr>
                      <w:szCs w:val="21"/>
                      <w:lang w:bidi="ar"/>
                    </w:rPr>
                  </w:pPr>
                  <w:r>
                    <w:rPr>
                      <w:szCs w:val="21"/>
                      <w:lang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48" w:type="dxa"/>
                  <w:vAlign w:val="center"/>
                </w:tcPr>
                <w:p>
                  <w:pPr>
                    <w:pStyle w:val="340"/>
                    <w:rPr>
                      <w:b/>
                      <w:bCs/>
                      <w:szCs w:val="21"/>
                      <w:lang w:bidi="ar"/>
                    </w:rPr>
                  </w:pPr>
                  <w:r>
                    <w:rPr>
                      <w:b/>
                      <w:bCs/>
                      <w:szCs w:val="21"/>
                      <w:lang w:bidi="ar"/>
                    </w:rPr>
                    <w:t>三</w:t>
                  </w:r>
                </w:p>
              </w:tc>
              <w:tc>
                <w:tcPr>
                  <w:tcW w:w="7000" w:type="dxa"/>
                  <w:gridSpan w:val="3"/>
                  <w:vAlign w:val="center"/>
                </w:tcPr>
                <w:p>
                  <w:pPr>
                    <w:pStyle w:val="340"/>
                    <w:rPr>
                      <w:b/>
                      <w:bCs/>
                      <w:szCs w:val="21"/>
                      <w:lang w:bidi="ar"/>
                    </w:rPr>
                  </w:pPr>
                  <w:r>
                    <w:rPr>
                      <w:b/>
                      <w:bCs/>
                      <w:szCs w:val="21"/>
                      <w:lang w:bidi="ar"/>
                    </w:rPr>
                    <w:t>污染治理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48" w:type="dxa"/>
                  <w:vAlign w:val="center"/>
                </w:tcPr>
                <w:p>
                  <w:pPr>
                    <w:pStyle w:val="340"/>
                    <w:rPr>
                      <w:szCs w:val="21"/>
                      <w:lang w:bidi="ar"/>
                    </w:rPr>
                  </w:pPr>
                  <w:r>
                    <w:rPr>
                      <w:szCs w:val="21"/>
                      <w:lang w:bidi="ar"/>
                    </w:rPr>
                    <w:t>1</w:t>
                  </w:r>
                </w:p>
              </w:tc>
              <w:tc>
                <w:tcPr>
                  <w:tcW w:w="3472" w:type="dxa"/>
                  <w:vAlign w:val="center"/>
                </w:tcPr>
                <w:p>
                  <w:pPr>
                    <w:pStyle w:val="340"/>
                    <w:rPr>
                      <w:b/>
                      <w:bCs/>
                      <w:szCs w:val="21"/>
                      <w:lang w:bidi="ar"/>
                    </w:rPr>
                  </w:pPr>
                  <w:r>
                    <w:rPr>
                      <w:szCs w:val="21"/>
                      <w:lang w:bidi="ar"/>
                    </w:rPr>
                    <w:t>在钻井和井下作业过程中，鼓励污油、污水进入生产流程循环利用，未进入生产流程的污油、污水应采用固液分离、废水处理一体化装置等处理后达标外排。在油气开发过程中，未回注的油气田采出水宜采用混凝气浮和生化处理相结合的方式。</w:t>
                  </w:r>
                </w:p>
              </w:tc>
              <w:tc>
                <w:tcPr>
                  <w:tcW w:w="2835" w:type="dxa"/>
                </w:tcPr>
                <w:p>
                  <w:pPr>
                    <w:pStyle w:val="340"/>
                    <w:rPr>
                      <w:b/>
                      <w:bCs/>
                      <w:szCs w:val="21"/>
                      <w:lang w:bidi="ar"/>
                    </w:rPr>
                  </w:pPr>
                  <w:r>
                    <w:rPr>
                      <w:szCs w:val="21"/>
                    </w:rPr>
                    <w:t>钻井过程中采用清洁化生产工艺，试气过程中产生的废水经过处理后尽量重复利用。本项目不能利用的废水经收集后，采用罐车外运至四川瑞利生物科技有限公司</w:t>
                  </w:r>
                  <w:r>
                    <w:rPr>
                      <w:color w:val="FF0000"/>
                      <w:szCs w:val="21"/>
                    </w:rPr>
                    <w:t>处理</w:t>
                  </w:r>
                  <w:r>
                    <w:rPr>
                      <w:szCs w:val="21"/>
                    </w:rPr>
                    <w:t>达标后排放。</w:t>
                  </w:r>
                </w:p>
              </w:tc>
              <w:tc>
                <w:tcPr>
                  <w:tcW w:w="693" w:type="dxa"/>
                  <w:vAlign w:val="center"/>
                </w:tcPr>
                <w:p>
                  <w:pPr>
                    <w:pStyle w:val="340"/>
                    <w:rPr>
                      <w:b/>
                      <w:bCs/>
                      <w:szCs w:val="21"/>
                      <w:lang w:bidi="ar"/>
                    </w:rPr>
                  </w:pPr>
                  <w:r>
                    <w:rPr>
                      <w:szCs w:val="21"/>
                      <w:lang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48" w:type="dxa"/>
                  <w:vAlign w:val="center"/>
                </w:tcPr>
                <w:p>
                  <w:pPr>
                    <w:pStyle w:val="340"/>
                    <w:rPr>
                      <w:szCs w:val="21"/>
                    </w:rPr>
                  </w:pPr>
                  <w:r>
                    <w:rPr>
                      <w:szCs w:val="21"/>
                    </w:rPr>
                    <w:t>2</w:t>
                  </w:r>
                </w:p>
              </w:tc>
              <w:tc>
                <w:tcPr>
                  <w:tcW w:w="3472" w:type="dxa"/>
                  <w:vAlign w:val="center"/>
                </w:tcPr>
                <w:p>
                  <w:pPr>
                    <w:pStyle w:val="340"/>
                    <w:rPr>
                      <w:szCs w:val="21"/>
                    </w:rPr>
                  </w:pPr>
                  <w:r>
                    <w:rPr>
                      <w:szCs w:val="21"/>
                      <w:lang w:bidi="ar"/>
                    </w:rPr>
                    <w:t>固体废物收集、贮存、处理处置设施应按照标准要求采取防渗措施。试油（气）后应立即封闭废弃钻井液贮池。</w:t>
                  </w:r>
                </w:p>
              </w:tc>
              <w:tc>
                <w:tcPr>
                  <w:tcW w:w="2835" w:type="dxa"/>
                </w:tcPr>
                <w:p>
                  <w:pPr>
                    <w:pStyle w:val="340"/>
                    <w:rPr>
                      <w:szCs w:val="21"/>
                    </w:rPr>
                  </w:pPr>
                  <w:r>
                    <w:rPr>
                      <w:szCs w:val="21"/>
                    </w:rPr>
                    <w:t>钻井过程中按相关要求进行固废收集、贮存和处理。完井后对清洁生产操作平台、应急池清理后封闭。</w:t>
                  </w:r>
                </w:p>
              </w:tc>
              <w:tc>
                <w:tcPr>
                  <w:tcW w:w="693" w:type="dxa"/>
                  <w:vAlign w:val="center"/>
                </w:tcPr>
                <w:p>
                  <w:pPr>
                    <w:pStyle w:val="340"/>
                    <w:rPr>
                      <w:b/>
                      <w:bCs/>
                      <w:szCs w:val="21"/>
                      <w:lang w:bidi="ar"/>
                    </w:rPr>
                  </w:pPr>
                  <w:r>
                    <w:rPr>
                      <w:szCs w:val="21"/>
                      <w:lang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48" w:type="dxa"/>
                  <w:vAlign w:val="center"/>
                </w:tcPr>
                <w:p>
                  <w:pPr>
                    <w:pStyle w:val="340"/>
                    <w:rPr>
                      <w:b/>
                      <w:bCs/>
                      <w:szCs w:val="21"/>
                      <w:lang w:bidi="ar"/>
                    </w:rPr>
                  </w:pPr>
                  <w:r>
                    <w:rPr>
                      <w:b/>
                      <w:bCs/>
                      <w:szCs w:val="21"/>
                      <w:lang w:bidi="ar"/>
                    </w:rPr>
                    <w:t>3</w:t>
                  </w:r>
                </w:p>
              </w:tc>
              <w:tc>
                <w:tcPr>
                  <w:tcW w:w="3472" w:type="dxa"/>
                  <w:vAlign w:val="center"/>
                </w:tcPr>
                <w:p>
                  <w:pPr>
                    <w:pStyle w:val="340"/>
                    <w:rPr>
                      <w:b/>
                      <w:bCs/>
                      <w:szCs w:val="21"/>
                      <w:lang w:bidi="ar"/>
                    </w:rPr>
                  </w:pPr>
                  <w:r>
                    <w:rPr>
                      <w:szCs w:val="21"/>
                      <w:lang w:bidi="ar"/>
                    </w:rPr>
                    <w:t>应回收落地原油，以及原油处理、废水处理产生的油泥（砂）等中的油类物质，含油污泥资源化利用率应达到90%以上，残余固体废物应按照《国家危险废物名录》和危险废物鉴别标准识别，根据识别结果资源化利用或无害化处置。</w:t>
                  </w:r>
                </w:p>
              </w:tc>
              <w:tc>
                <w:tcPr>
                  <w:tcW w:w="2835" w:type="dxa"/>
                </w:tcPr>
                <w:p>
                  <w:pPr>
                    <w:pStyle w:val="340"/>
                    <w:rPr>
                      <w:b/>
                      <w:bCs/>
                      <w:szCs w:val="21"/>
                      <w:lang w:bidi="ar"/>
                    </w:rPr>
                  </w:pPr>
                  <w:r>
                    <w:rPr>
                      <w:szCs w:val="21"/>
                    </w:rPr>
                    <w:t>不涉及原油使用，本工程在井口及易产生油污的生产设施底部进行防渗处理，收集可能产生的废润滑油，完钻后统一收集交有资质单位处置。</w:t>
                  </w:r>
                </w:p>
              </w:tc>
              <w:tc>
                <w:tcPr>
                  <w:tcW w:w="693" w:type="dxa"/>
                  <w:vAlign w:val="center"/>
                </w:tcPr>
                <w:p>
                  <w:pPr>
                    <w:pStyle w:val="340"/>
                    <w:rPr>
                      <w:b/>
                      <w:bCs/>
                      <w:szCs w:val="21"/>
                      <w:lang w:bidi="ar"/>
                    </w:rPr>
                  </w:pPr>
                  <w:r>
                    <w:rPr>
                      <w:szCs w:val="21"/>
                      <w:lang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48" w:type="dxa"/>
                  <w:vAlign w:val="center"/>
                </w:tcPr>
                <w:p>
                  <w:pPr>
                    <w:pStyle w:val="340"/>
                    <w:rPr>
                      <w:b/>
                      <w:bCs/>
                      <w:szCs w:val="21"/>
                      <w:lang w:bidi="ar"/>
                    </w:rPr>
                  </w:pPr>
                  <w:r>
                    <w:rPr>
                      <w:b/>
                      <w:bCs/>
                      <w:szCs w:val="21"/>
                      <w:lang w:bidi="ar"/>
                    </w:rPr>
                    <w:t>4</w:t>
                  </w:r>
                </w:p>
              </w:tc>
              <w:tc>
                <w:tcPr>
                  <w:tcW w:w="3472" w:type="dxa"/>
                  <w:vAlign w:val="center"/>
                </w:tcPr>
                <w:p>
                  <w:pPr>
                    <w:pStyle w:val="340"/>
                    <w:rPr>
                      <w:b/>
                      <w:bCs/>
                      <w:szCs w:val="21"/>
                      <w:lang w:bidi="ar"/>
                    </w:rPr>
                  </w:pPr>
                  <w:r>
                    <w:rPr>
                      <w:szCs w:val="21"/>
                      <w:lang w:bidi="ar"/>
                    </w:rPr>
                    <w:t>对受到油污染的土壤宜采取生物或物化方法进行修复。</w:t>
                  </w:r>
                </w:p>
              </w:tc>
              <w:tc>
                <w:tcPr>
                  <w:tcW w:w="2835" w:type="dxa"/>
                  <w:vAlign w:val="center"/>
                </w:tcPr>
                <w:p>
                  <w:pPr>
                    <w:pStyle w:val="340"/>
                    <w:rPr>
                      <w:b/>
                      <w:bCs/>
                      <w:szCs w:val="21"/>
                      <w:lang w:bidi="ar"/>
                    </w:rPr>
                  </w:pPr>
                  <w:r>
                    <w:rPr>
                      <w:szCs w:val="21"/>
                      <w:lang w:bidi="ar"/>
                    </w:rPr>
                    <w:t>不涉及原油使用，废润滑油很少，通过采取防渗措施，总体不会造成土壤的油污染。</w:t>
                  </w:r>
                </w:p>
              </w:tc>
              <w:tc>
                <w:tcPr>
                  <w:tcW w:w="693" w:type="dxa"/>
                  <w:vAlign w:val="center"/>
                </w:tcPr>
                <w:p>
                  <w:pPr>
                    <w:pStyle w:val="340"/>
                    <w:rPr>
                      <w:b/>
                      <w:bCs/>
                      <w:szCs w:val="21"/>
                      <w:lang w:bidi="ar"/>
                    </w:rPr>
                  </w:pPr>
                  <w:r>
                    <w:rPr>
                      <w:szCs w:val="21"/>
                      <w:lang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48" w:type="dxa"/>
                  <w:vAlign w:val="center"/>
                </w:tcPr>
                <w:p>
                  <w:pPr>
                    <w:pStyle w:val="340"/>
                    <w:rPr>
                      <w:b/>
                      <w:bCs/>
                      <w:szCs w:val="21"/>
                      <w:lang w:bidi="ar"/>
                    </w:rPr>
                  </w:pPr>
                  <w:r>
                    <w:rPr>
                      <w:b/>
                      <w:bCs/>
                      <w:szCs w:val="21"/>
                      <w:lang w:bidi="ar"/>
                    </w:rPr>
                    <w:t>四</w:t>
                  </w:r>
                </w:p>
              </w:tc>
              <w:tc>
                <w:tcPr>
                  <w:tcW w:w="7000" w:type="dxa"/>
                  <w:gridSpan w:val="3"/>
                  <w:vAlign w:val="center"/>
                </w:tcPr>
                <w:p>
                  <w:pPr>
                    <w:pStyle w:val="340"/>
                    <w:rPr>
                      <w:szCs w:val="21"/>
                      <w:lang w:bidi="ar"/>
                    </w:rPr>
                  </w:pPr>
                  <w:r>
                    <w:rPr>
                      <w:b/>
                      <w:bCs/>
                      <w:szCs w:val="21"/>
                      <w:lang w:bidi="ar"/>
                    </w:rPr>
                    <w:t>运行风险和环境管理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48" w:type="dxa"/>
                  <w:vAlign w:val="center"/>
                </w:tcPr>
                <w:p>
                  <w:pPr>
                    <w:pStyle w:val="340"/>
                    <w:rPr>
                      <w:szCs w:val="21"/>
                      <w:lang w:bidi="ar"/>
                    </w:rPr>
                  </w:pPr>
                  <w:r>
                    <w:rPr>
                      <w:szCs w:val="21"/>
                    </w:rPr>
                    <w:t>1</w:t>
                  </w:r>
                </w:p>
              </w:tc>
              <w:tc>
                <w:tcPr>
                  <w:tcW w:w="3472" w:type="dxa"/>
                  <w:vAlign w:val="center"/>
                </w:tcPr>
                <w:p>
                  <w:pPr>
                    <w:pStyle w:val="340"/>
                    <w:rPr>
                      <w:szCs w:val="21"/>
                      <w:lang w:bidi="ar"/>
                    </w:rPr>
                  </w:pPr>
                  <w:r>
                    <w:rPr>
                      <w:szCs w:val="21"/>
                      <w:lang w:bidi="ar"/>
                    </w:rPr>
                    <w:t>油气田企业应制定环境保护管理规定，建立并运行健康、安全与环境管理体系。</w:t>
                  </w:r>
                </w:p>
              </w:tc>
              <w:tc>
                <w:tcPr>
                  <w:tcW w:w="2835" w:type="dxa"/>
                  <w:vAlign w:val="center"/>
                </w:tcPr>
                <w:p>
                  <w:pPr>
                    <w:pStyle w:val="340"/>
                    <w:rPr>
                      <w:szCs w:val="21"/>
                      <w:lang w:bidi="ar"/>
                    </w:rPr>
                  </w:pPr>
                  <w:r>
                    <w:rPr>
                      <w:szCs w:val="21"/>
                      <w:lang w:bidi="ar"/>
                    </w:rPr>
                    <w:t>建设单位制定有完善的环境保护管理规定，并建立运行健康、安全与环境管理体系。</w:t>
                  </w:r>
                </w:p>
              </w:tc>
              <w:tc>
                <w:tcPr>
                  <w:tcW w:w="693" w:type="dxa"/>
                  <w:vAlign w:val="center"/>
                </w:tcPr>
                <w:p>
                  <w:pPr>
                    <w:pStyle w:val="340"/>
                    <w:rPr>
                      <w:szCs w:val="21"/>
                      <w:lang w:bidi="ar"/>
                    </w:rPr>
                  </w:pPr>
                  <w:r>
                    <w:rPr>
                      <w:szCs w:val="21"/>
                      <w:lang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48" w:type="dxa"/>
                  <w:vAlign w:val="center"/>
                </w:tcPr>
                <w:p>
                  <w:pPr>
                    <w:pStyle w:val="340"/>
                    <w:rPr>
                      <w:szCs w:val="21"/>
                      <w:lang w:bidi="ar"/>
                    </w:rPr>
                  </w:pPr>
                  <w:r>
                    <w:rPr>
                      <w:szCs w:val="21"/>
                      <w:lang w:bidi="ar"/>
                    </w:rPr>
                    <w:t>2</w:t>
                  </w:r>
                </w:p>
              </w:tc>
              <w:tc>
                <w:tcPr>
                  <w:tcW w:w="3472" w:type="dxa"/>
                  <w:vAlign w:val="center"/>
                </w:tcPr>
                <w:p>
                  <w:pPr>
                    <w:pStyle w:val="340"/>
                    <w:rPr>
                      <w:szCs w:val="21"/>
                      <w:lang w:bidi="ar"/>
                    </w:rPr>
                  </w:pPr>
                  <w:r>
                    <w:rPr>
                      <w:szCs w:val="21"/>
                      <w:lang w:bidi="ar"/>
                    </w:rPr>
                    <w:t>加强油气田建设、开发过程的环境监督管理。</w:t>
                  </w:r>
                </w:p>
              </w:tc>
              <w:tc>
                <w:tcPr>
                  <w:tcW w:w="2835" w:type="dxa"/>
                  <w:vAlign w:val="center"/>
                </w:tcPr>
                <w:p>
                  <w:pPr>
                    <w:pStyle w:val="340"/>
                    <w:rPr>
                      <w:szCs w:val="21"/>
                      <w:lang w:bidi="ar"/>
                    </w:rPr>
                  </w:pPr>
                  <w:r>
                    <w:rPr>
                      <w:szCs w:val="21"/>
                      <w:lang w:bidi="ar"/>
                    </w:rPr>
                    <w:t>建设单位制定有完善的环境监督管理</w:t>
                  </w:r>
                </w:p>
              </w:tc>
              <w:tc>
                <w:tcPr>
                  <w:tcW w:w="693" w:type="dxa"/>
                  <w:vAlign w:val="center"/>
                </w:tcPr>
                <w:p>
                  <w:pPr>
                    <w:pStyle w:val="340"/>
                    <w:rPr>
                      <w:szCs w:val="21"/>
                      <w:lang w:bidi="ar"/>
                    </w:rPr>
                  </w:pPr>
                  <w:r>
                    <w:rPr>
                      <w:szCs w:val="21"/>
                      <w:lang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48" w:type="dxa"/>
                  <w:vAlign w:val="center"/>
                </w:tcPr>
                <w:p>
                  <w:pPr>
                    <w:pStyle w:val="340"/>
                    <w:rPr>
                      <w:szCs w:val="21"/>
                      <w:lang w:bidi="ar"/>
                    </w:rPr>
                  </w:pPr>
                  <w:r>
                    <w:rPr>
                      <w:szCs w:val="21"/>
                      <w:lang w:bidi="ar"/>
                    </w:rPr>
                    <w:t>3</w:t>
                  </w:r>
                </w:p>
              </w:tc>
              <w:tc>
                <w:tcPr>
                  <w:tcW w:w="3472" w:type="dxa"/>
                  <w:vAlign w:val="center"/>
                </w:tcPr>
                <w:p>
                  <w:pPr>
                    <w:pStyle w:val="340"/>
                    <w:rPr>
                      <w:szCs w:val="21"/>
                      <w:lang w:bidi="ar"/>
                    </w:rPr>
                  </w:pPr>
                  <w:r>
                    <w:rPr>
                      <w:szCs w:val="21"/>
                      <w:lang w:bidi="ar"/>
                    </w:rPr>
                    <w:t>在开发过程中，企业应加强油气井套管的检测和维护，防止油气泄漏污染地下水。</w:t>
                  </w:r>
                </w:p>
              </w:tc>
              <w:tc>
                <w:tcPr>
                  <w:tcW w:w="2835" w:type="dxa"/>
                  <w:vAlign w:val="center"/>
                </w:tcPr>
                <w:p>
                  <w:pPr>
                    <w:pStyle w:val="340"/>
                    <w:rPr>
                      <w:szCs w:val="21"/>
                      <w:lang w:bidi="ar"/>
                    </w:rPr>
                  </w:pPr>
                  <w:r>
                    <w:rPr>
                      <w:szCs w:val="21"/>
                      <w:lang w:bidi="ar"/>
                    </w:rPr>
                    <w:t>建设单位制定有完善的套管监测维护计划和制度，防止天然气泄漏污染地下水。</w:t>
                  </w:r>
                </w:p>
              </w:tc>
              <w:tc>
                <w:tcPr>
                  <w:tcW w:w="693" w:type="dxa"/>
                  <w:vAlign w:val="center"/>
                </w:tcPr>
                <w:p>
                  <w:pPr>
                    <w:pStyle w:val="340"/>
                    <w:rPr>
                      <w:szCs w:val="21"/>
                      <w:lang w:bidi="ar"/>
                    </w:rPr>
                  </w:pPr>
                  <w:r>
                    <w:rPr>
                      <w:szCs w:val="21"/>
                      <w:lang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48" w:type="dxa"/>
                  <w:vAlign w:val="center"/>
                </w:tcPr>
                <w:p>
                  <w:pPr>
                    <w:pStyle w:val="340"/>
                    <w:rPr>
                      <w:szCs w:val="21"/>
                      <w:lang w:bidi="ar"/>
                    </w:rPr>
                  </w:pPr>
                  <w:r>
                    <w:rPr>
                      <w:szCs w:val="21"/>
                      <w:lang w:bidi="ar"/>
                    </w:rPr>
                    <w:t>4</w:t>
                  </w:r>
                </w:p>
              </w:tc>
              <w:tc>
                <w:tcPr>
                  <w:tcW w:w="3472" w:type="dxa"/>
                  <w:vAlign w:val="center"/>
                </w:tcPr>
                <w:p>
                  <w:pPr>
                    <w:pStyle w:val="340"/>
                    <w:rPr>
                      <w:szCs w:val="21"/>
                      <w:lang w:bidi="ar"/>
                    </w:rPr>
                  </w:pPr>
                  <w:r>
                    <w:rPr>
                      <w:szCs w:val="21"/>
                      <w:lang w:bidi="ar"/>
                    </w:rPr>
                    <w:t>油气田企业应建立环境保护人员培训制度，环境监测人员、统计人员、污染治理设施操作人员应经培训合格后上岗。</w:t>
                  </w:r>
                </w:p>
              </w:tc>
              <w:tc>
                <w:tcPr>
                  <w:tcW w:w="2835" w:type="dxa"/>
                  <w:vAlign w:val="center"/>
                </w:tcPr>
                <w:p>
                  <w:pPr>
                    <w:pStyle w:val="340"/>
                    <w:rPr>
                      <w:szCs w:val="21"/>
                      <w:lang w:bidi="ar"/>
                    </w:rPr>
                  </w:pPr>
                  <w:r>
                    <w:rPr>
                      <w:szCs w:val="21"/>
                      <w:lang w:bidi="ar"/>
                    </w:rPr>
                    <w:t>建设单位设置有专门的环境管理部门，并制定有完善的环境管理制度和培训制度。</w:t>
                  </w:r>
                </w:p>
              </w:tc>
              <w:tc>
                <w:tcPr>
                  <w:tcW w:w="693" w:type="dxa"/>
                  <w:vAlign w:val="center"/>
                </w:tcPr>
                <w:p>
                  <w:pPr>
                    <w:pStyle w:val="340"/>
                    <w:rPr>
                      <w:szCs w:val="21"/>
                      <w:lang w:bidi="ar"/>
                    </w:rPr>
                  </w:pPr>
                  <w:r>
                    <w:rPr>
                      <w:szCs w:val="21"/>
                      <w:lang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48" w:type="dxa"/>
                  <w:vAlign w:val="center"/>
                </w:tcPr>
                <w:p>
                  <w:pPr>
                    <w:pStyle w:val="340"/>
                    <w:rPr>
                      <w:szCs w:val="21"/>
                      <w:lang w:bidi="ar"/>
                    </w:rPr>
                  </w:pPr>
                  <w:r>
                    <w:rPr>
                      <w:szCs w:val="21"/>
                      <w:lang w:bidi="ar"/>
                    </w:rPr>
                    <w:t>5</w:t>
                  </w:r>
                </w:p>
              </w:tc>
              <w:tc>
                <w:tcPr>
                  <w:tcW w:w="3472" w:type="dxa"/>
                  <w:vAlign w:val="center"/>
                </w:tcPr>
                <w:p>
                  <w:pPr>
                    <w:pStyle w:val="340"/>
                    <w:rPr>
                      <w:szCs w:val="21"/>
                      <w:lang w:bidi="ar"/>
                    </w:rPr>
                  </w:pPr>
                  <w:r>
                    <w:rPr>
                      <w:szCs w:val="21"/>
                      <w:lang w:bidi="ar"/>
                    </w:rPr>
                    <w:t>油气田企业应对开发过程进行环境风险因素识别，制定突发环境事件应急预案并定期进行演练。应开展特征污染物监测工作，采取环境风险防范和应急措施，防止发生由突发性油气泄漏产生的环境事故。</w:t>
                  </w:r>
                </w:p>
              </w:tc>
              <w:tc>
                <w:tcPr>
                  <w:tcW w:w="2835" w:type="dxa"/>
                  <w:vAlign w:val="center"/>
                </w:tcPr>
                <w:p>
                  <w:pPr>
                    <w:pStyle w:val="340"/>
                    <w:rPr>
                      <w:szCs w:val="21"/>
                      <w:lang w:bidi="ar"/>
                    </w:rPr>
                  </w:pPr>
                  <w:r>
                    <w:rPr>
                      <w:szCs w:val="21"/>
                      <w:lang w:bidi="ar"/>
                    </w:rPr>
                    <w:t>建设单位设置有突发环境事件应急预案，并定期举行演练。在井场周边设置有事故监测点，实时监测危险因子。</w:t>
                  </w:r>
                </w:p>
              </w:tc>
              <w:tc>
                <w:tcPr>
                  <w:tcW w:w="693" w:type="dxa"/>
                  <w:vAlign w:val="center"/>
                </w:tcPr>
                <w:p>
                  <w:pPr>
                    <w:pStyle w:val="340"/>
                    <w:rPr>
                      <w:szCs w:val="21"/>
                      <w:lang w:bidi="ar"/>
                    </w:rPr>
                  </w:pPr>
                  <w:r>
                    <w:rPr>
                      <w:szCs w:val="21"/>
                      <w:lang w:bidi="ar"/>
                    </w:rPr>
                    <w:t>符合</w:t>
                  </w:r>
                </w:p>
              </w:tc>
            </w:tr>
          </w:tbl>
          <w:p>
            <w:pPr>
              <w:pStyle w:val="339"/>
              <w:ind w:firstLine="420"/>
              <w:rPr>
                <w:szCs w:val="21"/>
              </w:rPr>
            </w:pPr>
            <w:r>
              <w:rPr>
                <w:szCs w:val="21"/>
              </w:rPr>
              <w:t>通过与《石油天然气开采业污染防治技术政策》中清洁生产、生态保护、污染治理、运行风险和环境管理内容进行对比分析，本项目的建设符合《石油天然气开采业污染防治技术政策》要求。</w:t>
            </w:r>
          </w:p>
          <w:p>
            <w:pPr>
              <w:pStyle w:val="36"/>
              <w:numPr>
                <w:ilvl w:val="1"/>
                <w:numId w:val="2"/>
              </w:numPr>
              <w:spacing w:before="0" w:beforeAutospacing="0" w:after="0" w:afterAutospacing="0" w:line="360" w:lineRule="auto"/>
              <w:ind w:left="0" w:firstLine="0"/>
              <w:rPr>
                <w:rFonts w:ascii="Times New Roman" w:hAnsi="Times New Roman"/>
                <w:b/>
                <w:sz w:val="21"/>
                <w:szCs w:val="21"/>
              </w:rPr>
            </w:pPr>
            <w:r>
              <w:rPr>
                <w:rFonts w:ascii="Times New Roman" w:hAnsi="Times New Roman"/>
                <w:b/>
                <w:sz w:val="21"/>
                <w:szCs w:val="21"/>
              </w:rPr>
              <w:t>与《中共四川省委关于制定四川省国民经济和社会发展第十四个五年规划和二〇三五年远景目标的建议》的符合性</w:t>
            </w:r>
          </w:p>
          <w:p>
            <w:pPr>
              <w:pStyle w:val="339"/>
              <w:ind w:firstLine="420"/>
              <w:rPr>
                <w:szCs w:val="21"/>
              </w:rPr>
            </w:pPr>
            <w:r>
              <w:rPr>
                <w:szCs w:val="21"/>
              </w:rPr>
              <w:t>《中共四川省委关于制定四川省国民经济和社会发展第十四个五年规划和二〇三五年远景目标的建议》中指出，“统筹能源水利基础设施建设。建设中国“气大庆”、特高压交流电网、水风光互补一体化清洁能源基地，完善能源产供储销体系，建设清洁能源示范省。实施“再造都江堰”水利大提升行动，推进引大济岷、长征渠等重大工程建设，完善“五横六纵”引水补水生态水网，提升水资源优化配置和水旱灾害防御能力”。本项目属于气田的陆地矿产资源地质勘查（含油气资源勘探），符合建设中国“气大庆”，因此拟建项目符合《中共四川省委关于制定四川省国民经济和社会发展第十四个五年规划和二〇三五年远景目标的建议》。</w:t>
            </w:r>
          </w:p>
          <w:p>
            <w:pPr>
              <w:pStyle w:val="36"/>
              <w:numPr>
                <w:ilvl w:val="1"/>
                <w:numId w:val="2"/>
              </w:numPr>
              <w:spacing w:before="0" w:beforeAutospacing="0" w:after="0" w:afterAutospacing="0" w:line="360" w:lineRule="auto"/>
              <w:ind w:left="0" w:firstLine="0"/>
              <w:rPr>
                <w:rFonts w:ascii="Times New Roman" w:hAnsi="Times New Roman"/>
                <w:b/>
                <w:sz w:val="21"/>
                <w:szCs w:val="21"/>
              </w:rPr>
            </w:pPr>
            <w:r>
              <w:rPr>
                <w:rFonts w:ascii="Times New Roman" w:hAnsi="Times New Roman"/>
                <w:b/>
                <w:sz w:val="21"/>
                <w:szCs w:val="21"/>
              </w:rPr>
              <w:t>与《关于做好占用永久基本农田重大建设项目用地预审的通知》（自然资规〔2018〕3号）符合性分析</w:t>
            </w:r>
          </w:p>
          <w:p>
            <w:pPr>
              <w:pStyle w:val="339"/>
              <w:ind w:firstLine="420"/>
              <w:rPr>
                <w:szCs w:val="21"/>
              </w:rPr>
            </w:pPr>
            <w:r>
              <w:rPr>
                <w:szCs w:val="21"/>
              </w:rPr>
              <w:t>《关于做好占用永久基本农田重大建设项目用地预审的通知》（自然资规〔2018〕3号）中明确“国家级规划明确的且符合国家产业政策的能源开采、油气管线、水电、核电项目”经批准可以占用永久基本农田。</w:t>
            </w:r>
          </w:p>
          <w:p>
            <w:pPr>
              <w:pStyle w:val="339"/>
              <w:ind w:firstLine="420"/>
              <w:rPr>
                <w:szCs w:val="21"/>
              </w:rPr>
            </w:pPr>
            <w:r>
              <w:rPr>
                <w:szCs w:val="21"/>
              </w:rPr>
              <w:t>拟建项目为陆地矿产资源地质勘查（含油气资源勘探），符合国家产业政策，属于（自然资规〔2018〕3号）中明确的“符合国家产业政策的能源开采”范畴，建设单位按照相关要求正在办理相关用地手续，因此符合相关要求。</w:t>
            </w:r>
          </w:p>
          <w:p>
            <w:pPr>
              <w:pStyle w:val="36"/>
              <w:numPr>
                <w:ilvl w:val="1"/>
                <w:numId w:val="2"/>
              </w:numPr>
              <w:spacing w:before="0" w:beforeAutospacing="0" w:after="0" w:afterAutospacing="0" w:line="360" w:lineRule="auto"/>
              <w:ind w:left="0" w:firstLine="0"/>
              <w:rPr>
                <w:rFonts w:ascii="Times New Roman" w:hAnsi="Times New Roman"/>
                <w:b/>
                <w:sz w:val="21"/>
                <w:szCs w:val="21"/>
              </w:rPr>
            </w:pPr>
            <w:r>
              <w:rPr>
                <w:rFonts w:ascii="Times New Roman" w:hAnsi="Times New Roman"/>
                <w:b/>
                <w:sz w:val="21"/>
                <w:szCs w:val="21"/>
              </w:rPr>
              <w:t>与《自然资源部农业农村部关于加强和改进永久基本农田保护工作的通知》（自然资规〔2019〕1号）符合性分析</w:t>
            </w:r>
          </w:p>
          <w:p>
            <w:pPr>
              <w:pStyle w:val="339"/>
              <w:ind w:firstLine="420"/>
              <w:rPr>
                <w:szCs w:val="21"/>
              </w:rPr>
            </w:pPr>
            <w:r>
              <w:rPr>
                <w:szCs w:val="21"/>
              </w:rPr>
              <w:t>根据《两部关于加强和改进永久基本农田保护工作的通知》（自然资规〔2019〕1号）中相关规定，“临时用地一般不得占用永久基本农田，建设项目施工和地质勘查需要临时用地、选址确实难以避让永久基本农田的，在不修建永久性建（构）筑物、经复垦能恢复原种植条件的前提下，土地使用者按法定程序申请临时用地并编制土地复垦方案，经县级自然资源主管部门批准可临时占用，并在市级自然资源主管部门备案，一般不超过两年，同时，通过耕地耕作层土壤剥离再利用等工程技术措施，减少对耕作层的破坏。”</w:t>
            </w:r>
          </w:p>
          <w:p>
            <w:pPr>
              <w:pStyle w:val="339"/>
              <w:ind w:firstLine="420"/>
              <w:rPr>
                <w:szCs w:val="21"/>
              </w:rPr>
            </w:pPr>
            <w:r>
              <w:rPr>
                <w:szCs w:val="21"/>
              </w:rPr>
              <w:t>建设单位按照相关要求正在办理相关用地手续。待项目施工结束后按照相关复垦要求进行作业。综上，本工程符合《自然资源部农业农村部关于加强和改进永久基本农田保护工作的通知》（自然资规〔2019〕1号）的要求。</w:t>
            </w:r>
          </w:p>
          <w:p>
            <w:pPr>
              <w:pStyle w:val="36"/>
              <w:numPr>
                <w:ilvl w:val="1"/>
                <w:numId w:val="2"/>
              </w:numPr>
              <w:spacing w:before="0" w:beforeAutospacing="0" w:after="0" w:afterAutospacing="0" w:line="360" w:lineRule="auto"/>
              <w:ind w:left="0" w:firstLine="0"/>
              <w:rPr>
                <w:rFonts w:ascii="Times New Roman" w:hAnsi="Times New Roman"/>
                <w:b/>
                <w:sz w:val="21"/>
                <w:szCs w:val="21"/>
              </w:rPr>
            </w:pPr>
            <w:r>
              <w:rPr>
                <w:rFonts w:ascii="Times New Roman" w:hAnsi="Times New Roman"/>
                <w:b/>
                <w:sz w:val="21"/>
                <w:szCs w:val="21"/>
              </w:rPr>
              <w:t>与自然资源部关于规范临时用地管理的通知（自然资规〔2021〕2号）符合性分析</w:t>
            </w:r>
          </w:p>
          <w:p>
            <w:pPr>
              <w:pStyle w:val="339"/>
              <w:ind w:firstLine="420"/>
              <w:rPr>
                <w:szCs w:val="21"/>
              </w:rPr>
            </w:pPr>
            <w:r>
              <w:rPr>
                <w:szCs w:val="21"/>
              </w:rPr>
              <w:t>根据《自然资源部关于规范临时用地管理的通知（自然资规〔2021〕2号）》中相关规定，“矿产资源勘查、工程地质勘查、水文地质勘查等，在勘查期间临时生活用房、临时工棚、勘查作业及其辅助工程、施工便道、运输便道等使用的土地，包括油气资源勘查中钻井井场、配套管线、电力设施、进场道路等钻井及配套设施使用的土地”属于临时用地范围，临时用地确需占用永久基本农田的，必须能够恢复原种植条件，并符合《自然资源部 农业农村部关于加强和改进永久基本农田保护工作的通知》（自然资规〔2019〕1号）中申请条件、土壤剥离、复垦验收等有关规定，临时用地使用期限一般不超过两年。建设周期较长的能源、交通、水利等基础设施建设项目施工使用的临时用地，期限不超过四年。建设单位按照相关要求正在办理相关用地手续，因此，本项目符合《自然资源部关于规范临时用地管理的通知（自然资规〔2021〕2号）》的要求。</w:t>
            </w:r>
          </w:p>
          <w:p>
            <w:pPr>
              <w:pStyle w:val="36"/>
              <w:numPr>
                <w:ilvl w:val="1"/>
                <w:numId w:val="2"/>
              </w:numPr>
              <w:spacing w:before="0" w:beforeAutospacing="0" w:after="0" w:afterAutospacing="0" w:line="360" w:lineRule="auto"/>
              <w:ind w:left="0" w:firstLine="0"/>
              <w:rPr>
                <w:rFonts w:ascii="Times New Roman" w:hAnsi="Times New Roman"/>
                <w:b/>
                <w:sz w:val="21"/>
                <w:szCs w:val="21"/>
              </w:rPr>
            </w:pPr>
            <w:r>
              <w:rPr>
                <w:rFonts w:ascii="Times New Roman" w:hAnsi="Times New Roman"/>
                <w:b/>
                <w:sz w:val="21"/>
                <w:szCs w:val="21"/>
              </w:rPr>
              <w:t>与《</w:t>
            </w:r>
            <w:bookmarkStart w:id="5" w:name="_Hlk103761627"/>
            <w:r>
              <w:rPr>
                <w:rFonts w:ascii="Times New Roman" w:hAnsi="Times New Roman"/>
                <w:b/>
                <w:sz w:val="21"/>
                <w:szCs w:val="21"/>
              </w:rPr>
              <w:t>四川省嘉陵江流域生态环境保护条例</w:t>
            </w:r>
            <w:bookmarkEnd w:id="5"/>
            <w:r>
              <w:rPr>
                <w:rFonts w:ascii="Times New Roman" w:hAnsi="Times New Roman"/>
                <w:b/>
                <w:sz w:val="21"/>
                <w:szCs w:val="21"/>
              </w:rPr>
              <w:t>》符合性分析</w:t>
            </w:r>
          </w:p>
          <w:p>
            <w:pPr>
              <w:pStyle w:val="339"/>
              <w:ind w:firstLine="420"/>
              <w:rPr>
                <w:szCs w:val="21"/>
              </w:rPr>
            </w:pPr>
            <w:r>
              <w:rPr>
                <w:szCs w:val="21"/>
              </w:rPr>
              <w:t>本项目与《四川省嘉陵江流域生态环境保护条例》符合性分析如下。</w:t>
            </w:r>
          </w:p>
          <w:p>
            <w:pPr>
              <w:numPr>
                <w:ilvl w:val="0"/>
                <w:numId w:val="3"/>
              </w:numPr>
              <w:spacing w:line="360" w:lineRule="auto"/>
              <w:ind w:left="0" w:firstLine="0"/>
              <w:jc w:val="center"/>
              <w:rPr>
                <w:b/>
                <w:szCs w:val="21"/>
              </w:rPr>
            </w:pPr>
            <w:r>
              <w:rPr>
                <w:b/>
                <w:szCs w:val="21"/>
              </w:rPr>
              <w:t>与《四川省嘉陵江流域生态环境保护条例》分析表</w:t>
            </w:r>
          </w:p>
          <w:tbl>
            <w:tblPr>
              <w:tblStyle w:val="4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8"/>
              <w:gridCol w:w="4484"/>
              <w:gridCol w:w="2060"/>
              <w:gridCol w:w="5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373" w:type="pct"/>
                  <w:vAlign w:val="center"/>
                </w:tcPr>
                <w:p>
                  <w:pPr>
                    <w:jc w:val="center"/>
                    <w:rPr>
                      <w:kern w:val="0"/>
                      <w:szCs w:val="21"/>
                      <w:lang w:bidi="ar"/>
                    </w:rPr>
                  </w:pPr>
                  <w:r>
                    <w:rPr>
                      <w:szCs w:val="21"/>
                    </w:rPr>
                    <w:t>序号</w:t>
                  </w:r>
                </w:p>
              </w:tc>
              <w:tc>
                <w:tcPr>
                  <w:tcW w:w="2945" w:type="pct"/>
                  <w:vAlign w:val="center"/>
                </w:tcPr>
                <w:p>
                  <w:pPr>
                    <w:jc w:val="center"/>
                    <w:rPr>
                      <w:kern w:val="0"/>
                      <w:szCs w:val="21"/>
                      <w:lang w:bidi="ar"/>
                    </w:rPr>
                  </w:pPr>
                  <w:r>
                    <w:rPr>
                      <w:szCs w:val="21"/>
                    </w:rPr>
                    <w:t>技术政策要求</w:t>
                  </w:r>
                </w:p>
              </w:tc>
              <w:tc>
                <w:tcPr>
                  <w:tcW w:w="1353" w:type="pct"/>
                  <w:vAlign w:val="center"/>
                </w:tcPr>
                <w:p>
                  <w:pPr>
                    <w:jc w:val="center"/>
                    <w:rPr>
                      <w:kern w:val="0"/>
                      <w:szCs w:val="21"/>
                      <w:lang w:bidi="ar"/>
                    </w:rPr>
                  </w:pPr>
                  <w:r>
                    <w:rPr>
                      <w:szCs w:val="21"/>
                    </w:rPr>
                    <w:t>本工程内容</w:t>
                  </w:r>
                </w:p>
              </w:tc>
              <w:tc>
                <w:tcPr>
                  <w:tcW w:w="329" w:type="pct"/>
                  <w:vAlign w:val="center"/>
                </w:tcPr>
                <w:p>
                  <w:pPr>
                    <w:jc w:val="center"/>
                    <w:rPr>
                      <w:kern w:val="0"/>
                      <w:szCs w:val="21"/>
                      <w:lang w:bidi="ar"/>
                    </w:rPr>
                  </w:pPr>
                  <w:r>
                    <w:rPr>
                      <w:szCs w:val="21"/>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373" w:type="pct"/>
                  <w:vAlign w:val="center"/>
                </w:tcPr>
                <w:p>
                  <w:pPr>
                    <w:widowControl/>
                    <w:jc w:val="center"/>
                    <w:rPr>
                      <w:szCs w:val="21"/>
                    </w:rPr>
                  </w:pPr>
                  <w:r>
                    <w:rPr>
                      <w:kern w:val="0"/>
                      <w:szCs w:val="21"/>
                      <w:lang w:bidi="ar"/>
                    </w:rPr>
                    <w:t>1</w:t>
                  </w:r>
                </w:p>
              </w:tc>
              <w:tc>
                <w:tcPr>
                  <w:tcW w:w="2945" w:type="pct"/>
                  <w:vAlign w:val="center"/>
                </w:tcPr>
                <w:p>
                  <w:pPr>
                    <w:widowControl/>
                    <w:jc w:val="center"/>
                    <w:rPr>
                      <w:kern w:val="0"/>
                      <w:szCs w:val="21"/>
                    </w:rPr>
                  </w:pPr>
                  <w:r>
                    <w:rPr>
                      <w:kern w:val="0"/>
                      <w:szCs w:val="21"/>
                    </w:rPr>
                    <w:t>禁止在嘉陵江干支流岸线一公里范围内新建、扩建化工园区和化工项目。</w:t>
                  </w:r>
                </w:p>
              </w:tc>
              <w:tc>
                <w:tcPr>
                  <w:tcW w:w="1353" w:type="pct"/>
                  <w:vAlign w:val="center"/>
                </w:tcPr>
                <w:p>
                  <w:pPr>
                    <w:pStyle w:val="25"/>
                    <w:spacing w:after="0" w:line="240" w:lineRule="auto"/>
                    <w:ind w:left="0" w:leftChars="0"/>
                    <w:jc w:val="center"/>
                    <w:rPr>
                      <w:szCs w:val="21"/>
                    </w:rPr>
                  </w:pPr>
                  <w:r>
                    <w:rPr>
                      <w:szCs w:val="21"/>
                    </w:rPr>
                    <w:t>本项目不属于化工项目。</w:t>
                  </w:r>
                </w:p>
              </w:tc>
              <w:tc>
                <w:tcPr>
                  <w:tcW w:w="329" w:type="pct"/>
                  <w:vAlign w:val="center"/>
                </w:tcPr>
                <w:p>
                  <w:pPr>
                    <w:widowControl/>
                    <w:jc w:val="center"/>
                    <w:rPr>
                      <w:szCs w:val="21"/>
                    </w:rPr>
                  </w:pPr>
                  <w:r>
                    <w:rPr>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373" w:type="pct"/>
                  <w:vAlign w:val="center"/>
                </w:tcPr>
                <w:p>
                  <w:pPr>
                    <w:widowControl/>
                    <w:jc w:val="center"/>
                    <w:rPr>
                      <w:kern w:val="0"/>
                      <w:szCs w:val="21"/>
                      <w:lang w:bidi="ar"/>
                    </w:rPr>
                  </w:pPr>
                  <w:r>
                    <w:rPr>
                      <w:kern w:val="0"/>
                      <w:szCs w:val="21"/>
                      <w:lang w:bidi="ar"/>
                    </w:rPr>
                    <w:t>2</w:t>
                  </w:r>
                </w:p>
              </w:tc>
              <w:tc>
                <w:tcPr>
                  <w:tcW w:w="2945" w:type="pct"/>
                  <w:vAlign w:val="center"/>
                </w:tcPr>
                <w:p>
                  <w:pPr>
                    <w:widowControl/>
                    <w:jc w:val="center"/>
                    <w:rPr>
                      <w:kern w:val="0"/>
                      <w:szCs w:val="21"/>
                    </w:rPr>
                  </w:pPr>
                  <w:r>
                    <w:rPr>
                      <w:kern w:val="0"/>
                      <w:szCs w:val="21"/>
                    </w:rPr>
                    <w:t>排污单位排放污染物不得超过国家和省污染物排放标准，不得超过重点水污染物排放总量控制指标。</w:t>
                  </w:r>
                </w:p>
              </w:tc>
              <w:tc>
                <w:tcPr>
                  <w:tcW w:w="1353" w:type="pct"/>
                  <w:vAlign w:val="center"/>
                </w:tcPr>
                <w:p>
                  <w:pPr>
                    <w:pStyle w:val="25"/>
                    <w:spacing w:after="0" w:line="240" w:lineRule="auto"/>
                    <w:ind w:left="0" w:leftChars="0"/>
                    <w:jc w:val="center"/>
                    <w:rPr>
                      <w:szCs w:val="21"/>
                    </w:rPr>
                  </w:pPr>
                  <w:r>
                    <w:rPr>
                      <w:szCs w:val="21"/>
                    </w:rPr>
                    <w:t>本项目废水经罐体、应急池收集后拟交由四川瑞利生物科技有限公司处理后达标排放，生活污水经旱厕收集后由吸污车拉运至北山镇污水处理厂处理后排放。</w:t>
                  </w:r>
                </w:p>
              </w:tc>
              <w:tc>
                <w:tcPr>
                  <w:tcW w:w="329" w:type="pct"/>
                  <w:vAlign w:val="center"/>
                </w:tcPr>
                <w:p>
                  <w:pPr>
                    <w:widowControl/>
                    <w:jc w:val="center"/>
                    <w:rPr>
                      <w:kern w:val="0"/>
                      <w:szCs w:val="21"/>
                      <w:lang w:bidi="ar"/>
                    </w:rPr>
                  </w:pPr>
                  <w:r>
                    <w:rPr>
                      <w:kern w:val="0"/>
                      <w:szCs w:val="21"/>
                      <w:lang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373" w:type="pct"/>
                  <w:vAlign w:val="center"/>
                </w:tcPr>
                <w:p>
                  <w:pPr>
                    <w:widowControl/>
                    <w:jc w:val="center"/>
                    <w:rPr>
                      <w:kern w:val="0"/>
                      <w:szCs w:val="21"/>
                      <w:lang w:bidi="ar"/>
                    </w:rPr>
                  </w:pPr>
                  <w:r>
                    <w:rPr>
                      <w:kern w:val="0"/>
                      <w:szCs w:val="21"/>
                      <w:lang w:bidi="ar"/>
                    </w:rPr>
                    <w:t>3</w:t>
                  </w:r>
                </w:p>
              </w:tc>
              <w:tc>
                <w:tcPr>
                  <w:tcW w:w="2945" w:type="pct"/>
                  <w:vAlign w:val="center"/>
                </w:tcPr>
                <w:p>
                  <w:pPr>
                    <w:widowControl/>
                    <w:jc w:val="center"/>
                    <w:rPr>
                      <w:kern w:val="0"/>
                      <w:szCs w:val="21"/>
                    </w:rPr>
                  </w:pPr>
                  <w:r>
                    <w:rPr>
                      <w:kern w:val="0"/>
                      <w:szCs w:val="21"/>
                    </w:rPr>
                    <w:t>禁止向农用地排放重金属或者其他有毒有害物质含量超标的污水、污泥，以及可能造成土壤污染的清淤底泥、尾矿、矿渣等</w:t>
                  </w:r>
                </w:p>
              </w:tc>
              <w:tc>
                <w:tcPr>
                  <w:tcW w:w="1353" w:type="pct"/>
                  <w:vAlign w:val="center"/>
                </w:tcPr>
                <w:p>
                  <w:pPr>
                    <w:widowControl/>
                    <w:jc w:val="center"/>
                    <w:rPr>
                      <w:kern w:val="0"/>
                      <w:szCs w:val="21"/>
                    </w:rPr>
                  </w:pPr>
                  <w:r>
                    <w:rPr>
                      <w:kern w:val="0"/>
                      <w:szCs w:val="21"/>
                    </w:rPr>
                    <w:t>本项目生产废水经收集后交由四川瑞利生物科技有限公司处理，不外排。</w:t>
                  </w:r>
                </w:p>
              </w:tc>
              <w:tc>
                <w:tcPr>
                  <w:tcW w:w="329" w:type="pct"/>
                  <w:vAlign w:val="center"/>
                </w:tcPr>
                <w:p>
                  <w:pPr>
                    <w:widowControl/>
                    <w:jc w:val="center"/>
                    <w:rPr>
                      <w:kern w:val="0"/>
                      <w:szCs w:val="21"/>
                      <w:lang w:bidi="ar"/>
                    </w:rPr>
                  </w:pPr>
                  <w:r>
                    <w:rPr>
                      <w:kern w:val="0"/>
                      <w:szCs w:val="21"/>
                      <w:lang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373" w:type="pct"/>
                  <w:vAlign w:val="center"/>
                </w:tcPr>
                <w:p>
                  <w:pPr>
                    <w:widowControl/>
                    <w:jc w:val="center"/>
                    <w:rPr>
                      <w:kern w:val="0"/>
                      <w:szCs w:val="21"/>
                      <w:lang w:bidi="ar"/>
                    </w:rPr>
                  </w:pPr>
                  <w:r>
                    <w:rPr>
                      <w:kern w:val="0"/>
                      <w:szCs w:val="21"/>
                      <w:lang w:bidi="ar"/>
                    </w:rPr>
                    <w:t>4</w:t>
                  </w:r>
                </w:p>
              </w:tc>
              <w:tc>
                <w:tcPr>
                  <w:tcW w:w="2945" w:type="pct"/>
                  <w:vAlign w:val="center"/>
                </w:tcPr>
                <w:p>
                  <w:pPr>
                    <w:widowControl/>
                    <w:jc w:val="center"/>
                    <w:rPr>
                      <w:kern w:val="0"/>
                      <w:szCs w:val="21"/>
                    </w:rPr>
                  </w:pPr>
                  <w:r>
                    <w:rPr>
                      <w:kern w:val="0"/>
                      <w:szCs w:val="21"/>
                    </w:rPr>
                    <w:t>新建排放重点水污染物的工业项目原则上进入符合相关规划的工业集聚区。逐步减少在工业集聚区以外排放工业废水的工业企业，并将有关工作情况纳入环境保护目标责任制范围。禁止在合规园区外新建、扩建钢铁、石化化工、焦化、建材、有色金属等高污染项目。</w:t>
                  </w:r>
                </w:p>
              </w:tc>
              <w:tc>
                <w:tcPr>
                  <w:tcW w:w="1353" w:type="pct"/>
                  <w:vAlign w:val="center"/>
                </w:tcPr>
                <w:p>
                  <w:pPr>
                    <w:widowControl/>
                    <w:jc w:val="center"/>
                    <w:rPr>
                      <w:kern w:val="0"/>
                      <w:szCs w:val="21"/>
                    </w:rPr>
                  </w:pPr>
                  <w:r>
                    <w:rPr>
                      <w:kern w:val="0"/>
                      <w:szCs w:val="21"/>
                    </w:rPr>
                    <w:t>本项目为陆地矿产资源地质勘查（含油气资源勘探），不属于上述项目。</w:t>
                  </w:r>
                </w:p>
              </w:tc>
              <w:tc>
                <w:tcPr>
                  <w:tcW w:w="329" w:type="pct"/>
                  <w:vAlign w:val="center"/>
                </w:tcPr>
                <w:p>
                  <w:pPr>
                    <w:widowControl/>
                    <w:jc w:val="center"/>
                    <w:rPr>
                      <w:kern w:val="0"/>
                      <w:szCs w:val="21"/>
                      <w:lang w:bidi="ar"/>
                    </w:rPr>
                  </w:pPr>
                  <w:r>
                    <w:rPr>
                      <w:kern w:val="0"/>
                      <w:szCs w:val="21"/>
                      <w:lang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373" w:type="pct"/>
                  <w:vAlign w:val="center"/>
                </w:tcPr>
                <w:p>
                  <w:pPr>
                    <w:widowControl/>
                    <w:jc w:val="center"/>
                    <w:rPr>
                      <w:kern w:val="0"/>
                      <w:szCs w:val="21"/>
                      <w:lang w:bidi="ar"/>
                    </w:rPr>
                  </w:pPr>
                  <w:r>
                    <w:rPr>
                      <w:kern w:val="0"/>
                      <w:szCs w:val="21"/>
                      <w:lang w:bidi="ar"/>
                    </w:rPr>
                    <w:t>5</w:t>
                  </w:r>
                </w:p>
              </w:tc>
              <w:tc>
                <w:tcPr>
                  <w:tcW w:w="2945" w:type="pct"/>
                  <w:vAlign w:val="center"/>
                </w:tcPr>
                <w:p>
                  <w:pPr>
                    <w:widowControl/>
                    <w:jc w:val="center"/>
                    <w:rPr>
                      <w:kern w:val="0"/>
                      <w:szCs w:val="21"/>
                    </w:rPr>
                  </w:pPr>
                  <w:r>
                    <w:rPr>
                      <w:kern w:val="0"/>
                      <w:szCs w:val="21"/>
                    </w:rPr>
                    <w:t>排污单位对污水进行预处理后向污水集中处理设施排放的，应当符合污水集中处理设施的接纳标准。</w:t>
                  </w:r>
                </w:p>
              </w:tc>
              <w:tc>
                <w:tcPr>
                  <w:tcW w:w="1353" w:type="pct"/>
                  <w:vAlign w:val="center"/>
                </w:tcPr>
                <w:p>
                  <w:pPr>
                    <w:widowControl/>
                    <w:jc w:val="center"/>
                    <w:rPr>
                      <w:kern w:val="0"/>
                      <w:szCs w:val="21"/>
                    </w:rPr>
                  </w:pPr>
                  <w:r>
                    <w:rPr>
                      <w:kern w:val="0"/>
                      <w:szCs w:val="21"/>
                    </w:rPr>
                    <w:t>本项目生产废水经现场预处理后由罐车运至四川瑞利生物科技有限公司，满足接纳标准。</w:t>
                  </w:r>
                </w:p>
              </w:tc>
              <w:tc>
                <w:tcPr>
                  <w:tcW w:w="329" w:type="pct"/>
                  <w:vAlign w:val="center"/>
                </w:tcPr>
                <w:p>
                  <w:pPr>
                    <w:widowControl/>
                    <w:jc w:val="center"/>
                    <w:rPr>
                      <w:kern w:val="0"/>
                      <w:szCs w:val="21"/>
                      <w:lang w:bidi="ar"/>
                    </w:rPr>
                  </w:pPr>
                  <w:r>
                    <w:rPr>
                      <w:kern w:val="0"/>
                      <w:szCs w:val="21"/>
                      <w:lang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373" w:type="pct"/>
                  <w:vAlign w:val="center"/>
                </w:tcPr>
                <w:p>
                  <w:pPr>
                    <w:widowControl/>
                    <w:jc w:val="center"/>
                    <w:rPr>
                      <w:kern w:val="0"/>
                      <w:szCs w:val="21"/>
                      <w:lang w:bidi="ar"/>
                    </w:rPr>
                  </w:pPr>
                  <w:r>
                    <w:rPr>
                      <w:kern w:val="0"/>
                      <w:szCs w:val="21"/>
                      <w:lang w:bidi="ar"/>
                    </w:rPr>
                    <w:t>6</w:t>
                  </w:r>
                </w:p>
              </w:tc>
              <w:tc>
                <w:tcPr>
                  <w:tcW w:w="2945" w:type="pct"/>
                  <w:vAlign w:val="center"/>
                </w:tcPr>
                <w:p>
                  <w:pPr>
                    <w:widowControl/>
                    <w:jc w:val="center"/>
                    <w:rPr>
                      <w:kern w:val="0"/>
                      <w:szCs w:val="21"/>
                    </w:rPr>
                  </w:pPr>
                  <w:r>
                    <w:rPr>
                      <w:kern w:val="0"/>
                      <w:szCs w:val="21"/>
                    </w:rPr>
                    <w:t>鼓励企业事业单位和其他生产经营者配套建设工业用水回收利用设施和中水回用管网设施，采取循环用水、综合利用以及废水处理回用等措施，提高水的重复利用率</w:t>
                  </w:r>
                </w:p>
              </w:tc>
              <w:tc>
                <w:tcPr>
                  <w:tcW w:w="1353" w:type="pct"/>
                  <w:vAlign w:val="center"/>
                </w:tcPr>
                <w:p>
                  <w:pPr>
                    <w:widowControl/>
                    <w:jc w:val="center"/>
                    <w:rPr>
                      <w:kern w:val="0"/>
                      <w:szCs w:val="21"/>
                    </w:rPr>
                  </w:pPr>
                  <w:r>
                    <w:rPr>
                      <w:kern w:val="0"/>
                      <w:szCs w:val="21"/>
                    </w:rPr>
                    <w:t>本项目钻井液及试气废水采用循环使用，最终拟交由四川瑞利生物科技有限公司处理</w:t>
                  </w:r>
                </w:p>
              </w:tc>
              <w:tc>
                <w:tcPr>
                  <w:tcW w:w="329" w:type="pct"/>
                  <w:vAlign w:val="center"/>
                </w:tcPr>
                <w:p>
                  <w:pPr>
                    <w:widowControl/>
                    <w:jc w:val="center"/>
                    <w:rPr>
                      <w:kern w:val="0"/>
                      <w:szCs w:val="21"/>
                      <w:lang w:bidi="ar"/>
                    </w:rPr>
                  </w:pPr>
                  <w:r>
                    <w:rPr>
                      <w:kern w:val="0"/>
                      <w:szCs w:val="21"/>
                      <w:lang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373" w:type="pct"/>
                  <w:vAlign w:val="center"/>
                </w:tcPr>
                <w:p>
                  <w:pPr>
                    <w:widowControl/>
                    <w:jc w:val="center"/>
                    <w:rPr>
                      <w:kern w:val="0"/>
                      <w:szCs w:val="21"/>
                      <w:lang w:bidi="ar"/>
                    </w:rPr>
                  </w:pPr>
                  <w:r>
                    <w:rPr>
                      <w:kern w:val="0"/>
                      <w:szCs w:val="21"/>
                      <w:lang w:bidi="ar"/>
                    </w:rPr>
                    <w:t>7</w:t>
                  </w:r>
                </w:p>
              </w:tc>
              <w:tc>
                <w:tcPr>
                  <w:tcW w:w="2945" w:type="pct"/>
                  <w:vAlign w:val="center"/>
                </w:tcPr>
                <w:p>
                  <w:pPr>
                    <w:widowControl/>
                    <w:jc w:val="center"/>
                    <w:rPr>
                      <w:kern w:val="0"/>
                      <w:szCs w:val="21"/>
                    </w:rPr>
                  </w:pPr>
                  <w:r>
                    <w:rPr>
                      <w:kern w:val="0"/>
                      <w:szCs w:val="21"/>
                    </w:rPr>
                    <w:t>限期禁止生产、销售、进口、使用、转让严重污染水环境的工艺和设备</w:t>
                  </w:r>
                </w:p>
              </w:tc>
              <w:tc>
                <w:tcPr>
                  <w:tcW w:w="1353" w:type="pct"/>
                  <w:vAlign w:val="center"/>
                </w:tcPr>
                <w:p>
                  <w:pPr>
                    <w:widowControl/>
                    <w:jc w:val="center"/>
                    <w:rPr>
                      <w:kern w:val="0"/>
                      <w:szCs w:val="21"/>
                    </w:rPr>
                  </w:pPr>
                  <w:r>
                    <w:rPr>
                      <w:kern w:val="0"/>
                      <w:szCs w:val="21"/>
                    </w:rPr>
                    <w:t>本项目采用工艺及使用设备均不属于严重污染水环境的工艺及设备</w:t>
                  </w:r>
                </w:p>
              </w:tc>
              <w:tc>
                <w:tcPr>
                  <w:tcW w:w="329" w:type="pct"/>
                  <w:vAlign w:val="center"/>
                </w:tcPr>
                <w:p>
                  <w:pPr>
                    <w:widowControl/>
                    <w:jc w:val="center"/>
                    <w:rPr>
                      <w:kern w:val="0"/>
                      <w:szCs w:val="21"/>
                      <w:lang w:bidi="ar"/>
                    </w:rPr>
                  </w:pPr>
                  <w:r>
                    <w:rPr>
                      <w:kern w:val="0"/>
                      <w:szCs w:val="21"/>
                      <w:lang w:bidi="ar"/>
                    </w:rPr>
                    <w:t>符合</w:t>
                  </w:r>
                </w:p>
              </w:tc>
            </w:tr>
          </w:tbl>
          <w:p>
            <w:pPr>
              <w:pStyle w:val="339"/>
              <w:ind w:firstLine="420"/>
              <w:rPr>
                <w:szCs w:val="21"/>
              </w:rPr>
            </w:pPr>
            <w:r>
              <w:rPr>
                <w:szCs w:val="21"/>
              </w:rPr>
              <w:t>综上所述，本项目为陆地矿产资源地质勘查（含油气资源勘探），项目产生的生产废水经现场收集预处理后交由四川瑞利生物科技有限公司处理，不外排；生活污水经旱厕收集后用作当地农肥。因此符合《四川省嘉陵江流域生态环境保护条例》政策要求</w:t>
            </w:r>
          </w:p>
          <w:p>
            <w:pPr>
              <w:pStyle w:val="36"/>
              <w:numPr>
                <w:ilvl w:val="1"/>
                <w:numId w:val="2"/>
              </w:numPr>
              <w:spacing w:before="0" w:beforeAutospacing="0" w:after="0" w:afterAutospacing="0" w:line="360" w:lineRule="auto"/>
              <w:ind w:left="0" w:firstLine="0"/>
              <w:rPr>
                <w:rFonts w:ascii="Times New Roman" w:hAnsi="Times New Roman"/>
                <w:b/>
                <w:sz w:val="21"/>
                <w:szCs w:val="21"/>
              </w:rPr>
            </w:pPr>
            <w:r>
              <w:rPr>
                <w:rFonts w:ascii="Times New Roman" w:hAnsi="Times New Roman"/>
                <w:b/>
                <w:sz w:val="21"/>
                <w:szCs w:val="21"/>
              </w:rPr>
              <w:t>国务院办公厅《关于坚决制止耕地“非农化”行为的通知》（国办发明电〔2020〕24号）符合性分析</w:t>
            </w:r>
          </w:p>
          <w:p>
            <w:pPr>
              <w:ind w:firstLine="480"/>
              <w:rPr>
                <w:bCs/>
                <w:szCs w:val="21"/>
              </w:rPr>
            </w:pPr>
            <w:r>
              <w:rPr>
                <w:bCs/>
                <w:szCs w:val="21"/>
              </w:rPr>
              <w:t>本项目与《坚决制止耕地“非农化”行为的通知》符合性分析如下：</w:t>
            </w:r>
          </w:p>
          <w:p>
            <w:pPr>
              <w:numPr>
                <w:ilvl w:val="0"/>
                <w:numId w:val="3"/>
              </w:numPr>
              <w:spacing w:line="360" w:lineRule="auto"/>
              <w:ind w:left="0" w:firstLine="0"/>
              <w:jc w:val="center"/>
              <w:rPr>
                <w:b/>
                <w:szCs w:val="21"/>
              </w:rPr>
            </w:pPr>
            <w:r>
              <w:rPr>
                <w:b/>
                <w:szCs w:val="21"/>
              </w:rPr>
              <w:t>与《关于坚决制止耕地“非农化”行为的通知》分析表</w:t>
            </w:r>
          </w:p>
          <w:tbl>
            <w:tblPr>
              <w:tblStyle w:val="4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8"/>
              <w:gridCol w:w="4971"/>
              <w:gridCol w:w="1573"/>
              <w:gridCol w:w="5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8" w:hRule="atLeast"/>
                <w:jc w:val="center"/>
              </w:trPr>
              <w:tc>
                <w:tcPr>
                  <w:tcW w:w="373" w:type="pct"/>
                  <w:vAlign w:val="center"/>
                </w:tcPr>
                <w:p>
                  <w:pPr>
                    <w:jc w:val="center"/>
                    <w:rPr>
                      <w:kern w:val="0"/>
                      <w:szCs w:val="21"/>
                      <w:lang w:bidi="ar"/>
                    </w:rPr>
                  </w:pPr>
                  <w:r>
                    <w:rPr>
                      <w:szCs w:val="21"/>
                    </w:rPr>
                    <w:t>序号</w:t>
                  </w:r>
                </w:p>
              </w:tc>
              <w:tc>
                <w:tcPr>
                  <w:tcW w:w="3265" w:type="pct"/>
                  <w:vAlign w:val="center"/>
                </w:tcPr>
                <w:p>
                  <w:pPr>
                    <w:jc w:val="center"/>
                    <w:rPr>
                      <w:kern w:val="0"/>
                      <w:szCs w:val="21"/>
                      <w:lang w:bidi="ar"/>
                    </w:rPr>
                  </w:pPr>
                  <w:r>
                    <w:rPr>
                      <w:szCs w:val="21"/>
                    </w:rPr>
                    <w:t>技术政策要求</w:t>
                  </w:r>
                </w:p>
              </w:tc>
              <w:tc>
                <w:tcPr>
                  <w:tcW w:w="1033" w:type="pct"/>
                  <w:vAlign w:val="center"/>
                </w:tcPr>
                <w:p>
                  <w:pPr>
                    <w:jc w:val="center"/>
                    <w:rPr>
                      <w:kern w:val="0"/>
                      <w:szCs w:val="21"/>
                      <w:lang w:bidi="ar"/>
                    </w:rPr>
                  </w:pPr>
                  <w:r>
                    <w:rPr>
                      <w:szCs w:val="21"/>
                    </w:rPr>
                    <w:t>本工程内容</w:t>
                  </w:r>
                </w:p>
              </w:tc>
              <w:tc>
                <w:tcPr>
                  <w:tcW w:w="329" w:type="pct"/>
                  <w:vAlign w:val="center"/>
                </w:tcPr>
                <w:p>
                  <w:pPr>
                    <w:jc w:val="center"/>
                    <w:rPr>
                      <w:kern w:val="0"/>
                      <w:szCs w:val="21"/>
                      <w:lang w:bidi="ar"/>
                    </w:rPr>
                  </w:pPr>
                  <w:r>
                    <w:rPr>
                      <w:szCs w:val="21"/>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8" w:hRule="atLeast"/>
                <w:jc w:val="center"/>
              </w:trPr>
              <w:tc>
                <w:tcPr>
                  <w:tcW w:w="373" w:type="pct"/>
                  <w:vAlign w:val="center"/>
                </w:tcPr>
                <w:p>
                  <w:pPr>
                    <w:widowControl/>
                    <w:jc w:val="center"/>
                    <w:rPr>
                      <w:szCs w:val="21"/>
                    </w:rPr>
                  </w:pPr>
                  <w:r>
                    <w:rPr>
                      <w:kern w:val="0"/>
                      <w:szCs w:val="21"/>
                      <w:lang w:bidi="ar"/>
                    </w:rPr>
                    <w:t>1</w:t>
                  </w:r>
                </w:p>
              </w:tc>
              <w:tc>
                <w:tcPr>
                  <w:tcW w:w="3265" w:type="pct"/>
                  <w:vAlign w:val="center"/>
                </w:tcPr>
                <w:p>
                  <w:pPr>
                    <w:widowControl/>
                    <w:jc w:val="center"/>
                    <w:rPr>
                      <w:kern w:val="0"/>
                      <w:szCs w:val="21"/>
                    </w:rPr>
                  </w:pPr>
                  <w:r>
                    <w:rPr>
                      <w:kern w:val="0"/>
                      <w:szCs w:val="21"/>
                    </w:rPr>
                    <w:t>一、严禁违规占用耕地绿化造林。要严格执行土地管理法、基本农田保护条例等法律法规，禁止占用永久基本农田种植苗木、草皮等用于绿化装饰以及其他破坏耕作层的植物。违规占用耕地及永久基本农田造林的，不予核实造林面积，不享受财政资金补助政策。平原地区要根据资源禀赋，合理制定绿化造林等生态建设目标。退耕还林还草要严格控制在国家批准的规模和范围内，涉及地块全部实现上图入库管理。正在违规占用耕地绿化造林的要立即停止</w:t>
                  </w:r>
                </w:p>
              </w:tc>
              <w:tc>
                <w:tcPr>
                  <w:tcW w:w="1033" w:type="pct"/>
                  <w:vAlign w:val="center"/>
                </w:tcPr>
                <w:p>
                  <w:pPr>
                    <w:pStyle w:val="25"/>
                    <w:spacing w:after="0" w:line="240" w:lineRule="auto"/>
                    <w:ind w:left="0" w:leftChars="0"/>
                    <w:jc w:val="center"/>
                    <w:rPr>
                      <w:szCs w:val="21"/>
                    </w:rPr>
                  </w:pPr>
                  <w:r>
                    <w:rPr>
                      <w:szCs w:val="21"/>
                    </w:rPr>
                    <w:t>本项目不属于占用耕地绿化造林。</w:t>
                  </w:r>
                </w:p>
              </w:tc>
              <w:tc>
                <w:tcPr>
                  <w:tcW w:w="329" w:type="pct"/>
                  <w:vAlign w:val="center"/>
                </w:tcPr>
                <w:p>
                  <w:pPr>
                    <w:widowControl/>
                    <w:jc w:val="center"/>
                    <w:rPr>
                      <w:szCs w:val="21"/>
                    </w:rPr>
                  </w:pPr>
                  <w:r>
                    <w:rPr>
                      <w:kern w:val="0"/>
                      <w:szCs w:val="21"/>
                      <w:lang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6" w:hRule="atLeast"/>
                <w:jc w:val="center"/>
              </w:trPr>
              <w:tc>
                <w:tcPr>
                  <w:tcW w:w="373" w:type="pct"/>
                  <w:vAlign w:val="center"/>
                </w:tcPr>
                <w:p>
                  <w:pPr>
                    <w:widowControl/>
                    <w:jc w:val="center"/>
                    <w:rPr>
                      <w:kern w:val="0"/>
                      <w:szCs w:val="21"/>
                      <w:lang w:bidi="ar"/>
                    </w:rPr>
                  </w:pPr>
                  <w:r>
                    <w:rPr>
                      <w:kern w:val="0"/>
                      <w:szCs w:val="21"/>
                      <w:lang w:bidi="ar"/>
                    </w:rPr>
                    <w:t>2</w:t>
                  </w:r>
                </w:p>
              </w:tc>
              <w:tc>
                <w:tcPr>
                  <w:tcW w:w="3265" w:type="pct"/>
                  <w:vAlign w:val="center"/>
                </w:tcPr>
                <w:p>
                  <w:pPr>
                    <w:widowControl/>
                    <w:jc w:val="center"/>
                    <w:rPr>
                      <w:kern w:val="0"/>
                      <w:szCs w:val="21"/>
                    </w:rPr>
                  </w:pPr>
                  <w:r>
                    <w:rPr>
                      <w:kern w:val="0"/>
                      <w:szCs w:val="21"/>
                    </w:rPr>
                    <w:t>二、严禁超标准建设绿色通道。要严格控制铁路、公路两侧用地范围以外绿化带用地审批，道路沿线是耕地的，两侧用地范围以外绿化带宽度不得超过5米，其中县乡道路不得超过3米。铁路、国道省道（含高速公路）、县乡道路两侧用地范围以外违规占用耕地超标准建设绿化带的要立即停止。不得违规在河渠两侧、水库周边占用耕地及永久基本农田超标准建设绿色通道。今后新增的绿色通道，要依法依规建设，确需占用永久基本农田的，应履行永久基本农田占用报批手续。交通、水利工程建设用地范围内的绿化用地要严格按照有关规定办理建设用地审批手续，其中涉及占用耕地的必须做到占补平衡。禁止以城乡绿化建设等名义违法违规占用耕地。</w:t>
                  </w:r>
                </w:p>
              </w:tc>
              <w:tc>
                <w:tcPr>
                  <w:tcW w:w="1033" w:type="pct"/>
                  <w:vAlign w:val="center"/>
                </w:tcPr>
                <w:p>
                  <w:pPr>
                    <w:pStyle w:val="25"/>
                    <w:spacing w:after="0" w:line="240" w:lineRule="auto"/>
                    <w:ind w:left="0" w:leftChars="0"/>
                    <w:jc w:val="center"/>
                    <w:rPr>
                      <w:szCs w:val="21"/>
                    </w:rPr>
                  </w:pPr>
                  <w:r>
                    <w:rPr>
                      <w:szCs w:val="21"/>
                    </w:rPr>
                    <w:t>本项目不属于建设绿色通道项目</w:t>
                  </w:r>
                </w:p>
              </w:tc>
              <w:tc>
                <w:tcPr>
                  <w:tcW w:w="329" w:type="pct"/>
                  <w:vAlign w:val="center"/>
                </w:tcPr>
                <w:p>
                  <w:pPr>
                    <w:widowControl/>
                    <w:jc w:val="center"/>
                    <w:rPr>
                      <w:kern w:val="0"/>
                      <w:szCs w:val="21"/>
                      <w:lang w:bidi="ar"/>
                    </w:rPr>
                  </w:pPr>
                  <w:r>
                    <w:rPr>
                      <w:kern w:val="0"/>
                      <w:szCs w:val="21"/>
                      <w:lang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8" w:hRule="atLeast"/>
                <w:jc w:val="center"/>
              </w:trPr>
              <w:tc>
                <w:tcPr>
                  <w:tcW w:w="373" w:type="pct"/>
                  <w:vAlign w:val="center"/>
                </w:tcPr>
                <w:p>
                  <w:pPr>
                    <w:widowControl/>
                    <w:jc w:val="center"/>
                    <w:rPr>
                      <w:kern w:val="0"/>
                      <w:szCs w:val="21"/>
                      <w:lang w:bidi="ar"/>
                    </w:rPr>
                  </w:pPr>
                  <w:r>
                    <w:rPr>
                      <w:kern w:val="0"/>
                      <w:szCs w:val="21"/>
                      <w:lang w:bidi="ar"/>
                    </w:rPr>
                    <w:t>3</w:t>
                  </w:r>
                </w:p>
              </w:tc>
              <w:tc>
                <w:tcPr>
                  <w:tcW w:w="3265" w:type="pct"/>
                  <w:vAlign w:val="center"/>
                </w:tcPr>
                <w:p>
                  <w:pPr>
                    <w:widowControl/>
                    <w:jc w:val="center"/>
                    <w:rPr>
                      <w:kern w:val="0"/>
                      <w:szCs w:val="21"/>
                    </w:rPr>
                  </w:pPr>
                  <w:r>
                    <w:rPr>
                      <w:kern w:val="0"/>
                      <w:szCs w:val="21"/>
                    </w:rPr>
                    <w:t>三、严禁违规占用耕地挖湖造景。禁止以河流、湿地、湖泊治理为名，擅自占用耕地及永久基本农田挖田造湖、挖湖造景。不准在城市建设中违规占用耕地建设人造湿地公园、人造水利景观。确需占用的，应符合国土空间规划，依法办理建设用地审批和规划许可手续。未履行审批手续的在建项目，应立即停止并纠正；占用永久基本农田的，要限期恢复，确实无法恢复的按照有关规定进行补划。</w:t>
                  </w:r>
                </w:p>
              </w:tc>
              <w:tc>
                <w:tcPr>
                  <w:tcW w:w="1033" w:type="pct"/>
                  <w:vAlign w:val="center"/>
                </w:tcPr>
                <w:p>
                  <w:pPr>
                    <w:widowControl/>
                    <w:jc w:val="center"/>
                    <w:rPr>
                      <w:kern w:val="0"/>
                      <w:szCs w:val="21"/>
                    </w:rPr>
                  </w:pPr>
                  <w:r>
                    <w:rPr>
                      <w:kern w:val="0"/>
                      <w:szCs w:val="21"/>
                    </w:rPr>
                    <w:t>本项目不属于占用耕地挖湖造景</w:t>
                  </w:r>
                </w:p>
              </w:tc>
              <w:tc>
                <w:tcPr>
                  <w:tcW w:w="329" w:type="pct"/>
                  <w:vAlign w:val="center"/>
                </w:tcPr>
                <w:p>
                  <w:pPr>
                    <w:widowControl/>
                    <w:jc w:val="center"/>
                    <w:rPr>
                      <w:kern w:val="0"/>
                      <w:szCs w:val="21"/>
                      <w:lang w:bidi="ar"/>
                    </w:rPr>
                  </w:pPr>
                  <w:r>
                    <w:rPr>
                      <w:kern w:val="0"/>
                      <w:szCs w:val="21"/>
                      <w:lang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8" w:hRule="atLeast"/>
                <w:jc w:val="center"/>
              </w:trPr>
              <w:tc>
                <w:tcPr>
                  <w:tcW w:w="373" w:type="pct"/>
                  <w:vAlign w:val="center"/>
                </w:tcPr>
                <w:p>
                  <w:pPr>
                    <w:widowControl/>
                    <w:jc w:val="center"/>
                    <w:rPr>
                      <w:kern w:val="0"/>
                      <w:szCs w:val="21"/>
                      <w:lang w:bidi="ar"/>
                    </w:rPr>
                  </w:pPr>
                  <w:r>
                    <w:rPr>
                      <w:kern w:val="0"/>
                      <w:szCs w:val="21"/>
                      <w:lang w:bidi="ar"/>
                    </w:rPr>
                    <w:t>4</w:t>
                  </w:r>
                </w:p>
              </w:tc>
              <w:tc>
                <w:tcPr>
                  <w:tcW w:w="3265" w:type="pct"/>
                  <w:vAlign w:val="center"/>
                </w:tcPr>
                <w:p>
                  <w:pPr>
                    <w:widowControl/>
                    <w:jc w:val="center"/>
                    <w:rPr>
                      <w:kern w:val="0"/>
                      <w:szCs w:val="21"/>
                    </w:rPr>
                  </w:pPr>
                  <w:r>
                    <w:rPr>
                      <w:kern w:val="0"/>
                      <w:szCs w:val="21"/>
                    </w:rPr>
                    <w:t>四、严禁占用永久基本农田扩大自然保护地。新建的自然保护地应当边界清楚，不准占用永久基本农田。目前已划入自然保护地核心保护区内的永久基本农田要纳入生态退耕、有序退出。自然保护地一般控制区内的永久基本农田要根据对生态功能造成的影响确定是否退出，造成明显影响的纳入生态退耕、有序退出，不造成明显影响的可采取依法依规相应调整一般控制区范围等措施妥善处理。自然保护地以外的永久基本农田和集中连片耕地，不得划入生态保护红线，允许生态保护红线内零星的原住民在不扩大现有耕地规模前提下，保留生活必需的少量种植。</w:t>
                  </w:r>
                </w:p>
              </w:tc>
              <w:tc>
                <w:tcPr>
                  <w:tcW w:w="1033" w:type="pct"/>
                  <w:vAlign w:val="center"/>
                </w:tcPr>
                <w:p>
                  <w:pPr>
                    <w:widowControl/>
                    <w:jc w:val="center"/>
                    <w:rPr>
                      <w:kern w:val="0"/>
                      <w:szCs w:val="21"/>
                    </w:rPr>
                  </w:pPr>
                  <w:r>
                    <w:rPr>
                      <w:kern w:val="0"/>
                      <w:szCs w:val="21"/>
                    </w:rPr>
                    <w:t>本项目占不属于自然保护地</w:t>
                  </w:r>
                </w:p>
              </w:tc>
              <w:tc>
                <w:tcPr>
                  <w:tcW w:w="329" w:type="pct"/>
                  <w:vAlign w:val="center"/>
                </w:tcPr>
                <w:p>
                  <w:pPr>
                    <w:widowControl/>
                    <w:jc w:val="center"/>
                    <w:rPr>
                      <w:kern w:val="0"/>
                      <w:szCs w:val="21"/>
                      <w:lang w:bidi="ar"/>
                    </w:rPr>
                  </w:pPr>
                  <w:r>
                    <w:rPr>
                      <w:kern w:val="0"/>
                      <w:szCs w:val="21"/>
                      <w:lang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8" w:hRule="atLeast"/>
                <w:jc w:val="center"/>
              </w:trPr>
              <w:tc>
                <w:tcPr>
                  <w:tcW w:w="373" w:type="pct"/>
                  <w:vAlign w:val="center"/>
                </w:tcPr>
                <w:p>
                  <w:pPr>
                    <w:widowControl/>
                    <w:jc w:val="center"/>
                    <w:rPr>
                      <w:kern w:val="0"/>
                      <w:szCs w:val="21"/>
                      <w:lang w:bidi="ar"/>
                    </w:rPr>
                  </w:pPr>
                  <w:r>
                    <w:rPr>
                      <w:kern w:val="0"/>
                      <w:szCs w:val="21"/>
                      <w:lang w:bidi="ar"/>
                    </w:rPr>
                    <w:t>5</w:t>
                  </w:r>
                </w:p>
              </w:tc>
              <w:tc>
                <w:tcPr>
                  <w:tcW w:w="3265" w:type="pct"/>
                  <w:vAlign w:val="center"/>
                </w:tcPr>
                <w:p>
                  <w:pPr>
                    <w:widowControl/>
                    <w:jc w:val="center"/>
                    <w:rPr>
                      <w:kern w:val="0"/>
                      <w:szCs w:val="21"/>
                    </w:rPr>
                  </w:pPr>
                  <w:r>
                    <w:rPr>
                      <w:kern w:val="0"/>
                      <w:szCs w:val="21"/>
                    </w:rPr>
                    <w:t>五、严禁违规占用耕地从事非农建设。加强农村地区建设用地审批和乡村建设规划许可管理，坚持农地农用。不得违反规划搞非农建设、乱占耕地建房等。巩固“大棚房”问题清理整治成果，强化农业设施用地监管。加强耕地利用情况监测，对乱占耕地从事非农建设及时预警，构建早发现、早制止、严查处的常态化监管机制。</w:t>
                  </w:r>
                </w:p>
              </w:tc>
              <w:tc>
                <w:tcPr>
                  <w:tcW w:w="1033" w:type="pct"/>
                  <w:vAlign w:val="center"/>
                </w:tcPr>
                <w:p>
                  <w:pPr>
                    <w:widowControl/>
                    <w:jc w:val="center"/>
                    <w:rPr>
                      <w:kern w:val="0"/>
                      <w:szCs w:val="21"/>
                    </w:rPr>
                  </w:pPr>
                  <w:r>
                    <w:rPr>
                      <w:kern w:val="0"/>
                      <w:szCs w:val="21"/>
                    </w:rPr>
                    <w:t>本项目属于陆地矿产资源地质勘查（含油气资源勘探）。平安101井属于勘探井，不属于违反规划搞非农建设、乱占耕地建房</w:t>
                  </w:r>
                </w:p>
              </w:tc>
              <w:tc>
                <w:tcPr>
                  <w:tcW w:w="329" w:type="pct"/>
                  <w:vAlign w:val="center"/>
                </w:tcPr>
                <w:p>
                  <w:pPr>
                    <w:widowControl/>
                    <w:jc w:val="center"/>
                    <w:rPr>
                      <w:kern w:val="0"/>
                      <w:szCs w:val="21"/>
                      <w:lang w:bidi="ar"/>
                    </w:rPr>
                  </w:pPr>
                  <w:r>
                    <w:rPr>
                      <w:kern w:val="0"/>
                      <w:szCs w:val="21"/>
                      <w:lang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8" w:hRule="atLeast"/>
                <w:jc w:val="center"/>
              </w:trPr>
              <w:tc>
                <w:tcPr>
                  <w:tcW w:w="373" w:type="pct"/>
                  <w:vAlign w:val="center"/>
                </w:tcPr>
                <w:p>
                  <w:pPr>
                    <w:widowControl/>
                    <w:jc w:val="center"/>
                    <w:rPr>
                      <w:kern w:val="0"/>
                      <w:szCs w:val="21"/>
                      <w:lang w:bidi="ar"/>
                    </w:rPr>
                  </w:pPr>
                  <w:r>
                    <w:rPr>
                      <w:kern w:val="0"/>
                      <w:szCs w:val="21"/>
                      <w:lang w:bidi="ar"/>
                    </w:rPr>
                    <w:t>6</w:t>
                  </w:r>
                </w:p>
              </w:tc>
              <w:tc>
                <w:tcPr>
                  <w:tcW w:w="3265" w:type="pct"/>
                  <w:vAlign w:val="center"/>
                </w:tcPr>
                <w:p>
                  <w:pPr>
                    <w:widowControl/>
                    <w:jc w:val="center"/>
                    <w:rPr>
                      <w:kern w:val="0"/>
                      <w:szCs w:val="21"/>
                    </w:rPr>
                  </w:pPr>
                  <w:r>
                    <w:rPr>
                      <w:kern w:val="0"/>
                      <w:szCs w:val="21"/>
                    </w:rPr>
                    <w:t>六、严禁违法违规批地用地。批地用地必须符合国土空间规划，凡不符合国土空间规划以及不符合土地管理法律法规和国家产业政策的建设项目，不予批准用地。各地区不得通过擅自调整县乡国土空间规划规避占用永久基本农田审批。各项建设用地必须按照法定权限和程序报批，按照批准的用途、位置、标准使用，严禁未批先用、批少占多、批甲占乙。严格临时用地管理，不得超过规定时限长期使用。对各类未经批准或不符合规定的建设项目、临时用地等占用耕地及永久基本农田的，依法依规严肃处理，责令限期恢复原种植条件。</w:t>
                  </w:r>
                </w:p>
              </w:tc>
              <w:tc>
                <w:tcPr>
                  <w:tcW w:w="1033" w:type="pct"/>
                  <w:vAlign w:val="center"/>
                </w:tcPr>
                <w:p>
                  <w:pPr>
                    <w:widowControl/>
                    <w:jc w:val="center"/>
                    <w:rPr>
                      <w:kern w:val="0"/>
                      <w:szCs w:val="21"/>
                    </w:rPr>
                  </w:pPr>
                  <w:r>
                    <w:rPr>
                      <w:kern w:val="0"/>
                      <w:szCs w:val="21"/>
                    </w:rPr>
                    <w:t>本项目属于陆地矿产资源地质勘查（含油气资源勘探）。平安101井属于勘探井，不属于违反规划搞非农建设、乱占耕地建房</w:t>
                  </w:r>
                </w:p>
              </w:tc>
              <w:tc>
                <w:tcPr>
                  <w:tcW w:w="329" w:type="pct"/>
                  <w:vAlign w:val="center"/>
                </w:tcPr>
                <w:p>
                  <w:pPr>
                    <w:widowControl/>
                    <w:jc w:val="center"/>
                    <w:rPr>
                      <w:kern w:val="0"/>
                      <w:szCs w:val="21"/>
                      <w:lang w:bidi="ar"/>
                    </w:rPr>
                  </w:pPr>
                  <w:r>
                    <w:rPr>
                      <w:kern w:val="0"/>
                      <w:szCs w:val="21"/>
                      <w:lang w:bidi="ar"/>
                    </w:rPr>
                    <w:t>符合</w:t>
                  </w:r>
                </w:p>
              </w:tc>
            </w:tr>
          </w:tbl>
          <w:p>
            <w:pPr>
              <w:pStyle w:val="339"/>
              <w:ind w:firstLine="420"/>
              <w:rPr>
                <w:szCs w:val="21"/>
              </w:rPr>
            </w:pPr>
            <w:r>
              <w:rPr>
                <w:szCs w:val="21"/>
              </w:rPr>
              <w:t>综上所述，本项目属于陆地矿产资源地质勘查（含油气资源勘探），建设单位</w:t>
            </w:r>
            <w:r>
              <w:rPr>
                <w:rFonts w:hint="eastAsia"/>
                <w:szCs w:val="21"/>
              </w:rPr>
              <w:t>正在</w:t>
            </w:r>
            <w:r>
              <w:rPr>
                <w:szCs w:val="21"/>
              </w:rPr>
              <w:t>开展相关土地复垦方案，待项目施工完成后开展相关复垦方案。因此，项目符合国家有关规划，符合国务院办公厅《关于坚决制止耕地“非农化”行为的通知》。</w:t>
            </w:r>
          </w:p>
          <w:p>
            <w:pPr>
              <w:pStyle w:val="36"/>
              <w:numPr>
                <w:ilvl w:val="1"/>
                <w:numId w:val="2"/>
              </w:numPr>
              <w:spacing w:before="0" w:beforeAutospacing="0" w:after="0" w:afterAutospacing="0" w:line="360" w:lineRule="auto"/>
              <w:ind w:left="0" w:firstLine="0"/>
              <w:rPr>
                <w:rFonts w:ascii="Times New Roman" w:hAnsi="Times New Roman"/>
                <w:b/>
                <w:sz w:val="21"/>
                <w:szCs w:val="21"/>
              </w:rPr>
            </w:pPr>
            <w:r>
              <w:rPr>
                <w:rFonts w:ascii="Times New Roman" w:hAnsi="Times New Roman"/>
                <w:b/>
                <w:sz w:val="21"/>
                <w:szCs w:val="21"/>
              </w:rPr>
              <w:t>与《关于进一步加强石油天然气行业环境影响评价管理的通知》的符合性</w:t>
            </w:r>
          </w:p>
          <w:p>
            <w:pPr>
              <w:spacing w:line="360" w:lineRule="auto"/>
              <w:ind w:firstLine="420" w:firstLineChars="200"/>
              <w:rPr>
                <w:szCs w:val="21"/>
              </w:rPr>
            </w:pPr>
            <w:r>
              <w:rPr>
                <w:szCs w:val="21"/>
              </w:rPr>
              <w:t>（1）与深化项目环评“放管服”改革符合性</w:t>
            </w:r>
          </w:p>
          <w:p>
            <w:pPr>
              <w:spacing w:line="360" w:lineRule="auto"/>
              <w:ind w:firstLine="420" w:firstLineChars="200"/>
              <w:rPr>
                <w:szCs w:val="21"/>
              </w:rPr>
            </w:pPr>
            <w:r>
              <w:rPr>
                <w:szCs w:val="21"/>
              </w:rPr>
              <w:t>根据生态环境部印发《关于进一步加强石油天然气行业环境影响评价管理的通知》（环办环评函〔2019〕910号，以下简称《通知》）。生态环境部环境影响评价与排放管理司有关负责人就《通知》出台的背景、编制思路、环评管理要求等做出回答，对于区块的属性，可结合实际情况判断是新区块还是老区块，老区块一般指此前已开展过环评、又进行滚动开发、加密打井维持产量的区块。目前项目所在区域未开展区块环评，平安101井是为确定该区域天然气产能而开展的勘探工作，不涉及滚动开发、不属于加密打井维持产量的情况。根据《关于进一步加强石油天然气行业环境影响评价管理的通知》（环办环评函〔2019〕910号）精神“未确定产能建设规模的陆地油气开采新区块，建设勘探井应当依法编制环境影响报告表”。</w:t>
            </w:r>
          </w:p>
          <w:p>
            <w:pPr>
              <w:spacing w:line="360" w:lineRule="auto"/>
              <w:ind w:firstLine="420" w:firstLineChars="200"/>
              <w:rPr>
                <w:szCs w:val="21"/>
              </w:rPr>
            </w:pPr>
            <w:r>
              <w:rPr>
                <w:szCs w:val="21"/>
              </w:rPr>
              <w:t>（2）强化生态环境保护措施符合性</w:t>
            </w:r>
          </w:p>
          <w:p>
            <w:pPr>
              <w:spacing w:line="360" w:lineRule="auto"/>
              <w:ind w:firstLine="420" w:firstLineChars="200"/>
              <w:rPr>
                <w:szCs w:val="21"/>
              </w:rPr>
            </w:pPr>
            <w:r>
              <w:rPr>
                <w:szCs w:val="21"/>
              </w:rPr>
              <w:t>项目与生态环境保护措施符合性如下表所示。</w:t>
            </w:r>
          </w:p>
          <w:p>
            <w:pPr>
              <w:numPr>
                <w:ilvl w:val="0"/>
                <w:numId w:val="3"/>
              </w:numPr>
              <w:spacing w:line="360" w:lineRule="auto"/>
              <w:ind w:left="0" w:firstLine="0"/>
              <w:jc w:val="center"/>
              <w:rPr>
                <w:b/>
                <w:szCs w:val="21"/>
              </w:rPr>
            </w:pPr>
            <w:r>
              <w:rPr>
                <w:b/>
                <w:szCs w:val="21"/>
              </w:rPr>
              <w:t xml:space="preserve"> 与《关于进一步加强石油天然气行业环境影响评价管理的通知》中强化生态环境保护措施对比分析表</w:t>
            </w:r>
          </w:p>
          <w:tbl>
            <w:tblPr>
              <w:tblStyle w:val="42"/>
              <w:tblW w:w="78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5"/>
              <w:gridCol w:w="4894"/>
              <w:gridCol w:w="1843"/>
              <w:gridCol w:w="5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8" w:hRule="atLeast"/>
                <w:jc w:val="center"/>
              </w:trPr>
              <w:tc>
                <w:tcPr>
                  <w:tcW w:w="585" w:type="dxa"/>
                  <w:vAlign w:val="center"/>
                </w:tcPr>
                <w:p>
                  <w:pPr>
                    <w:jc w:val="center"/>
                    <w:rPr>
                      <w:kern w:val="0"/>
                      <w:szCs w:val="21"/>
                      <w:lang w:bidi="ar"/>
                    </w:rPr>
                  </w:pPr>
                  <w:r>
                    <w:rPr>
                      <w:szCs w:val="21"/>
                    </w:rPr>
                    <w:t>序号</w:t>
                  </w:r>
                </w:p>
              </w:tc>
              <w:tc>
                <w:tcPr>
                  <w:tcW w:w="4894" w:type="dxa"/>
                  <w:vAlign w:val="center"/>
                </w:tcPr>
                <w:p>
                  <w:pPr>
                    <w:jc w:val="center"/>
                    <w:rPr>
                      <w:kern w:val="0"/>
                      <w:szCs w:val="21"/>
                      <w:lang w:bidi="ar"/>
                    </w:rPr>
                  </w:pPr>
                  <w:r>
                    <w:rPr>
                      <w:szCs w:val="21"/>
                    </w:rPr>
                    <w:t>技术政策要求</w:t>
                  </w:r>
                </w:p>
              </w:tc>
              <w:tc>
                <w:tcPr>
                  <w:tcW w:w="1843" w:type="dxa"/>
                  <w:vAlign w:val="center"/>
                </w:tcPr>
                <w:p>
                  <w:pPr>
                    <w:jc w:val="center"/>
                    <w:rPr>
                      <w:kern w:val="0"/>
                      <w:szCs w:val="21"/>
                      <w:lang w:bidi="ar"/>
                    </w:rPr>
                  </w:pPr>
                  <w:r>
                    <w:rPr>
                      <w:szCs w:val="21"/>
                    </w:rPr>
                    <w:t>本工程内容</w:t>
                  </w:r>
                </w:p>
              </w:tc>
              <w:tc>
                <w:tcPr>
                  <w:tcW w:w="517" w:type="dxa"/>
                  <w:vAlign w:val="center"/>
                </w:tcPr>
                <w:p>
                  <w:pPr>
                    <w:jc w:val="center"/>
                    <w:rPr>
                      <w:kern w:val="0"/>
                      <w:szCs w:val="21"/>
                      <w:lang w:bidi="ar"/>
                    </w:rPr>
                  </w:pPr>
                  <w:r>
                    <w:rPr>
                      <w:szCs w:val="21"/>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8" w:hRule="atLeast"/>
                <w:jc w:val="center"/>
              </w:trPr>
              <w:tc>
                <w:tcPr>
                  <w:tcW w:w="585" w:type="dxa"/>
                  <w:vAlign w:val="center"/>
                </w:tcPr>
                <w:p>
                  <w:pPr>
                    <w:widowControl/>
                    <w:jc w:val="center"/>
                    <w:rPr>
                      <w:szCs w:val="21"/>
                    </w:rPr>
                  </w:pPr>
                  <w:r>
                    <w:rPr>
                      <w:kern w:val="0"/>
                      <w:szCs w:val="21"/>
                      <w:lang w:bidi="ar"/>
                    </w:rPr>
                    <w:t>1</w:t>
                  </w:r>
                </w:p>
              </w:tc>
              <w:tc>
                <w:tcPr>
                  <w:tcW w:w="4894" w:type="dxa"/>
                  <w:vAlign w:val="center"/>
                </w:tcPr>
                <w:p>
                  <w:pPr>
                    <w:widowControl/>
                    <w:rPr>
                      <w:kern w:val="0"/>
                      <w:szCs w:val="21"/>
                    </w:rPr>
                  </w:pPr>
                  <w:r>
                    <w:rPr>
                      <w:kern w:val="0"/>
                      <w:szCs w:val="21"/>
                    </w:rPr>
                    <w:t>涉及向地表水体排放污染物的陆地油气开采项目，应当符合国家和地方污染物排放标准，满足重点污染物排放总量控制要求。涉及污染物排放的海洋油气开发项目，应当符合《海洋石油勘探开发污染物排放浓度限值》（GB4914）等排放标准要求。</w:t>
                  </w:r>
                </w:p>
              </w:tc>
              <w:tc>
                <w:tcPr>
                  <w:tcW w:w="1843" w:type="dxa"/>
                  <w:vAlign w:val="center"/>
                </w:tcPr>
                <w:p>
                  <w:pPr>
                    <w:pStyle w:val="25"/>
                    <w:spacing w:after="0" w:line="240" w:lineRule="auto"/>
                    <w:ind w:left="0" w:leftChars="0"/>
                    <w:rPr>
                      <w:szCs w:val="21"/>
                    </w:rPr>
                  </w:pPr>
                  <w:r>
                    <w:rPr>
                      <w:kern w:val="0"/>
                      <w:szCs w:val="21"/>
                    </w:rPr>
                    <w:t>本项目钻井废水拟交由四川瑞利生物科技有限公司污水处理厂进行处理，满足相应排放要。</w:t>
                  </w:r>
                </w:p>
              </w:tc>
              <w:tc>
                <w:tcPr>
                  <w:tcW w:w="517" w:type="dxa"/>
                  <w:vAlign w:val="center"/>
                </w:tcPr>
                <w:p>
                  <w:pPr>
                    <w:widowControl/>
                    <w:jc w:val="center"/>
                    <w:rPr>
                      <w:szCs w:val="21"/>
                    </w:rPr>
                  </w:pPr>
                  <w:r>
                    <w:rPr>
                      <w:kern w:val="0"/>
                      <w:szCs w:val="21"/>
                      <w:lang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8" w:hRule="atLeast"/>
                <w:jc w:val="center"/>
              </w:trPr>
              <w:tc>
                <w:tcPr>
                  <w:tcW w:w="585" w:type="dxa"/>
                  <w:vMerge w:val="restart"/>
                  <w:vAlign w:val="center"/>
                </w:tcPr>
                <w:p>
                  <w:pPr>
                    <w:widowControl/>
                    <w:jc w:val="center"/>
                    <w:rPr>
                      <w:kern w:val="0"/>
                      <w:szCs w:val="21"/>
                      <w:lang w:bidi="ar"/>
                    </w:rPr>
                  </w:pPr>
                  <w:r>
                    <w:rPr>
                      <w:kern w:val="0"/>
                      <w:szCs w:val="21"/>
                      <w:lang w:bidi="ar"/>
                    </w:rPr>
                    <w:t>2</w:t>
                  </w:r>
                </w:p>
              </w:tc>
              <w:tc>
                <w:tcPr>
                  <w:tcW w:w="4894" w:type="dxa"/>
                  <w:vAlign w:val="center"/>
                </w:tcPr>
                <w:p>
                  <w:pPr>
                    <w:widowControl/>
                    <w:rPr>
                      <w:kern w:val="0"/>
                      <w:szCs w:val="21"/>
                    </w:rPr>
                  </w:pPr>
                  <w:r>
                    <w:rPr>
                      <w:kern w:val="0"/>
                      <w:szCs w:val="21"/>
                    </w:rPr>
                    <w:t>涉及废水回注的，应当论证回注的环境可行性，采取切实可行的地下水污染防治和监控措施，不得回注与油气开采无关的废水，严禁造成地下水污染。在相关行业污染控制标准发布前，回注的开采废水应当经处理并符合《碎屑岩油藏注水水质推荐指标及分析方法》（SY/T5329）等相关标准要求后回注，同步采取切实可行措施防治污染。回注目的层应当为地质构造封闭地层，一般应当回注到现役油气藏或枯竭废弃油气藏。相关部门及油气企业应当加强采出水等污水回注的研究，重点关注回注井井位合理性、过程控制有效性、风险防控系统性等，提出</w:t>
                  </w:r>
                </w:p>
              </w:tc>
              <w:tc>
                <w:tcPr>
                  <w:tcW w:w="1843" w:type="dxa"/>
                  <w:vMerge w:val="restart"/>
                  <w:vAlign w:val="center"/>
                </w:tcPr>
                <w:p>
                  <w:pPr>
                    <w:pStyle w:val="25"/>
                    <w:spacing w:after="0" w:line="240" w:lineRule="auto"/>
                    <w:ind w:left="0" w:leftChars="0"/>
                    <w:rPr>
                      <w:kern w:val="0"/>
                      <w:szCs w:val="21"/>
                    </w:rPr>
                  </w:pPr>
                  <w:r>
                    <w:rPr>
                      <w:kern w:val="0"/>
                      <w:szCs w:val="21"/>
                    </w:rPr>
                    <w:t>本项目属于气田的陆地矿产资源地质勘查（含油气资源勘探），</w:t>
                  </w:r>
                  <w:r>
                    <w:rPr>
                      <w:szCs w:val="21"/>
                    </w:rPr>
                    <w:t>不涉及废水回注。</w:t>
                  </w:r>
                </w:p>
              </w:tc>
              <w:tc>
                <w:tcPr>
                  <w:tcW w:w="517" w:type="dxa"/>
                  <w:vMerge w:val="restart"/>
                  <w:vAlign w:val="center"/>
                </w:tcPr>
                <w:p>
                  <w:pPr>
                    <w:widowControl/>
                    <w:jc w:val="center"/>
                    <w:rPr>
                      <w:kern w:val="0"/>
                      <w:szCs w:val="21"/>
                      <w:lang w:bidi="ar"/>
                    </w:rPr>
                  </w:pPr>
                  <w:r>
                    <w:rPr>
                      <w:kern w:val="0"/>
                      <w:szCs w:val="21"/>
                      <w:lang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8" w:hRule="atLeast"/>
                <w:jc w:val="center"/>
              </w:trPr>
              <w:tc>
                <w:tcPr>
                  <w:tcW w:w="585" w:type="dxa"/>
                  <w:vMerge w:val="continue"/>
                  <w:vAlign w:val="center"/>
                </w:tcPr>
                <w:p>
                  <w:pPr>
                    <w:widowControl/>
                    <w:jc w:val="center"/>
                    <w:rPr>
                      <w:kern w:val="0"/>
                      <w:szCs w:val="21"/>
                      <w:lang w:bidi="ar"/>
                    </w:rPr>
                  </w:pPr>
                </w:p>
              </w:tc>
              <w:tc>
                <w:tcPr>
                  <w:tcW w:w="4894" w:type="dxa"/>
                  <w:vAlign w:val="center"/>
                </w:tcPr>
                <w:p>
                  <w:pPr>
                    <w:widowControl/>
                    <w:rPr>
                      <w:kern w:val="0"/>
                      <w:szCs w:val="21"/>
                    </w:rPr>
                  </w:pPr>
                  <w:r>
                    <w:rPr>
                      <w:kern w:val="0"/>
                      <w:szCs w:val="21"/>
                    </w:rPr>
                    <w:t>从源头到末端的全过程生态环境保护及风险防控措施、监控要求。建设项目环评文件中应当包含钻井液、压裂液中重金属等有毒有害物质的相关信息，涉及商业秘密、技术秘密等情形的除外。</w:t>
                  </w:r>
                </w:p>
              </w:tc>
              <w:tc>
                <w:tcPr>
                  <w:tcW w:w="1843" w:type="dxa"/>
                  <w:vMerge w:val="continue"/>
                  <w:vAlign w:val="center"/>
                </w:tcPr>
                <w:p>
                  <w:pPr>
                    <w:widowControl/>
                    <w:rPr>
                      <w:szCs w:val="21"/>
                    </w:rPr>
                  </w:pPr>
                </w:p>
              </w:tc>
              <w:tc>
                <w:tcPr>
                  <w:tcW w:w="517" w:type="dxa"/>
                  <w:vMerge w:val="continue"/>
                  <w:vAlign w:val="center"/>
                </w:tcPr>
                <w:p>
                  <w:pPr>
                    <w:widowControl/>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8" w:hRule="atLeast"/>
                <w:jc w:val="center"/>
              </w:trPr>
              <w:tc>
                <w:tcPr>
                  <w:tcW w:w="585" w:type="dxa"/>
                  <w:vAlign w:val="center"/>
                </w:tcPr>
                <w:p>
                  <w:pPr>
                    <w:widowControl/>
                    <w:jc w:val="center"/>
                    <w:rPr>
                      <w:kern w:val="0"/>
                      <w:szCs w:val="21"/>
                      <w:lang w:bidi="ar"/>
                    </w:rPr>
                  </w:pPr>
                  <w:r>
                    <w:rPr>
                      <w:kern w:val="0"/>
                      <w:szCs w:val="21"/>
                      <w:lang w:bidi="ar"/>
                    </w:rPr>
                    <w:t>3</w:t>
                  </w:r>
                </w:p>
              </w:tc>
              <w:tc>
                <w:tcPr>
                  <w:tcW w:w="4894" w:type="dxa"/>
                  <w:vAlign w:val="center"/>
                </w:tcPr>
                <w:p>
                  <w:pPr>
                    <w:widowControl/>
                    <w:rPr>
                      <w:kern w:val="0"/>
                      <w:szCs w:val="21"/>
                    </w:rPr>
                  </w:pPr>
                  <w:r>
                    <w:rPr>
                      <w:kern w:val="0"/>
                      <w:szCs w:val="21"/>
                    </w:rPr>
                    <w:t>油气开采产生的废弃油基泥浆、含油钻屑及其他固体废物，应当遵循减量化、资源化、无害化原则，按照国家和地方有关固体废物的管理规定进行处置。鼓励企业自建含油污泥集中式处理和综合利用设施，提高废弃油基泥浆和含油钻屑及其处理产物的综合利用率。油气开采项目产生的危险废物，应当按照《建设项目危险废物环境影响评价指南》要求评价。相关部门及油气企业应当加强固体废物处置的研究，重点关注固体废物产生类型、主要污染因子及潜在环境影响，分别提出减量化的源头控制措施、资源化的利用路径、无害化的处理要求，促进固体废物合理利用和妥善处置。</w:t>
                  </w:r>
                </w:p>
              </w:tc>
              <w:tc>
                <w:tcPr>
                  <w:tcW w:w="1843" w:type="dxa"/>
                  <w:vAlign w:val="center"/>
                </w:tcPr>
                <w:p>
                  <w:pPr>
                    <w:widowControl/>
                    <w:rPr>
                      <w:kern w:val="0"/>
                      <w:szCs w:val="21"/>
                    </w:rPr>
                  </w:pPr>
                  <w:r>
                    <w:rPr>
                      <w:kern w:val="0"/>
                      <w:szCs w:val="21"/>
                    </w:rPr>
                    <w:t>本项目采用清水钻井液和水基钻井液，</w:t>
                  </w:r>
                  <w:r>
                    <w:rPr>
                      <w:rFonts w:hint="eastAsia"/>
                      <w:kern w:val="0"/>
                      <w:szCs w:val="21"/>
                    </w:rPr>
                    <w:t>不使用油基钻井液，</w:t>
                  </w:r>
                  <w:r>
                    <w:rPr>
                      <w:kern w:val="0"/>
                      <w:szCs w:val="21"/>
                    </w:rPr>
                    <w:t>产生的固体废物均按照国家和地方有关固体废物的管理规定进行处置。</w:t>
                  </w:r>
                </w:p>
              </w:tc>
              <w:tc>
                <w:tcPr>
                  <w:tcW w:w="517" w:type="dxa"/>
                  <w:vAlign w:val="center"/>
                </w:tcPr>
                <w:p>
                  <w:pPr>
                    <w:widowControl/>
                    <w:jc w:val="center"/>
                    <w:rPr>
                      <w:kern w:val="0"/>
                      <w:szCs w:val="21"/>
                      <w:lang w:bidi="ar"/>
                    </w:rPr>
                  </w:pPr>
                  <w:r>
                    <w:rPr>
                      <w:kern w:val="0"/>
                      <w:szCs w:val="21"/>
                      <w:lang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8" w:hRule="atLeast"/>
                <w:jc w:val="center"/>
              </w:trPr>
              <w:tc>
                <w:tcPr>
                  <w:tcW w:w="585" w:type="dxa"/>
                  <w:vAlign w:val="center"/>
                </w:tcPr>
                <w:p>
                  <w:pPr>
                    <w:widowControl/>
                    <w:jc w:val="center"/>
                    <w:rPr>
                      <w:kern w:val="0"/>
                      <w:szCs w:val="21"/>
                      <w:lang w:bidi="ar"/>
                    </w:rPr>
                  </w:pPr>
                  <w:r>
                    <w:rPr>
                      <w:kern w:val="0"/>
                      <w:szCs w:val="21"/>
                      <w:lang w:bidi="ar"/>
                    </w:rPr>
                    <w:t>4</w:t>
                  </w:r>
                </w:p>
              </w:tc>
              <w:tc>
                <w:tcPr>
                  <w:tcW w:w="4894" w:type="dxa"/>
                  <w:vAlign w:val="center"/>
                </w:tcPr>
                <w:p>
                  <w:pPr>
                    <w:widowControl/>
                    <w:rPr>
                      <w:kern w:val="0"/>
                      <w:szCs w:val="21"/>
                    </w:rPr>
                  </w:pPr>
                  <w:r>
                    <w:rPr>
                      <w:kern w:val="0"/>
                      <w:szCs w:val="21"/>
                    </w:rPr>
                    <w:t>陆地油气开采项目的建设单位应当对挥发性有机物液体储存和装载损失、废水液面逸散、设备与管线组件泄漏、非正常工况等挥发性有机物无组织排放源进行有效管控，通过采取设备密闭、废气有效收集及配套高效末端处理设施等措施，有效控制挥发性有机物和恶臭气体无组织排放。涉及高含硫天然气开采的，应当强化钻井、输送、净化等环节环境风险防范措施。含硫气田回注采出水，应当采取有效措施减少废水处理站和回注井场硫化氢的无组织排放。高含硫天然气净化厂应当采用先进高效硫磺回收工艺，减少二氧化硫排放。井场加热炉、锅炉、压缩机等排放大气污染物的设备，应当优先使用清洁燃料，废气排放应当满足国家和地方大气污染物排放标准要求。</w:t>
                  </w:r>
                </w:p>
              </w:tc>
              <w:tc>
                <w:tcPr>
                  <w:tcW w:w="1843" w:type="dxa"/>
                  <w:vAlign w:val="center"/>
                </w:tcPr>
                <w:p>
                  <w:pPr>
                    <w:widowControl/>
                    <w:rPr>
                      <w:kern w:val="0"/>
                      <w:szCs w:val="21"/>
                    </w:rPr>
                  </w:pPr>
                  <w:r>
                    <w:rPr>
                      <w:kern w:val="0"/>
                      <w:szCs w:val="21"/>
                    </w:rPr>
                    <w:t>本井目的层不涉及挥发性有机物液体储存，同时加强钻井期间钻井、输送、净化等环节环境风险防范措施</w:t>
                  </w:r>
                </w:p>
              </w:tc>
              <w:tc>
                <w:tcPr>
                  <w:tcW w:w="517" w:type="dxa"/>
                  <w:vAlign w:val="center"/>
                </w:tcPr>
                <w:p>
                  <w:pPr>
                    <w:widowControl/>
                    <w:jc w:val="center"/>
                    <w:rPr>
                      <w:kern w:val="0"/>
                      <w:szCs w:val="21"/>
                      <w:lang w:bidi="ar"/>
                    </w:rPr>
                  </w:pPr>
                  <w:r>
                    <w:rPr>
                      <w:kern w:val="0"/>
                      <w:szCs w:val="21"/>
                      <w:lang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8" w:hRule="atLeast"/>
                <w:jc w:val="center"/>
              </w:trPr>
              <w:tc>
                <w:tcPr>
                  <w:tcW w:w="585" w:type="dxa"/>
                  <w:vAlign w:val="center"/>
                </w:tcPr>
                <w:p>
                  <w:pPr>
                    <w:widowControl/>
                    <w:jc w:val="center"/>
                    <w:rPr>
                      <w:kern w:val="0"/>
                      <w:szCs w:val="21"/>
                      <w:lang w:bidi="ar"/>
                    </w:rPr>
                  </w:pPr>
                  <w:r>
                    <w:rPr>
                      <w:kern w:val="0"/>
                      <w:szCs w:val="21"/>
                      <w:lang w:bidi="ar"/>
                    </w:rPr>
                    <w:t>5</w:t>
                  </w:r>
                </w:p>
              </w:tc>
              <w:tc>
                <w:tcPr>
                  <w:tcW w:w="4894" w:type="dxa"/>
                  <w:vAlign w:val="center"/>
                </w:tcPr>
                <w:p>
                  <w:pPr>
                    <w:widowControl/>
                    <w:rPr>
                      <w:kern w:val="0"/>
                      <w:szCs w:val="21"/>
                    </w:rPr>
                  </w:pPr>
                  <w:r>
                    <w:rPr>
                      <w:kern w:val="0"/>
                      <w:szCs w:val="21"/>
                    </w:rPr>
                    <w:t>施工期应当尽量减少施工占地、缩短施工时间、选择合理施工方式、落实环境敏感区管控要求以及其他生态环境保护措施，降低生态环境影响。钻井和压裂设备应当优先使用网电、高标准清洁燃油，减少废气排放。选用低噪声设备，避免噪声扰民。施工结束后，应当及时落实环评提出的生态保护措施。</w:t>
                  </w:r>
                </w:p>
              </w:tc>
              <w:tc>
                <w:tcPr>
                  <w:tcW w:w="1843" w:type="dxa"/>
                  <w:vAlign w:val="center"/>
                </w:tcPr>
                <w:p>
                  <w:pPr>
                    <w:widowControl/>
                    <w:rPr>
                      <w:kern w:val="0"/>
                      <w:szCs w:val="21"/>
                    </w:rPr>
                  </w:pPr>
                  <w:r>
                    <w:rPr>
                      <w:kern w:val="0"/>
                      <w:szCs w:val="21"/>
                    </w:rPr>
                    <w:t>本项目钻井和压裂设备使用网电、备用柴油发电机，减少废气排放。选用低噪声设备，避免噪声扰民。施工结束后，及时落实环评提出的生态保护措施。</w:t>
                  </w:r>
                </w:p>
              </w:tc>
              <w:tc>
                <w:tcPr>
                  <w:tcW w:w="517" w:type="dxa"/>
                  <w:vAlign w:val="center"/>
                </w:tcPr>
                <w:p>
                  <w:pPr>
                    <w:widowControl/>
                    <w:jc w:val="center"/>
                    <w:rPr>
                      <w:kern w:val="0"/>
                      <w:szCs w:val="21"/>
                      <w:lang w:bidi="ar"/>
                    </w:rPr>
                  </w:pPr>
                  <w:r>
                    <w:rPr>
                      <w:kern w:val="0"/>
                      <w:szCs w:val="21"/>
                      <w:lang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8" w:hRule="atLeast"/>
                <w:jc w:val="center"/>
              </w:trPr>
              <w:tc>
                <w:tcPr>
                  <w:tcW w:w="585" w:type="dxa"/>
                  <w:vAlign w:val="center"/>
                </w:tcPr>
                <w:p>
                  <w:pPr>
                    <w:widowControl/>
                    <w:jc w:val="center"/>
                    <w:rPr>
                      <w:kern w:val="0"/>
                      <w:szCs w:val="21"/>
                      <w:lang w:bidi="ar"/>
                    </w:rPr>
                  </w:pPr>
                  <w:r>
                    <w:rPr>
                      <w:kern w:val="0"/>
                      <w:szCs w:val="21"/>
                      <w:lang w:bidi="ar"/>
                    </w:rPr>
                    <w:t>6</w:t>
                  </w:r>
                </w:p>
              </w:tc>
              <w:tc>
                <w:tcPr>
                  <w:tcW w:w="4894" w:type="dxa"/>
                  <w:vAlign w:val="center"/>
                </w:tcPr>
                <w:p>
                  <w:pPr>
                    <w:widowControl/>
                    <w:rPr>
                      <w:kern w:val="0"/>
                      <w:szCs w:val="21"/>
                    </w:rPr>
                  </w:pPr>
                  <w:r>
                    <w:rPr>
                      <w:kern w:val="0"/>
                      <w:szCs w:val="21"/>
                    </w:rPr>
                    <w:t>陆地油气长输管道项目，原则上应当单独编制环评文件。油气长输管道及油气田内部集输管道应当优先避让环境敏感区，并从穿越位置、穿越方式、施工场地设置、管线工艺设计、环境风险防范等方面进行深入论证。高度关注项目安全事故带来的环境风险，尽量远离沿线居民。</w:t>
                  </w:r>
                </w:p>
              </w:tc>
              <w:tc>
                <w:tcPr>
                  <w:tcW w:w="1843" w:type="dxa"/>
                  <w:vAlign w:val="center"/>
                </w:tcPr>
                <w:p>
                  <w:pPr>
                    <w:widowControl/>
                    <w:rPr>
                      <w:kern w:val="0"/>
                      <w:szCs w:val="21"/>
                    </w:rPr>
                  </w:pPr>
                  <w:r>
                    <w:rPr>
                      <w:kern w:val="0"/>
                      <w:szCs w:val="21"/>
                    </w:rPr>
                    <w:t>本项目属于气田的陆地矿产资源地质勘查（含油气资源勘探），暂不涉及油气长输管道。</w:t>
                  </w:r>
                </w:p>
              </w:tc>
              <w:tc>
                <w:tcPr>
                  <w:tcW w:w="517" w:type="dxa"/>
                  <w:vAlign w:val="center"/>
                </w:tcPr>
                <w:p>
                  <w:pPr>
                    <w:widowControl/>
                    <w:jc w:val="center"/>
                    <w:rPr>
                      <w:kern w:val="0"/>
                      <w:szCs w:val="21"/>
                      <w:lang w:bidi="ar"/>
                    </w:rPr>
                  </w:pPr>
                  <w:r>
                    <w:rPr>
                      <w:kern w:val="0"/>
                      <w:szCs w:val="21"/>
                      <w:lang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8" w:hRule="atLeast"/>
                <w:jc w:val="center"/>
              </w:trPr>
              <w:tc>
                <w:tcPr>
                  <w:tcW w:w="585" w:type="dxa"/>
                  <w:vAlign w:val="center"/>
                </w:tcPr>
                <w:p>
                  <w:pPr>
                    <w:widowControl/>
                    <w:jc w:val="center"/>
                    <w:rPr>
                      <w:kern w:val="0"/>
                      <w:szCs w:val="21"/>
                      <w:lang w:bidi="ar"/>
                    </w:rPr>
                  </w:pPr>
                  <w:r>
                    <w:rPr>
                      <w:kern w:val="0"/>
                      <w:szCs w:val="21"/>
                      <w:lang w:bidi="ar"/>
                    </w:rPr>
                    <w:t>7</w:t>
                  </w:r>
                </w:p>
              </w:tc>
              <w:tc>
                <w:tcPr>
                  <w:tcW w:w="4894" w:type="dxa"/>
                  <w:vAlign w:val="center"/>
                </w:tcPr>
                <w:p>
                  <w:pPr>
                    <w:widowControl/>
                    <w:rPr>
                      <w:kern w:val="0"/>
                      <w:szCs w:val="21"/>
                    </w:rPr>
                  </w:pPr>
                  <w:r>
                    <w:rPr>
                      <w:kern w:val="0"/>
                      <w:szCs w:val="21"/>
                    </w:rPr>
                    <w:t>油气储存项目，选址尽量远离环境敏感区。加强甲烷及挥发性有机物的泄漏检测，落实地下水污染防治和跟踪监测要求，采取有效措施做好环境风险防范与环境应急管理；盐穴储气库项目还应当严格落实采卤造腔期和管道施工期的生态环境保护措施，妥善处理采出水。</w:t>
                  </w:r>
                </w:p>
              </w:tc>
              <w:tc>
                <w:tcPr>
                  <w:tcW w:w="1843" w:type="dxa"/>
                  <w:vAlign w:val="center"/>
                </w:tcPr>
                <w:p>
                  <w:pPr>
                    <w:widowControl/>
                    <w:rPr>
                      <w:kern w:val="0"/>
                      <w:szCs w:val="21"/>
                    </w:rPr>
                  </w:pPr>
                  <w:r>
                    <w:rPr>
                      <w:kern w:val="0"/>
                      <w:szCs w:val="21"/>
                    </w:rPr>
                    <w:t>本项目属于气田的陆地矿产资源地质勘查（含油气资源勘探），不属于油气储存项目。</w:t>
                  </w:r>
                </w:p>
              </w:tc>
              <w:tc>
                <w:tcPr>
                  <w:tcW w:w="517" w:type="dxa"/>
                  <w:vAlign w:val="center"/>
                </w:tcPr>
                <w:p>
                  <w:pPr>
                    <w:widowControl/>
                    <w:jc w:val="center"/>
                    <w:rPr>
                      <w:kern w:val="0"/>
                      <w:szCs w:val="21"/>
                      <w:lang w:bidi="ar"/>
                    </w:rPr>
                  </w:pPr>
                  <w:r>
                    <w:rPr>
                      <w:kern w:val="0"/>
                      <w:szCs w:val="21"/>
                      <w:lang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8" w:hRule="atLeast"/>
                <w:jc w:val="center"/>
              </w:trPr>
              <w:tc>
                <w:tcPr>
                  <w:tcW w:w="585" w:type="dxa"/>
                  <w:vAlign w:val="center"/>
                </w:tcPr>
                <w:p>
                  <w:pPr>
                    <w:widowControl/>
                    <w:jc w:val="center"/>
                    <w:rPr>
                      <w:kern w:val="0"/>
                      <w:szCs w:val="21"/>
                      <w:lang w:bidi="ar"/>
                    </w:rPr>
                  </w:pPr>
                  <w:r>
                    <w:rPr>
                      <w:kern w:val="0"/>
                      <w:szCs w:val="21"/>
                      <w:lang w:bidi="ar"/>
                    </w:rPr>
                    <w:t>8</w:t>
                  </w:r>
                </w:p>
              </w:tc>
              <w:tc>
                <w:tcPr>
                  <w:tcW w:w="4894" w:type="dxa"/>
                  <w:vAlign w:val="center"/>
                </w:tcPr>
                <w:p>
                  <w:pPr>
                    <w:widowControl/>
                    <w:rPr>
                      <w:kern w:val="0"/>
                      <w:szCs w:val="21"/>
                    </w:rPr>
                  </w:pPr>
                  <w:r>
                    <w:rPr>
                      <w:kern w:val="0"/>
                      <w:szCs w:val="21"/>
                    </w:rPr>
                    <w:t>油气企业应当加强风险防控，按规定编制突发环境事件应急预案，报所在地生态环境主管部门备案。海洋油气勘探开发溢油应急计划报相关海域生态环境监督管理局备案。</w:t>
                  </w:r>
                </w:p>
              </w:tc>
              <w:tc>
                <w:tcPr>
                  <w:tcW w:w="1843" w:type="dxa"/>
                  <w:vAlign w:val="center"/>
                </w:tcPr>
                <w:p>
                  <w:pPr>
                    <w:widowControl/>
                    <w:rPr>
                      <w:kern w:val="0"/>
                      <w:szCs w:val="21"/>
                    </w:rPr>
                  </w:pPr>
                  <w:r>
                    <w:rPr>
                      <w:kern w:val="0"/>
                      <w:szCs w:val="21"/>
                    </w:rPr>
                    <w:t>建设单位严格按照相关要求编制突发环境事件应急预案，并报所在地生态环境主管部门备案。</w:t>
                  </w:r>
                </w:p>
              </w:tc>
              <w:tc>
                <w:tcPr>
                  <w:tcW w:w="517" w:type="dxa"/>
                  <w:vAlign w:val="center"/>
                </w:tcPr>
                <w:p>
                  <w:pPr>
                    <w:widowControl/>
                    <w:jc w:val="center"/>
                    <w:rPr>
                      <w:kern w:val="0"/>
                      <w:szCs w:val="21"/>
                      <w:lang w:bidi="ar"/>
                    </w:rPr>
                  </w:pPr>
                  <w:r>
                    <w:rPr>
                      <w:kern w:val="0"/>
                      <w:szCs w:val="21"/>
                      <w:lang w:bidi="ar"/>
                    </w:rPr>
                    <w:t>符合</w:t>
                  </w:r>
                </w:p>
              </w:tc>
            </w:tr>
          </w:tbl>
          <w:p>
            <w:pPr>
              <w:pStyle w:val="36"/>
              <w:numPr>
                <w:ilvl w:val="1"/>
                <w:numId w:val="2"/>
              </w:numPr>
              <w:spacing w:before="0" w:beforeAutospacing="0" w:after="0" w:afterAutospacing="0" w:line="360" w:lineRule="auto"/>
              <w:ind w:left="0" w:firstLine="0"/>
              <w:rPr>
                <w:rFonts w:ascii="Times New Roman" w:hAnsi="Times New Roman"/>
                <w:b/>
                <w:bCs/>
                <w:sz w:val="21"/>
                <w:szCs w:val="21"/>
              </w:rPr>
            </w:pPr>
            <w:r>
              <w:rPr>
                <w:rFonts w:ascii="Times New Roman" w:hAnsi="Times New Roman"/>
                <w:b/>
                <w:bCs/>
                <w:sz w:val="21"/>
                <w:szCs w:val="21"/>
              </w:rPr>
              <w:t>与《中国石油天然气集团有限公司重点地区井控管理规定》的符合性分析</w:t>
            </w:r>
          </w:p>
          <w:p>
            <w:pPr>
              <w:numPr>
                <w:ilvl w:val="0"/>
                <w:numId w:val="3"/>
              </w:numPr>
              <w:spacing w:line="360" w:lineRule="auto"/>
              <w:ind w:left="0" w:firstLine="0"/>
              <w:jc w:val="center"/>
              <w:rPr>
                <w:b/>
                <w:kern w:val="0"/>
                <w:szCs w:val="21"/>
              </w:rPr>
            </w:pPr>
            <w:r>
              <w:rPr>
                <w:b/>
                <w:kern w:val="0"/>
                <w:szCs w:val="21"/>
              </w:rPr>
              <w:t>与《中国石油天然气集团有限公司重点地区井控管理规定》的符合性分析</w:t>
            </w:r>
          </w:p>
          <w:tbl>
            <w:tblPr>
              <w:tblStyle w:val="42"/>
              <w:tblW w:w="73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2"/>
              <w:gridCol w:w="4619"/>
              <w:gridCol w:w="1592"/>
              <w:gridCol w:w="6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4" w:hRule="atLeast"/>
                <w:jc w:val="center"/>
              </w:trPr>
              <w:tc>
                <w:tcPr>
                  <w:tcW w:w="552" w:type="dxa"/>
                  <w:vAlign w:val="center"/>
                </w:tcPr>
                <w:p>
                  <w:pPr>
                    <w:jc w:val="center"/>
                    <w:rPr>
                      <w:kern w:val="0"/>
                      <w:szCs w:val="21"/>
                      <w:lang w:bidi="ar"/>
                    </w:rPr>
                  </w:pPr>
                  <w:r>
                    <w:rPr>
                      <w:szCs w:val="21"/>
                    </w:rPr>
                    <w:t>序号</w:t>
                  </w:r>
                </w:p>
              </w:tc>
              <w:tc>
                <w:tcPr>
                  <w:tcW w:w="4619" w:type="dxa"/>
                  <w:vAlign w:val="center"/>
                </w:tcPr>
                <w:p>
                  <w:pPr>
                    <w:jc w:val="center"/>
                    <w:rPr>
                      <w:kern w:val="0"/>
                      <w:szCs w:val="21"/>
                      <w:lang w:bidi="ar"/>
                    </w:rPr>
                  </w:pPr>
                  <w:r>
                    <w:rPr>
                      <w:szCs w:val="21"/>
                    </w:rPr>
                    <w:t>井控管理规定要求</w:t>
                  </w:r>
                </w:p>
              </w:tc>
              <w:tc>
                <w:tcPr>
                  <w:tcW w:w="1592" w:type="dxa"/>
                  <w:vAlign w:val="center"/>
                </w:tcPr>
                <w:p>
                  <w:pPr>
                    <w:jc w:val="center"/>
                    <w:rPr>
                      <w:kern w:val="0"/>
                      <w:szCs w:val="21"/>
                      <w:lang w:bidi="ar"/>
                    </w:rPr>
                  </w:pPr>
                  <w:r>
                    <w:rPr>
                      <w:szCs w:val="21"/>
                    </w:rPr>
                    <w:t>本工程内容</w:t>
                  </w:r>
                </w:p>
              </w:tc>
              <w:tc>
                <w:tcPr>
                  <w:tcW w:w="634" w:type="dxa"/>
                  <w:vAlign w:val="center"/>
                </w:tcPr>
                <w:p>
                  <w:pPr>
                    <w:jc w:val="center"/>
                    <w:rPr>
                      <w:kern w:val="0"/>
                      <w:szCs w:val="21"/>
                      <w:lang w:bidi="ar"/>
                    </w:rPr>
                  </w:pPr>
                  <w:r>
                    <w:rPr>
                      <w:szCs w:val="21"/>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30" w:hRule="atLeast"/>
                <w:jc w:val="center"/>
              </w:trPr>
              <w:tc>
                <w:tcPr>
                  <w:tcW w:w="552" w:type="dxa"/>
                  <w:vAlign w:val="center"/>
                </w:tcPr>
                <w:p>
                  <w:pPr>
                    <w:widowControl/>
                    <w:jc w:val="center"/>
                    <w:rPr>
                      <w:szCs w:val="21"/>
                    </w:rPr>
                  </w:pPr>
                  <w:r>
                    <w:rPr>
                      <w:kern w:val="0"/>
                      <w:szCs w:val="21"/>
                      <w:lang w:bidi="ar"/>
                    </w:rPr>
                    <w:t>1</w:t>
                  </w:r>
                </w:p>
              </w:tc>
              <w:tc>
                <w:tcPr>
                  <w:tcW w:w="4619" w:type="dxa"/>
                  <w:vAlign w:val="center"/>
                </w:tcPr>
                <w:p>
                  <w:pPr>
                    <w:widowControl/>
                    <w:rPr>
                      <w:kern w:val="0"/>
                      <w:szCs w:val="21"/>
                    </w:rPr>
                  </w:pPr>
                  <w:r>
                    <w:rPr>
                      <w:kern w:val="0"/>
                      <w:szCs w:val="21"/>
                    </w:rPr>
                    <w:t>树立“大井控”理念，从地质工程设计、钻前工程、装备配套、钻井、录井、测井、固井、试油、投产等全过程强化井控工作，坚持井控先行，严格管控，落实责任，确保全生命周期的井控安全。</w:t>
                  </w:r>
                </w:p>
              </w:tc>
              <w:tc>
                <w:tcPr>
                  <w:tcW w:w="1592" w:type="dxa"/>
                  <w:vAlign w:val="center"/>
                </w:tcPr>
                <w:p>
                  <w:pPr>
                    <w:pStyle w:val="25"/>
                    <w:spacing w:after="0" w:line="240" w:lineRule="auto"/>
                    <w:ind w:left="0" w:leftChars="0"/>
                    <w:rPr>
                      <w:szCs w:val="21"/>
                    </w:rPr>
                  </w:pPr>
                  <w:r>
                    <w:rPr>
                      <w:szCs w:val="21"/>
                    </w:rPr>
                    <w:t>本项目实行全过程管控井控工作，实行严格管控</w:t>
                  </w:r>
                </w:p>
              </w:tc>
              <w:tc>
                <w:tcPr>
                  <w:tcW w:w="634" w:type="dxa"/>
                  <w:vAlign w:val="center"/>
                </w:tcPr>
                <w:p>
                  <w:pPr>
                    <w:widowControl/>
                    <w:jc w:val="center"/>
                    <w:rPr>
                      <w:szCs w:val="21"/>
                    </w:rPr>
                  </w:pPr>
                  <w:r>
                    <w:rPr>
                      <w:kern w:val="0"/>
                      <w:szCs w:val="21"/>
                      <w:lang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552" w:type="dxa"/>
                  <w:vAlign w:val="center"/>
                </w:tcPr>
                <w:p>
                  <w:pPr>
                    <w:widowControl/>
                    <w:jc w:val="center"/>
                    <w:rPr>
                      <w:kern w:val="0"/>
                      <w:szCs w:val="21"/>
                      <w:lang w:bidi="ar"/>
                    </w:rPr>
                  </w:pPr>
                  <w:r>
                    <w:rPr>
                      <w:kern w:val="0"/>
                      <w:szCs w:val="21"/>
                      <w:lang w:bidi="ar"/>
                    </w:rPr>
                    <w:t>2</w:t>
                  </w:r>
                </w:p>
              </w:tc>
              <w:tc>
                <w:tcPr>
                  <w:tcW w:w="4619" w:type="dxa"/>
                  <w:vAlign w:val="center"/>
                </w:tcPr>
                <w:p>
                  <w:pPr>
                    <w:widowControl/>
                    <w:rPr>
                      <w:kern w:val="0"/>
                      <w:szCs w:val="21"/>
                    </w:rPr>
                  </w:pPr>
                  <w:r>
                    <w:rPr>
                      <w:kern w:val="0"/>
                      <w:szCs w:val="21"/>
                    </w:rPr>
                    <w:t>落实“六个严格”要求，井控管理应严格定人定责，井控设计应严格审核把关，井控装备应严格安装试压，井控操作应严格流程作业，井控培训应严格实操考核，关键工序应严格过程监督。</w:t>
                  </w:r>
                </w:p>
              </w:tc>
              <w:tc>
                <w:tcPr>
                  <w:tcW w:w="1592" w:type="dxa"/>
                  <w:vAlign w:val="center"/>
                </w:tcPr>
                <w:p>
                  <w:pPr>
                    <w:widowControl/>
                    <w:rPr>
                      <w:szCs w:val="21"/>
                    </w:rPr>
                  </w:pPr>
                  <w:r>
                    <w:rPr>
                      <w:szCs w:val="21"/>
                    </w:rPr>
                    <w:t>本项目按要求落实“六个严格”</w:t>
                  </w:r>
                </w:p>
              </w:tc>
              <w:tc>
                <w:tcPr>
                  <w:tcW w:w="634" w:type="dxa"/>
                  <w:vAlign w:val="center"/>
                </w:tcPr>
                <w:p>
                  <w:pPr>
                    <w:widowControl/>
                    <w:jc w:val="center"/>
                    <w:rPr>
                      <w:szCs w:val="21"/>
                    </w:rPr>
                  </w:pPr>
                  <w:r>
                    <w:rPr>
                      <w:kern w:val="0"/>
                      <w:szCs w:val="21"/>
                      <w:lang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61" w:hRule="atLeast"/>
                <w:jc w:val="center"/>
              </w:trPr>
              <w:tc>
                <w:tcPr>
                  <w:tcW w:w="552" w:type="dxa"/>
                  <w:vAlign w:val="center"/>
                </w:tcPr>
                <w:p>
                  <w:pPr>
                    <w:widowControl/>
                    <w:jc w:val="center"/>
                    <w:rPr>
                      <w:kern w:val="0"/>
                      <w:szCs w:val="21"/>
                      <w:lang w:bidi="ar"/>
                    </w:rPr>
                  </w:pPr>
                  <w:r>
                    <w:rPr>
                      <w:kern w:val="0"/>
                      <w:szCs w:val="21"/>
                      <w:lang w:bidi="ar"/>
                    </w:rPr>
                    <w:t>3</w:t>
                  </w:r>
                </w:p>
              </w:tc>
              <w:tc>
                <w:tcPr>
                  <w:tcW w:w="4619" w:type="dxa"/>
                  <w:vAlign w:val="center"/>
                </w:tcPr>
                <w:p>
                  <w:pPr>
                    <w:widowControl/>
                    <w:rPr>
                      <w:kern w:val="0"/>
                      <w:szCs w:val="21"/>
                    </w:rPr>
                  </w:pPr>
                  <w:r>
                    <w:rPr>
                      <w:kern w:val="0"/>
                      <w:szCs w:val="21"/>
                    </w:rPr>
                    <w:t>油气田企业应建立区域压裂车值班值守制度，满足溢流后快速到达现场、快速压井的需要。重点井进入目的层施工，现场应储备好重浆，提前在压井管汇安装压井接头，连接好供浆管线，确保压裂车即到即压。</w:t>
                  </w:r>
                </w:p>
              </w:tc>
              <w:tc>
                <w:tcPr>
                  <w:tcW w:w="1592" w:type="dxa"/>
                  <w:vAlign w:val="center"/>
                </w:tcPr>
                <w:p>
                  <w:pPr>
                    <w:widowControl/>
                    <w:rPr>
                      <w:kern w:val="0"/>
                      <w:szCs w:val="21"/>
                    </w:rPr>
                  </w:pPr>
                  <w:r>
                    <w:rPr>
                      <w:kern w:val="0"/>
                      <w:szCs w:val="21"/>
                    </w:rPr>
                    <w:t>本项目建立有压裂车值班值守制度，可满足快速到达现场，快速压井的需要</w:t>
                  </w:r>
                </w:p>
              </w:tc>
              <w:tc>
                <w:tcPr>
                  <w:tcW w:w="634" w:type="dxa"/>
                  <w:vAlign w:val="center"/>
                </w:tcPr>
                <w:p>
                  <w:pPr>
                    <w:widowControl/>
                    <w:jc w:val="center"/>
                    <w:rPr>
                      <w:kern w:val="0"/>
                      <w:szCs w:val="21"/>
                      <w:lang w:bidi="ar"/>
                    </w:rPr>
                  </w:pPr>
                  <w:r>
                    <w:rPr>
                      <w:kern w:val="0"/>
                      <w:szCs w:val="21"/>
                      <w:lang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61" w:hRule="atLeast"/>
                <w:jc w:val="center"/>
              </w:trPr>
              <w:tc>
                <w:tcPr>
                  <w:tcW w:w="552" w:type="dxa"/>
                  <w:vAlign w:val="center"/>
                </w:tcPr>
                <w:p>
                  <w:pPr>
                    <w:widowControl/>
                    <w:jc w:val="center"/>
                    <w:rPr>
                      <w:kern w:val="0"/>
                      <w:szCs w:val="21"/>
                      <w:lang w:bidi="ar"/>
                    </w:rPr>
                  </w:pPr>
                  <w:r>
                    <w:rPr>
                      <w:kern w:val="0"/>
                      <w:szCs w:val="21"/>
                      <w:lang w:bidi="ar"/>
                    </w:rPr>
                    <w:t>4</w:t>
                  </w:r>
                </w:p>
              </w:tc>
              <w:tc>
                <w:tcPr>
                  <w:tcW w:w="4619" w:type="dxa"/>
                  <w:vAlign w:val="center"/>
                </w:tcPr>
                <w:p>
                  <w:pPr>
                    <w:widowControl/>
                    <w:rPr>
                      <w:kern w:val="0"/>
                      <w:szCs w:val="21"/>
                    </w:rPr>
                  </w:pPr>
                  <w:r>
                    <w:rPr>
                      <w:kern w:val="0"/>
                      <w:szCs w:val="21"/>
                    </w:rPr>
                    <w:t>加强钻前工程管理，钻井井场面积、进出道路、主副放喷管线走向和放喷池位置应满足井控安全要求，放喷池周边100米内不能有道路、线路及其他设施。钻前工程由建设方组织施工方进行联合验收。</w:t>
                  </w:r>
                </w:p>
              </w:tc>
              <w:tc>
                <w:tcPr>
                  <w:tcW w:w="1592" w:type="dxa"/>
                  <w:vAlign w:val="center"/>
                </w:tcPr>
                <w:p>
                  <w:pPr>
                    <w:widowControl/>
                    <w:rPr>
                      <w:kern w:val="0"/>
                      <w:szCs w:val="21"/>
                    </w:rPr>
                  </w:pPr>
                  <w:r>
                    <w:rPr>
                      <w:kern w:val="0"/>
                      <w:szCs w:val="21"/>
                    </w:rPr>
                    <w:t>满足井控安全要求，根据设计，本项目放喷池100m内无道路、线路及其他设施。</w:t>
                  </w:r>
                </w:p>
              </w:tc>
              <w:tc>
                <w:tcPr>
                  <w:tcW w:w="634" w:type="dxa"/>
                  <w:vAlign w:val="center"/>
                </w:tcPr>
                <w:p>
                  <w:pPr>
                    <w:widowControl/>
                    <w:jc w:val="center"/>
                    <w:rPr>
                      <w:kern w:val="0"/>
                      <w:szCs w:val="21"/>
                      <w:lang w:bidi="ar"/>
                    </w:rPr>
                  </w:pPr>
                  <w:r>
                    <w:rPr>
                      <w:kern w:val="0"/>
                      <w:szCs w:val="21"/>
                      <w:lang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61" w:hRule="atLeast"/>
                <w:jc w:val="center"/>
              </w:trPr>
              <w:tc>
                <w:tcPr>
                  <w:tcW w:w="552" w:type="dxa"/>
                  <w:vAlign w:val="center"/>
                </w:tcPr>
                <w:p>
                  <w:pPr>
                    <w:widowControl/>
                    <w:jc w:val="center"/>
                    <w:rPr>
                      <w:kern w:val="0"/>
                      <w:szCs w:val="21"/>
                      <w:lang w:bidi="ar"/>
                    </w:rPr>
                  </w:pPr>
                  <w:r>
                    <w:rPr>
                      <w:kern w:val="0"/>
                      <w:szCs w:val="21"/>
                      <w:lang w:bidi="ar"/>
                    </w:rPr>
                    <w:t>5</w:t>
                  </w:r>
                </w:p>
              </w:tc>
              <w:tc>
                <w:tcPr>
                  <w:tcW w:w="4619" w:type="dxa"/>
                  <w:vAlign w:val="center"/>
                </w:tcPr>
                <w:p>
                  <w:pPr>
                    <w:widowControl/>
                    <w:rPr>
                      <w:kern w:val="0"/>
                      <w:szCs w:val="21"/>
                    </w:rPr>
                  </w:pPr>
                  <w:r>
                    <w:rPr>
                      <w:kern w:val="0"/>
                      <w:szCs w:val="21"/>
                    </w:rPr>
                    <w:t>进入高压、高产、高含硫区块的施工队伍，原则上以集团公司内部队伍为主，新进入队伍30%以上关键岗位人员应具有该区域作业经历。</w:t>
                  </w:r>
                </w:p>
              </w:tc>
              <w:tc>
                <w:tcPr>
                  <w:tcW w:w="1592" w:type="dxa"/>
                  <w:vAlign w:val="center"/>
                </w:tcPr>
                <w:p>
                  <w:pPr>
                    <w:widowControl/>
                    <w:rPr>
                      <w:kern w:val="0"/>
                      <w:szCs w:val="21"/>
                    </w:rPr>
                  </w:pPr>
                  <w:r>
                    <w:rPr>
                      <w:kern w:val="0"/>
                      <w:szCs w:val="21"/>
                    </w:rPr>
                    <w:t>本项目施工队伍为集团内部队伍，且30%关键岗位具备该区域作业经历。</w:t>
                  </w:r>
                </w:p>
              </w:tc>
              <w:tc>
                <w:tcPr>
                  <w:tcW w:w="634" w:type="dxa"/>
                  <w:vAlign w:val="center"/>
                </w:tcPr>
                <w:p>
                  <w:pPr>
                    <w:widowControl/>
                    <w:jc w:val="center"/>
                    <w:rPr>
                      <w:kern w:val="0"/>
                      <w:szCs w:val="21"/>
                      <w:lang w:bidi="ar"/>
                    </w:rPr>
                  </w:pPr>
                  <w:r>
                    <w:rPr>
                      <w:kern w:val="0"/>
                      <w:szCs w:val="21"/>
                      <w:lang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552" w:type="dxa"/>
                  <w:vAlign w:val="center"/>
                </w:tcPr>
                <w:p>
                  <w:pPr>
                    <w:widowControl/>
                    <w:jc w:val="center"/>
                    <w:rPr>
                      <w:kern w:val="0"/>
                      <w:szCs w:val="21"/>
                      <w:lang w:bidi="ar"/>
                    </w:rPr>
                  </w:pPr>
                  <w:r>
                    <w:rPr>
                      <w:kern w:val="0"/>
                      <w:szCs w:val="21"/>
                      <w:lang w:bidi="ar"/>
                    </w:rPr>
                    <w:t>6</w:t>
                  </w:r>
                </w:p>
              </w:tc>
              <w:tc>
                <w:tcPr>
                  <w:tcW w:w="4619" w:type="dxa"/>
                  <w:vAlign w:val="center"/>
                </w:tcPr>
                <w:p>
                  <w:pPr>
                    <w:widowControl/>
                    <w:rPr>
                      <w:kern w:val="0"/>
                      <w:szCs w:val="21"/>
                    </w:rPr>
                  </w:pPr>
                  <w:r>
                    <w:rPr>
                      <w:kern w:val="0"/>
                      <w:szCs w:val="21"/>
                    </w:rPr>
                    <w:t>现场应配备使用气动重晶石粉罐，配备自动加重装置和供浆装置，实现快速加重和供浆。重晶石粉购置单位应要求供应商向现场提供罐装重晶石粉。</w:t>
                  </w:r>
                </w:p>
              </w:tc>
              <w:tc>
                <w:tcPr>
                  <w:tcW w:w="1592" w:type="dxa"/>
                  <w:vAlign w:val="center"/>
                </w:tcPr>
                <w:p>
                  <w:pPr>
                    <w:widowControl/>
                    <w:rPr>
                      <w:kern w:val="0"/>
                      <w:szCs w:val="21"/>
                    </w:rPr>
                  </w:pPr>
                  <w:r>
                    <w:rPr>
                      <w:kern w:val="0"/>
                      <w:szCs w:val="21"/>
                    </w:rPr>
                    <w:t>项目现场配备气动重晶石粉罐，符合要求</w:t>
                  </w:r>
                </w:p>
              </w:tc>
              <w:tc>
                <w:tcPr>
                  <w:tcW w:w="634" w:type="dxa"/>
                  <w:vAlign w:val="center"/>
                </w:tcPr>
                <w:p>
                  <w:pPr>
                    <w:widowControl/>
                    <w:jc w:val="center"/>
                    <w:rPr>
                      <w:kern w:val="0"/>
                      <w:szCs w:val="21"/>
                      <w:lang w:bidi="ar"/>
                    </w:rPr>
                  </w:pPr>
                  <w:r>
                    <w:rPr>
                      <w:kern w:val="0"/>
                      <w:szCs w:val="21"/>
                      <w:lang w:bidi="ar"/>
                    </w:rPr>
                    <w:t>符合</w:t>
                  </w:r>
                </w:p>
              </w:tc>
            </w:tr>
          </w:tbl>
          <w:p>
            <w:pPr>
              <w:pStyle w:val="36"/>
              <w:numPr>
                <w:ilvl w:val="1"/>
                <w:numId w:val="2"/>
              </w:numPr>
              <w:spacing w:before="0" w:beforeAutospacing="0" w:after="0" w:afterAutospacing="0" w:line="360" w:lineRule="auto"/>
              <w:ind w:left="0" w:firstLine="0"/>
              <w:rPr>
                <w:rFonts w:ascii="Times New Roman" w:hAnsi="Times New Roman"/>
                <w:b/>
                <w:bCs/>
                <w:sz w:val="21"/>
                <w:szCs w:val="21"/>
              </w:rPr>
            </w:pPr>
            <w:r>
              <w:rPr>
                <w:rFonts w:ascii="Times New Roman" w:hAnsi="Times New Roman"/>
                <w:b/>
                <w:bCs/>
                <w:sz w:val="21"/>
                <w:szCs w:val="21"/>
              </w:rPr>
              <w:t>与 “三线一单”符合性</w:t>
            </w:r>
          </w:p>
          <w:p>
            <w:pPr>
              <w:pStyle w:val="343"/>
              <w:ind w:firstLine="422"/>
              <w:rPr>
                <w:b/>
                <w:sz w:val="21"/>
                <w:szCs w:val="21"/>
              </w:rPr>
            </w:pPr>
            <w:r>
              <w:rPr>
                <w:b/>
                <w:sz w:val="21"/>
                <w:szCs w:val="21"/>
              </w:rPr>
              <w:t>（1）生态红线</w:t>
            </w:r>
          </w:p>
          <w:p>
            <w:pPr>
              <w:pStyle w:val="343"/>
              <w:ind w:firstLine="420"/>
              <w:rPr>
                <w:sz w:val="21"/>
                <w:szCs w:val="21"/>
              </w:rPr>
            </w:pPr>
            <w:r>
              <w:rPr>
                <w:sz w:val="21"/>
                <w:szCs w:val="21"/>
              </w:rPr>
              <w:t>根据《达州市人民政府关于落实生态保护红线、环境质量底线、资源利用上线制定生态环境准入清单实施生态环境分区管控的通知》（达市府发〔2021〕17号）的要求，优先保护单元以生态环境保护为主的区域，全市划分优先保护单元17个，主要包括生态保护红线、自然保护地、饮用水水源保护区等，应以生态环境保护优先为原则，严格执行相关</w:t>
            </w:r>
            <w:r>
              <w:rPr>
                <w:rFonts w:hint="eastAsia"/>
                <w:sz w:val="21"/>
                <w:szCs w:val="21"/>
                <w:lang w:eastAsia="zh-CN"/>
              </w:rPr>
              <w:t>法律法规</w:t>
            </w:r>
            <w:r>
              <w:rPr>
                <w:sz w:val="21"/>
                <w:szCs w:val="21"/>
              </w:rPr>
              <w:t>要求，严守生态环境质量底线，确保生态环境功能不降低。</w:t>
            </w:r>
          </w:p>
          <w:p>
            <w:pPr>
              <w:pStyle w:val="343"/>
              <w:ind w:firstLine="420"/>
              <w:rPr>
                <w:sz w:val="21"/>
                <w:szCs w:val="21"/>
              </w:rPr>
            </w:pPr>
            <w:r>
              <w:rPr>
                <w:sz w:val="21"/>
                <w:szCs w:val="21"/>
              </w:rPr>
              <w:t>重点管控单元涉及水、大气、土壤、自然资源等资源环境要素重点管控的区域，全市划分重点管控单元22个，主要包括人口密集的城镇规划区和产业集聚的工业园区（工业集聚区）等，应不断提升资源利用效率，有针对性地加强污染物排放控制和环境风险防控，解决生态环境质量不达标、生态环境风险突出等问题，制定差别化的生态环境准入要求。对环境质量不达标区域，提出污染物削减比例要求。对环境质量达标区域，提出允许排放量建议指标。</w:t>
            </w:r>
          </w:p>
          <w:p>
            <w:pPr>
              <w:pStyle w:val="343"/>
              <w:ind w:firstLine="420"/>
              <w:rPr>
                <w:sz w:val="21"/>
                <w:szCs w:val="21"/>
              </w:rPr>
            </w:pPr>
            <w:r>
              <w:rPr>
                <w:sz w:val="21"/>
                <w:szCs w:val="21"/>
              </w:rPr>
              <w:t>一般管控单元除优先保护单元和重点管控单元之外的其他区域，全市共划分一般管控单元7个。执行区域生态环境保护的基本要求，重点加强农业、生活等领域污染治理。</w:t>
            </w:r>
          </w:p>
          <w:p>
            <w:pPr>
              <w:pStyle w:val="343"/>
              <w:ind w:firstLine="420"/>
              <w:rPr>
                <w:sz w:val="21"/>
                <w:szCs w:val="21"/>
              </w:rPr>
            </w:pPr>
            <w:r>
              <w:rPr>
                <w:sz w:val="21"/>
                <w:szCs w:val="21"/>
              </w:rPr>
              <w:t>拟建项目所在达州市通川区北山镇境内，根据四川省“三线一单”符合性分析系统（www.sczwfw.gov.cn）查询结果，项目位置属于重点管控单元，项目施工期采用网电钻井，备用柴油发电机使用时间较少，且使用优质柴油，废气严格控制确保达标排放；钻井废水、压裂返排液经收集后拟交由四川瑞利生物科技有限公司污水处理厂处理达标后排放，现场不外排；产生的水基岩屑经清洁化生产平台收集后就近交给依法取得生态环境部门关于利用和处置相关工业固体废物项目环评批复、具有处理处置相应固体废物能力并配套建设有废气、废水、固废等污染物治理设施的单位进行资源化利用。项目产生的危废经收集后交由有资质单位进行处置。项目建设通过采取措施后对环境影响小，因此拟建项目符合《达州市人民政府关于落实生态保护红线、环境质量底线、资源利用上线制定生态环境准入清单实施生态环境分区管控的通知》（达市府发〔2021〕17号）的相关要求。</w:t>
            </w:r>
          </w:p>
          <w:p>
            <w:pPr>
              <w:pStyle w:val="343"/>
              <w:ind w:firstLine="422"/>
              <w:rPr>
                <w:b/>
                <w:sz w:val="21"/>
                <w:szCs w:val="21"/>
              </w:rPr>
            </w:pPr>
            <w:r>
              <w:rPr>
                <w:b/>
                <w:sz w:val="21"/>
                <w:szCs w:val="21"/>
              </w:rPr>
              <w:t>（2）环境质量底线</w:t>
            </w:r>
          </w:p>
          <w:p>
            <w:pPr>
              <w:pStyle w:val="343"/>
              <w:ind w:firstLine="420"/>
              <w:rPr>
                <w:sz w:val="21"/>
                <w:szCs w:val="21"/>
              </w:rPr>
            </w:pPr>
            <w:r>
              <w:rPr>
                <w:sz w:val="21"/>
                <w:szCs w:val="21"/>
              </w:rPr>
              <w:t>区域环境空气属于《环境空气质量标准》（GB3095-2012）中二类功能区、地表水环境功能属于《地表水环境质量标准》（GB3838-2002）中Ⅲ类功能区、地下水属于《地下水质量标准》（GB/T 14848-2017）Ⅲ类标准、区域声环境属于《声环境质量标准》（GB3096-2008）中2类功能区、区域生态环境质量较好；根据现状监测结果，区域环境质量现状较好，具有相应的环境容量。</w:t>
            </w:r>
          </w:p>
          <w:p>
            <w:pPr>
              <w:pStyle w:val="343"/>
              <w:ind w:firstLine="420"/>
              <w:rPr>
                <w:sz w:val="21"/>
                <w:szCs w:val="21"/>
              </w:rPr>
            </w:pPr>
            <w:r>
              <w:rPr>
                <w:sz w:val="21"/>
                <w:szCs w:val="21"/>
              </w:rPr>
              <w:t>本项目废气主要为备用柴油发电机废气、测试放喷废气、事故放喷废气、大气污染物主要为等，废气经有效收集和处理后均可达标排放；项目废水经处理达标后回注，不外排；项目产生的固体废物全部妥善处理，不直接排入外环境；项目噪声可做到厂界达标。项目三废及噪声均能有效处理，不会明显降低区域环境质量现状，因此本项目建设不会对当地环境质量底线造成冲击。</w:t>
            </w:r>
          </w:p>
          <w:p>
            <w:pPr>
              <w:pStyle w:val="343"/>
              <w:ind w:firstLine="420"/>
              <w:rPr>
                <w:sz w:val="21"/>
                <w:szCs w:val="21"/>
              </w:rPr>
            </w:pPr>
            <w:r>
              <w:rPr>
                <w:sz w:val="21"/>
                <w:szCs w:val="21"/>
              </w:rPr>
              <w:t>（3）资源利用上线</w:t>
            </w:r>
          </w:p>
          <w:p>
            <w:pPr>
              <w:pStyle w:val="343"/>
              <w:ind w:firstLine="420"/>
              <w:rPr>
                <w:sz w:val="21"/>
                <w:szCs w:val="21"/>
              </w:rPr>
            </w:pPr>
            <w:r>
              <w:rPr>
                <w:sz w:val="21"/>
                <w:szCs w:val="21"/>
              </w:rPr>
              <w:t>本项目通过内部管理、设备选择、原辅材料的选用和管理、废物综合利用、污染治理等多方面采取可行的防治措施，以“节能、降耗、减污”为目标，有效地控制污染，项目的水、电、气等资源不会突破区域的资源利用上线。</w:t>
            </w:r>
          </w:p>
          <w:p>
            <w:pPr>
              <w:pStyle w:val="343"/>
              <w:ind w:firstLine="420"/>
              <w:rPr>
                <w:sz w:val="21"/>
                <w:szCs w:val="21"/>
              </w:rPr>
            </w:pPr>
            <w:r>
              <w:rPr>
                <w:sz w:val="21"/>
                <w:szCs w:val="21"/>
              </w:rPr>
              <w:t>（4）环境负面准入清单</w:t>
            </w:r>
          </w:p>
          <w:p>
            <w:pPr>
              <w:pStyle w:val="343"/>
              <w:ind w:firstLine="420"/>
              <w:rPr>
                <w:sz w:val="21"/>
                <w:szCs w:val="21"/>
              </w:rPr>
            </w:pPr>
            <w:r>
              <w:rPr>
                <w:sz w:val="21"/>
                <w:szCs w:val="21"/>
              </w:rPr>
              <w:t>本项目符合国家和地方产业政策，项目的建设对促进当地能源开发和推动地方经济具有积极作用，同时，本项目不属于《四川省国家重点生态功能区产业准入负面清单（第一批）（试行）》和《四川省重点生态功能区产业准入负面清单（第二批）（试行）》中禁止类、限制类项目，不属于环境负面准入清单。</w:t>
            </w:r>
          </w:p>
          <w:p>
            <w:pPr>
              <w:pStyle w:val="343"/>
              <w:ind w:firstLine="420"/>
              <w:rPr>
                <w:sz w:val="21"/>
                <w:szCs w:val="21"/>
              </w:rPr>
            </w:pPr>
            <w:r>
              <w:rPr>
                <w:sz w:val="21"/>
                <w:szCs w:val="21"/>
              </w:rPr>
              <w:t>因此，本项目的建设符合“生态红线、环境质量底线、资源利用上线和环境负面准入清单”的相关要求。</w:t>
            </w:r>
          </w:p>
          <w:p>
            <w:pPr>
              <w:pStyle w:val="343"/>
              <w:ind w:firstLine="420"/>
              <w:rPr>
                <w:sz w:val="21"/>
                <w:szCs w:val="21"/>
              </w:rPr>
            </w:pPr>
            <w:r>
              <w:rPr>
                <w:sz w:val="21"/>
                <w:szCs w:val="21"/>
              </w:rPr>
              <w:t>根据四川省“三线一单”数据分析系统（www.sczwfw.gov.cn）查询结果，项目处于重点管控单元，管控单元编码为ZH51170220004，所在环境管控单元管控要求及符合性分析如下，与达州市环境管控单元见图1-1。</w:t>
            </w:r>
          </w:p>
          <w:p>
            <w:pPr>
              <w:pStyle w:val="343"/>
              <w:spacing w:line="240" w:lineRule="auto"/>
              <w:ind w:firstLine="0" w:firstLineChars="0"/>
              <w:jc w:val="center"/>
              <w:rPr>
                <w:sz w:val="21"/>
                <w:szCs w:val="21"/>
              </w:rPr>
            </w:pPr>
            <w:r>
              <w:rPr>
                <w:sz w:val="21"/>
                <w:szCs w:val="21"/>
              </w:rPr>
              <mc:AlternateContent>
                <mc:Choice Requires="wps">
                  <w:drawing>
                    <wp:anchor distT="0" distB="0" distL="114300" distR="114300" simplePos="0" relativeHeight="251659264" behindDoc="0" locked="0" layoutInCell="1" allowOverlap="1">
                      <wp:simplePos x="0" y="0"/>
                      <wp:positionH relativeFrom="column">
                        <wp:posOffset>977900</wp:posOffset>
                      </wp:positionH>
                      <wp:positionV relativeFrom="paragraph">
                        <wp:posOffset>1489075</wp:posOffset>
                      </wp:positionV>
                      <wp:extent cx="992505" cy="295275"/>
                      <wp:effectExtent l="5080" t="899795" r="12065" b="5080"/>
                      <wp:wrapNone/>
                      <wp:docPr id="1" name="自选图形 22"/>
                      <wp:cNvGraphicFramePr/>
                      <a:graphic xmlns:a="http://schemas.openxmlformats.org/drawingml/2006/main">
                        <a:graphicData uri="http://schemas.microsoft.com/office/word/2010/wordprocessingShape">
                          <wps:wsp>
                            <wps:cNvSpPr>
                              <a:spLocks noChangeArrowheads="1"/>
                            </wps:cNvSpPr>
                            <wps:spPr bwMode="auto">
                              <a:xfrm>
                                <a:off x="0" y="0"/>
                                <a:ext cx="992505" cy="295275"/>
                              </a:xfrm>
                              <a:prstGeom prst="wedgeRoundRectCallout">
                                <a:avLst>
                                  <a:gd name="adj1" fmla="val -28630"/>
                                  <a:gd name="adj2" fmla="val -339676"/>
                                  <a:gd name="adj3" fmla="val 16667"/>
                                </a:avLst>
                              </a:prstGeom>
                              <a:solidFill>
                                <a:srgbClr val="FFFFFF"/>
                              </a:solidFill>
                              <a:ln w="9525">
                                <a:solidFill>
                                  <a:srgbClr val="000000"/>
                                </a:solidFill>
                                <a:miter lim="800000"/>
                              </a:ln>
                            </wps:spPr>
                            <wps:txbx>
                              <w:txbxContent>
                                <w:p>
                                  <w:r>
                                    <w:rPr>
                                      <w:rFonts w:hint="eastAsia"/>
                                    </w:rPr>
                                    <w:t>平安101井</w:t>
                                  </w:r>
                                </w:p>
                              </w:txbxContent>
                            </wps:txbx>
                            <wps:bodyPr rot="0" vert="horz" wrap="square" lIns="91440" tIns="45720" rIns="91440" bIns="45720" anchor="t" anchorCtr="0" upright="1">
                              <a:noAutofit/>
                            </wps:bodyPr>
                          </wps:wsp>
                        </a:graphicData>
                      </a:graphic>
                    </wp:anchor>
                  </w:drawing>
                </mc:Choice>
                <mc:Fallback>
                  <w:pict>
                    <v:shape id="自选图形 22" o:spid="_x0000_s1026" o:spt="62" type="#_x0000_t62" style="position:absolute;left:0pt;margin-left:77pt;margin-top:117.25pt;height:23.25pt;width:78.15pt;z-index:251659264;mso-width-relative:page;mso-height-relative:page;" fillcolor="#FFFFFF" filled="t" stroked="t" coordsize="21600,21600" o:gfxdata="UEsDBAoAAAAAAIdO4kAAAAAAAAAAAAAAAAAEAAAAZHJzL1BLAwQUAAAACACHTuJAjQfMItwAAAAL&#10;AQAADwAAAGRycy9kb3ducmV2LnhtbE2PzU7DMBCE70i8g7VIXKrWTtOiKsTpoRUSEkgtpYKrE2+T&#10;iHgdxe4fT89yguPMjma/yZcX14kTDqH1pCGZKBBIlbct1Rr270/jBYgQDVnTeUINVwywLG5vcpNZ&#10;f6Y3PO1iLbiEQmY0NDH2mZShatCZMPE9Et8OfnAmshxqaQdz5nLXyalSD9KZlvhDY3pcNVh97Y5O&#10;w/M1/T5sN2q97ofq43M1Kjevoxet7+8S9Qgi4iX+heEXn9GhYKbSH8kG0bGez3hL1DBNZ3MQnEgT&#10;lYIo2VkkCmSRy/8bih9QSwMEFAAAAAgAh07iQDp3tDh9AgAACQUAAA4AAABkcnMvZTJvRG9jLnht&#10;bK1UzW7UMBC+I/EOlu9tdrNNths1W1VbFSEVqFp4AK/jJAb/YTubLSduiGfgxpF3gLepBG/BxMmW&#10;bOHQAzlEnsz4m/nmm8nJ6VYKtGHWca1yPD2cYMQU1QVXVY7fvL44OMbIeaIKIrRiOb5lDp8unz45&#10;aU3GYl1rUTCLAES5rDU5rr03WRQ5WjNJ3KE2TIGz1FYSD6atosKSFtCliOLJJI1abQtjNWXOwdfz&#10;3okHRPsYQF2WnLJzTRvJlO9RLRPEAyVXc+PwMlRbloz6V2XpmEcix8DUhzckgfO6e0fLE5JVlpia&#10;06EE8pgSHnCShCtIeg91TjxBjeV/QUlOrXa69IdUy6gnEjoCLKaTB725qYlhgQu02pn7prv/B0tf&#10;bq4s4gVMAkaKSBD856dvvz5+vvvy4+77VxTHXYta4zKIvDFXtiPpzKWm7xxSelUTVbEza3VbM1JA&#10;YdMuPtq70BkOrqJ1+0IXkIE0XodubUsrO0DoA9oGUW7vRWFbjyh8XCziZJJgRMEVL5J4noQMJNtd&#10;Ntb5Z0xL1B1y3LKiYte6UcU1qL8iQujGh2xkc+l8EKkYqJLiLdAupQDNN0Sgg/g4ne2GYhQU7wXN&#10;Zot0ng6jM4qajaOmaZrOh0qHxBHJdrWGLmrBiwsuRDBstV4Ji6CKHF+EZ7jsxmFCoRZaksRJYLTn&#10;c2OISXj+BSG5h/0VXOb4eBwk1KBbJ1Uvud+ut4P6a13cgoJW9xsE/w841Np+wKiF7cmxe98QyzAS&#10;zxVMwWJ6dNStWzCOknkMhh171mMPURSgcuwx6o8r369oYyyvasg0DXSVPoPJKbnfjVhf1VA3bAic&#10;9lZwbIeoP3+w5W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CNB8wi3AAAAAsBAAAPAAAAAAAAAAEA&#10;IAAAACIAAABkcnMvZG93bnJldi54bWxQSwECFAAUAAAACACHTuJAOne0OH0CAAAJBQAADgAAAAAA&#10;AAABACAAAAArAQAAZHJzL2Uyb0RvYy54bWxQSwUGAAAAAAYABgBZAQAAGgYAAAAA&#10;" adj="4616,-62570,14400">
                      <v:fill on="t" focussize="0,0"/>
                      <v:stroke color="#000000" miterlimit="8" joinstyle="miter"/>
                      <v:imagedata o:title=""/>
                      <o:lock v:ext="edit" aspectratio="f"/>
                      <v:textbox>
                        <w:txbxContent>
                          <w:p>
                            <w:r>
                              <w:rPr>
                                <w:rFonts w:hint="eastAsia"/>
                              </w:rPr>
                              <w:t>平安101井</w:t>
                            </w:r>
                          </w:p>
                        </w:txbxContent>
                      </v:textbox>
                    </v:shape>
                  </w:pict>
                </mc:Fallback>
              </mc:AlternateContent>
            </w:r>
            <w:r>
              <w:rPr>
                <w:rFonts w:eastAsia="Helvetica"/>
                <w:sz w:val="21"/>
                <w:szCs w:val="21"/>
              </w:rPr>
              <w:drawing>
                <wp:inline distT="0" distB="0" distL="0" distR="0">
                  <wp:extent cx="4603750" cy="2762250"/>
                  <wp:effectExtent l="0" t="0" r="0" b="0"/>
                  <wp:docPr id="5"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4603750" cy="2762250"/>
                          </a:xfrm>
                          <a:prstGeom prst="rect">
                            <a:avLst/>
                          </a:prstGeom>
                          <a:noFill/>
                          <a:ln>
                            <a:noFill/>
                          </a:ln>
                          <a:effectLst/>
                        </pic:spPr>
                      </pic:pic>
                    </a:graphicData>
                  </a:graphic>
                </wp:inline>
              </w:drawing>
            </w:r>
          </w:p>
          <w:p>
            <w:pPr>
              <w:pStyle w:val="344"/>
              <w:rPr>
                <w:szCs w:val="21"/>
              </w:rPr>
            </w:pPr>
            <w:r>
              <w:rPr>
                <w:szCs w:val="21"/>
              </w:rPr>
              <w:t>图1-1 环境综合管控单元分区图</w:t>
            </w:r>
          </w:p>
          <w:p>
            <w:pPr>
              <w:pStyle w:val="343"/>
              <w:ind w:firstLine="420"/>
              <w:rPr>
                <w:kern w:val="0"/>
                <w:sz w:val="21"/>
                <w:szCs w:val="21"/>
              </w:rPr>
            </w:pPr>
            <w:r>
              <w:rPr>
                <w:sz w:val="21"/>
                <w:szCs w:val="21"/>
              </w:rPr>
              <w:t>拟建项目与《四川省“三线一单”符合性分析报告》中，生态环境准入清单分析内容见</w:t>
            </w:r>
            <w:r>
              <w:rPr>
                <w:rFonts w:hint="eastAsia"/>
                <w:sz w:val="21"/>
                <w:szCs w:val="21"/>
              </w:rPr>
              <w:t>下表</w:t>
            </w:r>
            <w:r>
              <w:rPr>
                <w:sz w:val="21"/>
                <w:szCs w:val="21"/>
              </w:rPr>
              <w:t>。</w:t>
            </w:r>
          </w:p>
        </w:tc>
      </w:tr>
    </w:tbl>
    <w:p>
      <w:pPr>
        <w:spacing w:line="360" w:lineRule="auto"/>
        <w:outlineLvl w:val="0"/>
        <w:rPr>
          <w:rFonts w:eastAsia="黑体"/>
          <w:szCs w:val="21"/>
        </w:rPr>
        <w:sectPr>
          <w:footerReference r:id="rId5" w:type="default"/>
          <w:pgSz w:w="11906" w:h="16838"/>
          <w:pgMar w:top="1701" w:right="1531" w:bottom="1701" w:left="1531" w:header="851" w:footer="1077" w:gutter="0"/>
          <w:pgNumType w:start="1"/>
          <w:cols w:space="720" w:num="1"/>
          <w:docGrid w:linePitch="312" w:charSpace="0"/>
        </w:sectPr>
      </w:pPr>
    </w:p>
    <w:tbl>
      <w:tblPr>
        <w:tblStyle w:val="4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4" w:type="dxa"/>
          </w:tcPr>
          <w:p>
            <w:pPr>
              <w:numPr>
                <w:ilvl w:val="0"/>
                <w:numId w:val="3"/>
              </w:numPr>
              <w:spacing w:line="360" w:lineRule="auto"/>
              <w:ind w:left="0" w:firstLine="0"/>
              <w:jc w:val="center"/>
              <w:rPr>
                <w:b/>
                <w:kern w:val="0"/>
                <w:szCs w:val="21"/>
              </w:rPr>
            </w:pPr>
            <w:r>
              <w:rPr>
                <w:rFonts w:hint="eastAsia"/>
                <w:b/>
                <w:kern w:val="0"/>
                <w:szCs w:val="21"/>
              </w:rPr>
              <w:t>四川省“三线一单”符合性分析报告一览表</w:t>
            </w:r>
          </w:p>
          <w:tbl>
            <w:tblPr>
              <w:tblStyle w:val="4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6"/>
              <w:gridCol w:w="934"/>
              <w:gridCol w:w="1072"/>
              <w:gridCol w:w="7349"/>
              <w:gridCol w:w="2139"/>
              <w:gridCol w:w="14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10391"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pStyle w:val="36"/>
                    <w:widowControl w:val="0"/>
                    <w:spacing w:before="0" w:beforeAutospacing="0" w:after="0" w:afterAutospacing="0"/>
                    <w:jc w:val="center"/>
                    <w:rPr>
                      <w:sz w:val="21"/>
                      <w:szCs w:val="21"/>
                    </w:rPr>
                  </w:pPr>
                  <w:r>
                    <w:rPr>
                      <w:rFonts w:ascii="Times New Roman" w:hAnsi="Times New Roman"/>
                      <w:kern w:val="2"/>
                      <w:sz w:val="21"/>
                      <w:szCs w:val="21"/>
                      <w:lang w:bidi="ar"/>
                    </w:rPr>
                    <w:t>“</w:t>
                  </w:r>
                  <w:r>
                    <w:rPr>
                      <w:rFonts w:hint="eastAsia" w:ascii="Times New Roman" w:hAnsi="Times New Roman" w:cs="宋体"/>
                      <w:kern w:val="2"/>
                      <w:sz w:val="21"/>
                      <w:szCs w:val="21"/>
                      <w:lang w:bidi="ar"/>
                    </w:rPr>
                    <w:t>三线一单</w:t>
                  </w:r>
                  <w:r>
                    <w:rPr>
                      <w:rFonts w:ascii="Times New Roman" w:hAnsi="Times New Roman"/>
                      <w:kern w:val="2"/>
                      <w:sz w:val="21"/>
                      <w:szCs w:val="21"/>
                      <w:lang w:bidi="ar"/>
                    </w:rPr>
                    <w:t>”</w:t>
                  </w:r>
                  <w:r>
                    <w:rPr>
                      <w:rFonts w:hint="eastAsia" w:ascii="Times New Roman" w:hAnsi="Times New Roman" w:cs="宋体"/>
                      <w:kern w:val="2"/>
                      <w:sz w:val="21"/>
                      <w:szCs w:val="21"/>
                      <w:lang w:bidi="ar"/>
                    </w:rPr>
                    <w:t>的具体要求</w:t>
                  </w:r>
                </w:p>
              </w:tc>
              <w:tc>
                <w:tcPr>
                  <w:tcW w:w="213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36"/>
                    <w:widowControl w:val="0"/>
                    <w:spacing w:before="0" w:beforeAutospacing="0" w:after="0" w:afterAutospacing="0"/>
                    <w:jc w:val="center"/>
                    <w:rPr>
                      <w:sz w:val="21"/>
                      <w:szCs w:val="21"/>
                    </w:rPr>
                  </w:pPr>
                  <w:r>
                    <w:rPr>
                      <w:rFonts w:hint="eastAsia" w:ascii="Times New Roman" w:hAnsi="Times New Roman" w:cs="宋体"/>
                      <w:kern w:val="2"/>
                      <w:sz w:val="21"/>
                      <w:szCs w:val="21"/>
                      <w:lang w:bidi="ar"/>
                    </w:rPr>
                    <w:t>项目情况</w:t>
                  </w:r>
                </w:p>
              </w:tc>
              <w:tc>
                <w:tcPr>
                  <w:tcW w:w="140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36"/>
                    <w:widowControl w:val="0"/>
                    <w:spacing w:before="0" w:beforeAutospacing="0" w:after="0" w:afterAutospacing="0"/>
                    <w:jc w:val="center"/>
                    <w:rPr>
                      <w:sz w:val="21"/>
                      <w:szCs w:val="21"/>
                    </w:rPr>
                  </w:pPr>
                  <w:r>
                    <w:rPr>
                      <w:rFonts w:hint="eastAsia" w:ascii="Times New Roman" w:hAnsi="Times New Roman" w:cs="宋体"/>
                      <w:kern w:val="2"/>
                      <w:sz w:val="21"/>
                      <w:szCs w:val="21"/>
                      <w:lang w:bidi="ar"/>
                    </w:rPr>
                    <w:t>符合性分析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3042"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pStyle w:val="36"/>
                    <w:widowControl w:val="0"/>
                    <w:spacing w:before="0" w:beforeAutospacing="0" w:after="0" w:afterAutospacing="0"/>
                    <w:jc w:val="center"/>
                    <w:rPr>
                      <w:sz w:val="21"/>
                      <w:szCs w:val="21"/>
                    </w:rPr>
                  </w:pPr>
                  <w:r>
                    <w:rPr>
                      <w:rFonts w:hint="eastAsia" w:ascii="Times New Roman" w:hAnsi="Times New Roman" w:cs="宋体"/>
                      <w:kern w:val="2"/>
                      <w:sz w:val="21"/>
                      <w:szCs w:val="21"/>
                      <w:lang w:bidi="ar"/>
                    </w:rPr>
                    <w:t>类别</w:t>
                  </w:r>
                </w:p>
              </w:tc>
              <w:tc>
                <w:tcPr>
                  <w:tcW w:w="734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6"/>
                    <w:widowControl w:val="0"/>
                    <w:spacing w:before="0" w:beforeAutospacing="0" w:after="0" w:afterAutospacing="0"/>
                    <w:jc w:val="center"/>
                    <w:rPr>
                      <w:sz w:val="21"/>
                      <w:szCs w:val="21"/>
                    </w:rPr>
                  </w:pPr>
                  <w:r>
                    <w:rPr>
                      <w:rFonts w:hint="eastAsia" w:ascii="Times New Roman" w:hAnsi="Times New Roman" w:cs="宋体"/>
                      <w:kern w:val="2"/>
                      <w:sz w:val="21"/>
                      <w:szCs w:val="21"/>
                      <w:lang w:bidi="ar"/>
                    </w:rPr>
                    <w:t>对应的管控要求</w:t>
                  </w:r>
                </w:p>
              </w:tc>
              <w:tc>
                <w:tcPr>
                  <w:tcW w:w="213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szCs w:val="21"/>
                    </w:rPr>
                  </w:pPr>
                </w:p>
              </w:tc>
              <w:tc>
                <w:tcPr>
                  <w:tcW w:w="140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103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36"/>
                    <w:widowControl w:val="0"/>
                    <w:spacing w:before="0" w:beforeAutospacing="0" w:after="0" w:afterAutospacing="0"/>
                    <w:jc w:val="center"/>
                    <w:rPr>
                      <w:rFonts w:ascii="Times New Roman" w:hAnsi="Times New Roman" w:cs="宋体"/>
                      <w:kern w:val="2"/>
                      <w:sz w:val="21"/>
                      <w:szCs w:val="21"/>
                      <w:lang w:bidi="ar"/>
                    </w:rPr>
                  </w:pPr>
                  <w:r>
                    <w:rPr>
                      <w:rFonts w:hint="eastAsia" w:ascii="Times New Roman" w:hAnsi="Times New Roman" w:cs="宋体"/>
                      <w:kern w:val="2"/>
                      <w:sz w:val="21"/>
                      <w:szCs w:val="21"/>
                      <w:lang w:bidi="ar"/>
                    </w:rPr>
                    <w:t>通川区环境要素综合重点管控单元</w:t>
                  </w:r>
                </w:p>
                <w:p>
                  <w:pPr>
                    <w:pStyle w:val="36"/>
                    <w:widowControl w:val="0"/>
                    <w:spacing w:before="0" w:beforeAutospacing="0" w:after="0" w:afterAutospacing="0"/>
                    <w:jc w:val="center"/>
                    <w:rPr>
                      <w:rFonts w:ascii="Times New Roman" w:hAnsi="Times New Roman" w:cs="宋体"/>
                      <w:kern w:val="2"/>
                      <w:sz w:val="21"/>
                      <w:szCs w:val="21"/>
                      <w:lang w:bidi="ar"/>
                    </w:rPr>
                  </w:pPr>
                  <w:r>
                    <w:rPr>
                      <w:rFonts w:hint="eastAsia" w:ascii="Times New Roman" w:hAnsi="Times New Roman" w:cs="宋体"/>
                      <w:kern w:val="2"/>
                      <w:sz w:val="21"/>
                      <w:szCs w:val="21"/>
                      <w:lang w:bidi="ar"/>
                    </w:rPr>
                    <w:t>ZH51170220004</w:t>
                  </w:r>
                </w:p>
              </w:tc>
              <w:tc>
                <w:tcPr>
                  <w:tcW w:w="93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36"/>
                    <w:widowControl w:val="0"/>
                    <w:spacing w:before="0" w:beforeAutospacing="0" w:after="0" w:afterAutospacing="0"/>
                    <w:jc w:val="center"/>
                    <w:rPr>
                      <w:sz w:val="21"/>
                      <w:szCs w:val="21"/>
                    </w:rPr>
                  </w:pPr>
                  <w:r>
                    <w:rPr>
                      <w:rFonts w:hint="eastAsia" w:ascii="Times New Roman" w:hAnsi="Times New Roman" w:cs="宋体"/>
                      <w:kern w:val="2"/>
                      <w:sz w:val="21"/>
                      <w:szCs w:val="21"/>
                      <w:lang w:bidi="ar"/>
                    </w:rPr>
                    <w:t>普适性清单管控要求</w:t>
                  </w:r>
                </w:p>
              </w:tc>
              <w:tc>
                <w:tcPr>
                  <w:tcW w:w="107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6"/>
                    <w:widowControl w:val="0"/>
                    <w:spacing w:before="0" w:beforeAutospacing="0" w:after="0" w:afterAutospacing="0"/>
                    <w:jc w:val="center"/>
                    <w:rPr>
                      <w:sz w:val="21"/>
                      <w:szCs w:val="21"/>
                    </w:rPr>
                  </w:pPr>
                  <w:r>
                    <w:rPr>
                      <w:rFonts w:hint="eastAsia" w:ascii="Times New Roman" w:hAnsi="Times New Roman" w:cs="宋体"/>
                      <w:kern w:val="2"/>
                      <w:sz w:val="21"/>
                      <w:szCs w:val="21"/>
                      <w:lang w:bidi="ar"/>
                    </w:rPr>
                    <w:t>空间布局约束</w:t>
                  </w:r>
                </w:p>
              </w:tc>
              <w:tc>
                <w:tcPr>
                  <w:tcW w:w="734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6"/>
                    <w:widowControl w:val="0"/>
                    <w:spacing w:before="0" w:beforeAutospacing="0" w:after="0" w:afterAutospacing="0"/>
                    <w:jc w:val="both"/>
                    <w:rPr>
                      <w:sz w:val="21"/>
                      <w:szCs w:val="21"/>
                    </w:rPr>
                  </w:pPr>
                  <w:r>
                    <w:rPr>
                      <w:rFonts w:hint="eastAsia"/>
                      <w:sz w:val="21"/>
                      <w:szCs w:val="21"/>
                    </w:rPr>
                    <w:t>禁止开发建设活动的要求</w:t>
                  </w:r>
                </w:p>
                <w:p>
                  <w:pPr>
                    <w:pStyle w:val="36"/>
                    <w:widowControl w:val="0"/>
                    <w:spacing w:before="0" w:beforeAutospacing="0" w:after="0" w:afterAutospacing="0"/>
                    <w:jc w:val="both"/>
                    <w:rPr>
                      <w:sz w:val="21"/>
                      <w:szCs w:val="21"/>
                    </w:rPr>
                  </w:pPr>
                  <w:r>
                    <w:rPr>
                      <w:rFonts w:hint="eastAsia"/>
                      <w:sz w:val="21"/>
                      <w:szCs w:val="21"/>
                    </w:rPr>
                    <w:t>-禁止在法律法规规定的禁采区内新建矿山；禁止土法采、选、冶严重污染环境的矿产资源。</w:t>
                  </w:r>
                </w:p>
                <w:p>
                  <w:pPr>
                    <w:pStyle w:val="36"/>
                    <w:widowControl w:val="0"/>
                    <w:spacing w:before="0" w:beforeAutospacing="0" w:after="0" w:afterAutospacing="0"/>
                    <w:jc w:val="both"/>
                    <w:rPr>
                      <w:sz w:val="21"/>
                      <w:szCs w:val="21"/>
                    </w:rPr>
                  </w:pPr>
                  <w:r>
                    <w:rPr>
                      <w:rFonts w:hint="eastAsia"/>
                      <w:sz w:val="21"/>
                      <w:szCs w:val="21"/>
                    </w:rPr>
                    <w:t>-涉及永久基本农田的区域，除法律规定的重点建设项目选址确实无法避让外，其他任何建设不得占用。</w:t>
                  </w:r>
                </w:p>
                <w:p>
                  <w:pPr>
                    <w:pStyle w:val="36"/>
                    <w:widowControl w:val="0"/>
                    <w:spacing w:before="0" w:beforeAutospacing="0" w:after="0" w:afterAutospacing="0"/>
                    <w:jc w:val="both"/>
                    <w:rPr>
                      <w:sz w:val="21"/>
                      <w:szCs w:val="21"/>
                    </w:rPr>
                  </w:pPr>
                  <w:r>
                    <w:rPr>
                      <w:rFonts w:hint="eastAsia"/>
                      <w:sz w:val="21"/>
                      <w:szCs w:val="21"/>
                    </w:rPr>
                    <w:t>-禁止在长江流域河湖管理范围内倾倒、填埋、堆放、弃置、处理固体废物。</w:t>
                  </w:r>
                </w:p>
                <w:p>
                  <w:pPr>
                    <w:pStyle w:val="36"/>
                    <w:widowControl w:val="0"/>
                    <w:spacing w:before="0" w:beforeAutospacing="0" w:after="0" w:afterAutospacing="0"/>
                    <w:jc w:val="both"/>
                    <w:rPr>
                      <w:sz w:val="21"/>
                      <w:szCs w:val="21"/>
                    </w:rPr>
                  </w:pPr>
                </w:p>
                <w:p>
                  <w:pPr>
                    <w:pStyle w:val="36"/>
                    <w:widowControl w:val="0"/>
                    <w:spacing w:before="0" w:beforeAutospacing="0" w:after="0" w:afterAutospacing="0"/>
                    <w:jc w:val="both"/>
                    <w:rPr>
                      <w:sz w:val="21"/>
                      <w:szCs w:val="21"/>
                    </w:rPr>
                  </w:pPr>
                  <w:r>
                    <w:rPr>
                      <w:rFonts w:hint="eastAsia"/>
                      <w:sz w:val="21"/>
                      <w:szCs w:val="21"/>
                    </w:rPr>
                    <w:t>限制开发建设活动的要求</w:t>
                  </w:r>
                </w:p>
                <w:p>
                  <w:pPr>
                    <w:pStyle w:val="36"/>
                    <w:widowControl w:val="0"/>
                    <w:spacing w:before="0" w:beforeAutospacing="0" w:after="0" w:afterAutospacing="0"/>
                    <w:jc w:val="both"/>
                    <w:rPr>
                      <w:sz w:val="21"/>
                      <w:szCs w:val="21"/>
                    </w:rPr>
                  </w:pPr>
                  <w:r>
                    <w:rPr>
                      <w:rFonts w:hint="eastAsia"/>
                      <w:sz w:val="21"/>
                      <w:szCs w:val="21"/>
                    </w:rPr>
                    <w:t>-水环境城镇污染、工业污染、农业污染重点管控区内，应严格限制布设以电力、钢铁、造纸、石化、化工、印染、化纤等高耗水行业为主导产业的园区；严格项目引入政策，严控新建造纸、屠宰、用排水量大的农副产品加工企业等以水污染为主的企业。</w:t>
                  </w:r>
                </w:p>
                <w:p>
                  <w:pPr>
                    <w:pStyle w:val="36"/>
                    <w:widowControl w:val="0"/>
                    <w:spacing w:before="0" w:beforeAutospacing="0" w:after="0" w:afterAutospacing="0"/>
                    <w:jc w:val="both"/>
                    <w:rPr>
                      <w:sz w:val="21"/>
                      <w:szCs w:val="21"/>
                    </w:rPr>
                  </w:pPr>
                  <w:r>
                    <w:rPr>
                      <w:rFonts w:hint="eastAsia"/>
                      <w:sz w:val="21"/>
                      <w:szCs w:val="21"/>
                    </w:rPr>
                    <w:t>-大气环境布局敏感区应严格限制布设以钢铁、建材、石化、化工、有色等高污染行业为主导产业的园区，大气环境弱扩散区谨慎布局垃圾发电、危废焚烧等以大气污染为主的企业；严格项目引入政策，严控新建水泥厂、危废焚烧、砖瓦厂、陶瓷厂、混凝土及制品等以大气污染为主的企业。</w:t>
                  </w:r>
                </w:p>
                <w:p>
                  <w:pPr>
                    <w:pStyle w:val="36"/>
                    <w:widowControl w:val="0"/>
                    <w:spacing w:before="0" w:beforeAutospacing="0" w:after="0" w:afterAutospacing="0"/>
                    <w:jc w:val="both"/>
                    <w:rPr>
                      <w:sz w:val="21"/>
                      <w:szCs w:val="21"/>
                    </w:rPr>
                  </w:pPr>
                  <w:r>
                    <w:rPr>
                      <w:rFonts w:hint="eastAsia"/>
                      <w:sz w:val="21"/>
                      <w:szCs w:val="21"/>
                    </w:rPr>
                    <w:t>-按照相关要求严控水泥新增产能。</w:t>
                  </w:r>
                </w:p>
                <w:p>
                  <w:pPr>
                    <w:pStyle w:val="36"/>
                    <w:widowControl w:val="0"/>
                    <w:spacing w:before="0" w:beforeAutospacing="0" w:after="0" w:afterAutospacing="0"/>
                    <w:jc w:val="both"/>
                    <w:rPr>
                      <w:sz w:val="21"/>
                      <w:szCs w:val="21"/>
                    </w:rPr>
                  </w:pPr>
                  <w:r>
                    <w:rPr>
                      <w:rFonts w:hint="eastAsia"/>
                      <w:sz w:val="21"/>
                      <w:szCs w:val="21"/>
                    </w:rPr>
                    <w:t>-严控在长江及主要支流岸线1公里范围内新建石油化工、煤化工、涉磷、造纸、印染、制革等项目。</w:t>
                  </w:r>
                </w:p>
                <w:p>
                  <w:pPr>
                    <w:pStyle w:val="36"/>
                    <w:widowControl w:val="0"/>
                    <w:spacing w:before="0" w:beforeAutospacing="0" w:after="0" w:afterAutospacing="0"/>
                    <w:jc w:val="both"/>
                    <w:rPr>
                      <w:sz w:val="21"/>
                      <w:szCs w:val="21"/>
                    </w:rPr>
                  </w:pPr>
                  <w:r>
                    <w:rPr>
                      <w:rFonts w:hint="eastAsia"/>
                      <w:sz w:val="21"/>
                      <w:szCs w:val="21"/>
                    </w:rPr>
                    <w:t>-现有工业企业不得新增污染物排放。</w:t>
                  </w:r>
                </w:p>
                <w:p>
                  <w:pPr>
                    <w:pStyle w:val="36"/>
                    <w:widowControl w:val="0"/>
                    <w:spacing w:before="0" w:beforeAutospacing="0" w:after="0" w:afterAutospacing="0"/>
                    <w:jc w:val="both"/>
                    <w:rPr>
                      <w:sz w:val="21"/>
                      <w:szCs w:val="21"/>
                    </w:rPr>
                  </w:pPr>
                  <w:r>
                    <w:rPr>
                      <w:rFonts w:hint="eastAsia"/>
                      <w:sz w:val="21"/>
                      <w:szCs w:val="21"/>
                    </w:rPr>
                    <w:t>-禁止在长江干流岸线三公里范围内和重要支流岸线一公里范围内新建、改建、扩建尾矿库；但是以提升安全、生态环境保护水平为目的的改建除外。</w:t>
                  </w:r>
                </w:p>
                <w:p>
                  <w:pPr>
                    <w:pStyle w:val="36"/>
                    <w:widowControl w:val="0"/>
                    <w:spacing w:before="0" w:beforeAutospacing="0" w:after="0" w:afterAutospacing="0"/>
                    <w:jc w:val="both"/>
                    <w:rPr>
                      <w:sz w:val="21"/>
                      <w:szCs w:val="21"/>
                    </w:rPr>
                  </w:pPr>
                </w:p>
                <w:p>
                  <w:pPr>
                    <w:pStyle w:val="36"/>
                    <w:widowControl w:val="0"/>
                    <w:spacing w:before="0" w:beforeAutospacing="0" w:after="0" w:afterAutospacing="0"/>
                    <w:jc w:val="both"/>
                    <w:rPr>
                      <w:sz w:val="21"/>
                      <w:szCs w:val="21"/>
                    </w:rPr>
                  </w:pPr>
                  <w:r>
                    <w:rPr>
                      <w:rFonts w:hint="eastAsia"/>
                      <w:sz w:val="21"/>
                      <w:szCs w:val="21"/>
                    </w:rPr>
                    <w:t>不符合空间布局要求活动的退出要求</w:t>
                  </w:r>
                </w:p>
                <w:p>
                  <w:pPr>
                    <w:pStyle w:val="36"/>
                    <w:widowControl w:val="0"/>
                    <w:spacing w:before="0" w:beforeAutospacing="0" w:after="0" w:afterAutospacing="0"/>
                    <w:jc w:val="both"/>
                    <w:rPr>
                      <w:sz w:val="21"/>
                      <w:szCs w:val="21"/>
                    </w:rPr>
                  </w:pPr>
                  <w:r>
                    <w:rPr>
                      <w:rFonts w:hint="eastAsia"/>
                      <w:sz w:val="21"/>
                      <w:szCs w:val="21"/>
                    </w:rPr>
                    <w:t>全面取缔禁养区内规模化畜禽养殖场。                                                                       -现有工业企业限期有序退城入园。</w:t>
                  </w:r>
                </w:p>
                <w:p>
                  <w:pPr>
                    <w:pStyle w:val="36"/>
                    <w:widowControl w:val="0"/>
                    <w:spacing w:before="0" w:beforeAutospacing="0" w:after="0" w:afterAutospacing="0"/>
                    <w:jc w:val="both"/>
                    <w:rPr>
                      <w:sz w:val="21"/>
                      <w:szCs w:val="21"/>
                    </w:rPr>
                  </w:pPr>
                  <w:r>
                    <w:rPr>
                      <w:rFonts w:hint="eastAsia"/>
                      <w:sz w:val="21"/>
                      <w:szCs w:val="21"/>
                    </w:rPr>
                    <w:t>不断优化长江经济带化工行业空间布局，有效控制化工污染。推进化工企业搬迁入园，加强化工园区基础设施建设。</w:t>
                  </w:r>
                </w:p>
                <w:p>
                  <w:pPr>
                    <w:pStyle w:val="36"/>
                    <w:widowControl w:val="0"/>
                    <w:spacing w:before="0" w:beforeAutospacing="0" w:after="0" w:afterAutospacing="0"/>
                    <w:jc w:val="both"/>
                    <w:rPr>
                      <w:sz w:val="21"/>
                      <w:szCs w:val="21"/>
                    </w:rPr>
                  </w:pPr>
                  <w:r>
                    <w:rPr>
                      <w:rFonts w:hint="eastAsia"/>
                      <w:sz w:val="21"/>
                      <w:szCs w:val="21"/>
                    </w:rPr>
                    <w:t>2025年全面完成全域内“散乱污”企业整治工作。</w:t>
                  </w:r>
                </w:p>
                <w:p>
                  <w:pPr>
                    <w:pStyle w:val="36"/>
                    <w:widowControl w:val="0"/>
                    <w:spacing w:before="0" w:beforeAutospacing="0" w:after="0" w:afterAutospacing="0"/>
                    <w:jc w:val="both"/>
                    <w:rPr>
                      <w:sz w:val="21"/>
                      <w:szCs w:val="21"/>
                    </w:rPr>
                  </w:pPr>
                  <w:r>
                    <w:rPr>
                      <w:rFonts w:hint="eastAsia"/>
                      <w:sz w:val="21"/>
                      <w:szCs w:val="21"/>
                    </w:rPr>
                    <w:t>针对现有水泥企业，强化污染治理和污染物减排，依法依规整治或搬迁。</w:t>
                  </w:r>
                </w:p>
                <w:p>
                  <w:pPr>
                    <w:pStyle w:val="36"/>
                    <w:widowControl w:val="0"/>
                    <w:spacing w:before="0" w:beforeAutospacing="0" w:after="0" w:afterAutospacing="0"/>
                    <w:jc w:val="both"/>
                    <w:rPr>
                      <w:sz w:val="21"/>
                      <w:szCs w:val="21"/>
                    </w:rPr>
                  </w:pPr>
                  <w:r>
                    <w:rPr>
                      <w:rFonts w:hint="eastAsia"/>
                      <w:sz w:val="21"/>
                      <w:szCs w:val="21"/>
                    </w:rPr>
                    <w:t>对违反资源环境法律法规、规划，污染环境、破坏生态、乱采烂挖的露天矿山，依法予以关闭；对污染治理不规范的露天矿山，依法责令停产整治。对责任主体灭失的露天矿山，加强修复绿化、减尘抑尘。加强矸石山治理。关闭不合理开发的小矿山。   在全市范围深入开展集中整治“散乱污”工业企业，对不符合产业政策和规划布局的，一律责令停产、限期搬迁或关停；</w:t>
                  </w:r>
                </w:p>
                <w:p>
                  <w:pPr>
                    <w:pStyle w:val="36"/>
                    <w:widowControl w:val="0"/>
                    <w:spacing w:before="0" w:beforeAutospacing="0" w:after="0" w:afterAutospacing="0"/>
                    <w:jc w:val="both"/>
                    <w:rPr>
                      <w:sz w:val="21"/>
                      <w:szCs w:val="21"/>
                    </w:rPr>
                  </w:pPr>
                </w:p>
                <w:p>
                  <w:pPr>
                    <w:pStyle w:val="36"/>
                    <w:widowControl w:val="0"/>
                    <w:spacing w:before="0" w:beforeAutospacing="0" w:after="0" w:afterAutospacing="0"/>
                    <w:jc w:val="both"/>
                    <w:rPr>
                      <w:sz w:val="21"/>
                      <w:szCs w:val="21"/>
                    </w:rPr>
                  </w:pPr>
                  <w:r>
                    <w:rPr>
                      <w:rFonts w:hint="eastAsia"/>
                      <w:sz w:val="21"/>
                      <w:szCs w:val="21"/>
                    </w:rPr>
                    <w:t>其他空间布局约束要求</w:t>
                  </w:r>
                </w:p>
                <w:p>
                  <w:pPr>
                    <w:pStyle w:val="36"/>
                    <w:widowControl w:val="0"/>
                    <w:spacing w:before="0" w:beforeAutospacing="0" w:after="0" w:afterAutospacing="0"/>
                    <w:jc w:val="both"/>
                    <w:rPr>
                      <w:sz w:val="21"/>
                      <w:szCs w:val="21"/>
                    </w:rPr>
                  </w:pPr>
                  <w:r>
                    <w:rPr>
                      <w:rFonts w:hint="eastAsia"/>
                      <w:sz w:val="21"/>
                      <w:szCs w:val="21"/>
                    </w:rPr>
                    <w:t>允许开发建设活动的要求：在不损害生态系统功能的前提下，适度发展旅游、农林牧产品生产和加工、生态农业、休闲农业等产业。</w:t>
                  </w:r>
                </w:p>
                <w:p>
                  <w:pPr>
                    <w:pStyle w:val="36"/>
                    <w:widowControl w:val="0"/>
                    <w:spacing w:before="0" w:beforeAutospacing="0" w:after="0" w:afterAutospacing="0"/>
                    <w:jc w:val="both"/>
                    <w:rPr>
                      <w:sz w:val="21"/>
                      <w:szCs w:val="21"/>
                    </w:rPr>
                  </w:pPr>
                  <w:r>
                    <w:rPr>
                      <w:rFonts w:hint="eastAsia"/>
                      <w:sz w:val="21"/>
                      <w:szCs w:val="21"/>
                    </w:rPr>
                    <w:t>除保护区外开展林下种养殖业</w:t>
                  </w:r>
                </w:p>
                <w:p>
                  <w:pPr>
                    <w:pStyle w:val="36"/>
                    <w:widowControl w:val="0"/>
                    <w:spacing w:before="0" w:beforeAutospacing="0" w:after="0" w:afterAutospacing="0"/>
                    <w:jc w:val="both"/>
                    <w:rPr>
                      <w:sz w:val="21"/>
                      <w:szCs w:val="21"/>
                    </w:rPr>
                  </w:pPr>
                </w:p>
              </w:tc>
              <w:tc>
                <w:tcPr>
                  <w:tcW w:w="213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6"/>
                    <w:widowControl w:val="0"/>
                    <w:spacing w:before="0" w:beforeAutospacing="0" w:after="0" w:afterAutospacing="0"/>
                    <w:jc w:val="center"/>
                    <w:rPr>
                      <w:sz w:val="21"/>
                      <w:szCs w:val="21"/>
                    </w:rPr>
                  </w:pPr>
                  <w:r>
                    <w:rPr>
                      <w:rFonts w:hint="eastAsia"/>
                      <w:sz w:val="21"/>
                      <w:szCs w:val="21"/>
                    </w:rPr>
                    <w:t>本项目属于陆地矿产资源地质勘查，不属于上述项目，目前建设单位正在办理相关占用基本农田用地手续，</w:t>
                  </w:r>
                </w:p>
              </w:tc>
              <w:tc>
                <w:tcPr>
                  <w:tcW w:w="140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6"/>
                    <w:widowControl w:val="0"/>
                    <w:spacing w:before="0" w:beforeAutospacing="0" w:after="0" w:afterAutospacing="0"/>
                    <w:jc w:val="center"/>
                    <w:rPr>
                      <w:sz w:val="21"/>
                      <w:szCs w:val="21"/>
                    </w:rPr>
                  </w:pPr>
                  <w:r>
                    <w:rPr>
                      <w:rFonts w:hint="eastAsia" w:ascii="Times New Roman" w:hAnsi="Times New Roman" w:cs="宋体"/>
                      <w:kern w:val="2"/>
                      <w:sz w:val="21"/>
                      <w:szCs w:val="21"/>
                      <w:lang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103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szCs w:val="21"/>
                    </w:rPr>
                  </w:pPr>
                </w:p>
              </w:tc>
              <w:tc>
                <w:tcPr>
                  <w:tcW w:w="93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szCs w:val="21"/>
                    </w:rPr>
                  </w:pPr>
                </w:p>
              </w:tc>
              <w:tc>
                <w:tcPr>
                  <w:tcW w:w="107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6"/>
                    <w:widowControl w:val="0"/>
                    <w:spacing w:before="0" w:beforeAutospacing="0" w:after="0" w:afterAutospacing="0"/>
                    <w:jc w:val="center"/>
                    <w:rPr>
                      <w:sz w:val="21"/>
                      <w:szCs w:val="21"/>
                    </w:rPr>
                  </w:pPr>
                  <w:r>
                    <w:rPr>
                      <w:rFonts w:hint="eastAsia" w:ascii="Times New Roman" w:hAnsi="Times New Roman" w:cs="宋体"/>
                      <w:kern w:val="2"/>
                      <w:sz w:val="21"/>
                      <w:szCs w:val="21"/>
                      <w:lang w:bidi="ar"/>
                    </w:rPr>
                    <w:t>污染物排放管控</w:t>
                  </w:r>
                </w:p>
              </w:tc>
              <w:tc>
                <w:tcPr>
                  <w:tcW w:w="734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szCs w:val="21"/>
                    </w:rPr>
                  </w:pPr>
                  <w:r>
                    <w:rPr>
                      <w:rFonts w:hint="eastAsia"/>
                      <w:szCs w:val="21"/>
                    </w:rPr>
                    <w:t>允许排放量要求</w:t>
                  </w:r>
                </w:p>
                <w:p>
                  <w:pPr>
                    <w:widowControl/>
                    <w:jc w:val="left"/>
                    <w:rPr>
                      <w:szCs w:val="21"/>
                    </w:rPr>
                  </w:pPr>
                  <w:r>
                    <w:rPr>
                      <w:rFonts w:hint="eastAsia"/>
                      <w:szCs w:val="21"/>
                    </w:rPr>
                    <w:t>暂无</w:t>
                  </w:r>
                </w:p>
                <w:p>
                  <w:pPr>
                    <w:widowControl/>
                    <w:jc w:val="left"/>
                    <w:rPr>
                      <w:szCs w:val="21"/>
                    </w:rPr>
                  </w:pPr>
                  <w:r>
                    <w:rPr>
                      <w:rFonts w:hint="eastAsia"/>
                      <w:szCs w:val="21"/>
                    </w:rPr>
                    <w:t>现有源提标升级改造</w:t>
                  </w:r>
                </w:p>
                <w:p>
                  <w:pPr>
                    <w:widowControl/>
                    <w:jc w:val="left"/>
                    <w:rPr>
                      <w:szCs w:val="21"/>
                    </w:rPr>
                  </w:pPr>
                  <w:r>
                    <w:rPr>
                      <w:rFonts w:hint="eastAsia"/>
                      <w:szCs w:val="21"/>
                    </w:rPr>
                    <w:t>加快现有乡镇污水处理设施升级改造，按要求达《城镇污水处理厂污染物排放标准》一级A标后排放。</w:t>
                  </w:r>
                </w:p>
                <w:p>
                  <w:pPr>
                    <w:widowControl/>
                    <w:jc w:val="left"/>
                    <w:rPr>
                      <w:szCs w:val="21"/>
                    </w:rPr>
                  </w:pPr>
                  <w:r>
                    <w:rPr>
                      <w:rFonts w:hint="eastAsia"/>
                      <w:szCs w:val="21"/>
                    </w:rPr>
                    <w:t>-在矿产资源开发活动集中区域，废水执行重金属污染物排放特别限值.-火电、水泥、钢铁等行业按相关要求推进大气污染物超低排放和深度治理。</w:t>
                  </w:r>
                </w:p>
                <w:p>
                  <w:pPr>
                    <w:widowControl/>
                    <w:jc w:val="left"/>
                    <w:rPr>
                      <w:szCs w:val="21"/>
                    </w:rPr>
                  </w:pPr>
                  <w:r>
                    <w:rPr>
                      <w:rFonts w:hint="eastAsia"/>
                      <w:szCs w:val="21"/>
                    </w:rPr>
                    <w:t>-砖瓦行业实施脱硫、除尘升级改造，污染物排放达到《砖瓦工业大气污染物排放标准》相关要求。</w:t>
                  </w:r>
                </w:p>
                <w:p>
                  <w:pPr>
                    <w:widowControl/>
                    <w:jc w:val="left"/>
                    <w:rPr>
                      <w:szCs w:val="21"/>
                    </w:rPr>
                  </w:pPr>
                </w:p>
                <w:p>
                  <w:pPr>
                    <w:widowControl/>
                    <w:jc w:val="left"/>
                    <w:rPr>
                      <w:szCs w:val="21"/>
                    </w:rPr>
                  </w:pPr>
                </w:p>
                <w:p>
                  <w:pPr>
                    <w:widowControl/>
                    <w:jc w:val="left"/>
                    <w:rPr>
                      <w:szCs w:val="21"/>
                    </w:rPr>
                  </w:pPr>
                  <w:r>
                    <w:rPr>
                      <w:rFonts w:hint="eastAsia"/>
                      <w:szCs w:val="21"/>
                    </w:rPr>
                    <w:t>其他污染物排放管控要求</w:t>
                  </w:r>
                </w:p>
                <w:p>
                  <w:pPr>
                    <w:widowControl/>
                    <w:jc w:val="left"/>
                    <w:rPr>
                      <w:szCs w:val="21"/>
                    </w:rPr>
                  </w:pPr>
                  <w:r>
                    <w:rPr>
                      <w:rFonts w:hint="eastAsia"/>
                      <w:szCs w:val="21"/>
                    </w:rPr>
                    <w:t>新增源等量或倍量替代:上一年度水环境质量未完成目标的，新建排放水污染的建设项目按照总量管控要求进行倍量削减替代。</w:t>
                  </w:r>
                </w:p>
                <w:p>
                  <w:pPr>
                    <w:widowControl/>
                    <w:jc w:val="left"/>
                    <w:rPr>
                      <w:szCs w:val="21"/>
                    </w:rPr>
                  </w:pPr>
                  <w:r>
                    <w:rPr>
                      <w:rFonts w:hint="eastAsia"/>
                      <w:szCs w:val="21"/>
                    </w:rPr>
                    <w:t>-上一年度空气质量年平均浓度不达标的城市，建设项目新增相关污染物按照总量管控要求进行倍量削减替代。</w:t>
                  </w:r>
                </w:p>
                <w:p>
                  <w:pPr>
                    <w:widowControl/>
                    <w:jc w:val="left"/>
                    <w:rPr>
                      <w:szCs w:val="21"/>
                    </w:rPr>
                  </w:pPr>
                  <w:r>
                    <w:rPr>
                      <w:rFonts w:hint="eastAsia"/>
                      <w:szCs w:val="21"/>
                    </w:rPr>
                    <w:t>-大气环境重点管控区内，新增大气污染物排放的建设项目实施总量削减替代.污染物排放绩效水平准入要求:屠宰项目必须配套污水处理设施或进入城市污水管网。</w:t>
                  </w:r>
                </w:p>
                <w:p>
                  <w:pPr>
                    <w:widowControl/>
                    <w:jc w:val="left"/>
                    <w:rPr>
                      <w:szCs w:val="21"/>
                    </w:rPr>
                  </w:pPr>
                  <w:r>
                    <w:rPr>
                      <w:rFonts w:hint="eastAsia"/>
                      <w:szCs w:val="21"/>
                    </w:rPr>
                    <w:t>-大气环境重点管控区内加强“高架源”污染治理，深化施工扬尘监管，严格落实“六必须、六不准”管控要求，强化道路施工管控，提高道路清扫机械化和精细化作业水平。-到2023年底，力争全市生活垃圾焚烧处理能力占比达60%以上，各县（市）生活垃圾无害化处理率保持95%以上，乡镇及行政村生活垃圾</w:t>
                  </w:r>
                  <w:r>
                    <w:rPr>
                      <w:rFonts w:hint="eastAsia"/>
                      <w:szCs w:val="21"/>
                      <w:lang w:eastAsia="zh-CN"/>
                    </w:rPr>
                    <w:t>收集</w:t>
                  </w:r>
                  <w:r>
                    <w:rPr>
                      <w:rFonts w:hint="eastAsia"/>
                      <w:szCs w:val="21"/>
                    </w:rPr>
                    <w:t>转运处置体系基本实现全覆盖。-到2025年，农药包装废弃物回收率达80%；粮油绿色高质高效示范区、茶叶主产区和现代农业园区农药包装废弃物回收率100%。</w:t>
                  </w:r>
                </w:p>
                <w:p>
                  <w:pPr>
                    <w:widowControl/>
                    <w:jc w:val="left"/>
                    <w:rPr>
                      <w:szCs w:val="21"/>
                    </w:rPr>
                  </w:pPr>
                  <w:r>
                    <w:rPr>
                      <w:rFonts w:hint="eastAsia"/>
                      <w:szCs w:val="21"/>
                    </w:rPr>
                    <w:t>-到2025年，全国主要农作物化肥、农药利用率达43%，测土配方施肥技术推广覆盖率保持在90%以上，控制农村面源污染，采取灌排分离等措施控制农田氮磷流失。</w:t>
                  </w:r>
                </w:p>
                <w:p>
                  <w:pPr>
                    <w:widowControl/>
                    <w:jc w:val="left"/>
                    <w:rPr>
                      <w:szCs w:val="21"/>
                    </w:rPr>
                  </w:pPr>
                  <w:r>
                    <w:rPr>
                      <w:rFonts w:hint="eastAsia"/>
                      <w:szCs w:val="21"/>
                    </w:rPr>
                    <w:t>-到2025年，新、改扩建规模化畜禽养殖场（小区）要实施雨污分流、粪便污水资源化利用；规模化畜禽养殖场（小区）粪污处理设施装备配套率达到95%以上，粪污综合利用率达到80%以上，大型规模养殖场粪污处理设施装备配套率达到100%，畜禽粪污基本实现资源化利用；散养密集区要实行畜禽粪便污水分户收集、集中处理利用。</w:t>
                  </w:r>
                </w:p>
                <w:p>
                  <w:pPr>
                    <w:widowControl/>
                    <w:jc w:val="left"/>
                    <w:rPr>
                      <w:szCs w:val="21"/>
                    </w:rPr>
                  </w:pPr>
                  <w:r>
                    <w:rPr>
                      <w:rFonts w:hint="eastAsia"/>
                      <w:szCs w:val="21"/>
                    </w:rPr>
                    <w:t>-到2025年，废旧农膜回收利用率达到85%以上。</w:t>
                  </w:r>
                </w:p>
                <w:p>
                  <w:pPr>
                    <w:widowControl/>
                    <w:jc w:val="left"/>
                    <w:rPr>
                      <w:szCs w:val="21"/>
                    </w:rPr>
                  </w:pPr>
                  <w:r>
                    <w:rPr>
                      <w:rFonts w:hint="eastAsia"/>
                      <w:szCs w:val="21"/>
                    </w:rPr>
                    <w:t>2025年：全市水环境质量总体保持优良。纳入国家及省级考核的监测断面优良（达到或优于Ⅲ类）比例保持达100%；32个水环境控制单元水质达到或优于Ⅲ类比例保持为100%；国省重要江河湖泊水功能区达标率保持为100%；地级县级集中式饮用水水源水质达到或优于Ⅲ类比例保持为100%；乡镇集中式饮用水水源水质达到或优于Ⅲ类比例保持为98%；城镇建成区无黑臭水体。</w:t>
                  </w:r>
                </w:p>
                <w:p>
                  <w:pPr>
                    <w:widowControl/>
                    <w:jc w:val="left"/>
                    <w:rPr>
                      <w:szCs w:val="21"/>
                    </w:rPr>
                  </w:pPr>
                  <w:r>
                    <w:rPr>
                      <w:rFonts w:hint="eastAsia"/>
                      <w:szCs w:val="21"/>
                    </w:rPr>
                    <w:t>2035年：全市水环境质量总体保持优良。纳入国家及省级考核的监测断面优良（达到或优于Ⅲ类）比例保持为100%；32个水环境控制单元水质达到或优于Ⅲ类比例达到100%；国省重要江河湖泊水功能区达标率保持为100%；地级、县级、乡镇集中式饮用水水源水质达到或优于Ⅲ类比例保持为100%；国省重要江河湖泊水功能区达标率保持为100%；城乡无黑臭水体。</w:t>
                  </w:r>
                </w:p>
                <w:p>
                  <w:pPr>
                    <w:widowControl/>
                    <w:jc w:val="left"/>
                    <w:rPr>
                      <w:szCs w:val="21"/>
                    </w:rPr>
                  </w:pPr>
                  <w:r>
                    <w:rPr>
                      <w:rFonts w:hint="eastAsia"/>
                      <w:szCs w:val="21"/>
                    </w:rPr>
                    <w:t>-以州河、铜钵河、明月江、东柳河、双龙河、魏家河（洞耳河）、平滩河（观音河）、石桥河、任市河等农业面源污染较突出的流域为重点，深入推进化肥、农药零增长行动，推广测土配方施肥技术，开展化肥减量增效示范和果菜茶有机肥代替化肥试点，提升科学施肥水平。</w:t>
                  </w:r>
                </w:p>
                <w:p>
                  <w:pPr>
                    <w:widowControl/>
                    <w:jc w:val="left"/>
                    <w:rPr>
                      <w:szCs w:val="21"/>
                    </w:rPr>
                  </w:pPr>
                  <w:r>
                    <w:rPr>
                      <w:rFonts w:hint="eastAsia"/>
                      <w:szCs w:val="21"/>
                    </w:rPr>
                    <w:t>--至2022年底，基本实现乡镇污水处理设施全覆盖，配套建设污水收集管网，乡镇污水处理率达到65%。</w:t>
                  </w:r>
                </w:p>
                <w:p>
                  <w:pPr>
                    <w:widowControl/>
                    <w:jc w:val="left"/>
                    <w:rPr>
                      <w:szCs w:val="21"/>
                    </w:rPr>
                  </w:pPr>
                  <w:r>
                    <w:rPr>
                      <w:rFonts w:hint="eastAsia"/>
                      <w:szCs w:val="21"/>
                    </w:rPr>
                    <w:t>-大气污染防治重点区域执行大气污染物执行特别排放限值，严禁新增钢铁、电力、水泥、玻璃、砖瓦、陶瓷、焦化、电解铝、有色等重点行业大气污染物排放</w:t>
                  </w:r>
                </w:p>
              </w:tc>
              <w:tc>
                <w:tcPr>
                  <w:tcW w:w="213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6"/>
                    <w:widowControl w:val="0"/>
                    <w:spacing w:before="0" w:beforeAutospacing="0" w:after="0" w:afterAutospacing="0"/>
                    <w:jc w:val="center"/>
                    <w:rPr>
                      <w:sz w:val="21"/>
                      <w:szCs w:val="21"/>
                    </w:rPr>
                  </w:pPr>
                  <w:r>
                    <w:rPr>
                      <w:rFonts w:hint="eastAsia"/>
                      <w:sz w:val="21"/>
                      <w:szCs w:val="21"/>
                    </w:rPr>
                    <w:t>本项目废水经应急池收集后拟由罐车拉运至四川瑞利生物科技有限公司处理后达标排放，项目采用网电钻井，柴油发电机使用时间短，废气产生量较小，放喷废气排放量小，对外环境影响较小，岩屑按照《达州市生态环境局办公室关于进一步加强固体废物污染防治工作的通知》（达市环办发〔2021〕24号）要求就近交给依法取得生态环境部门关于利用和处置相关工业固体废物项目环评批复、具有处理处置相应固体废物能力并配套建设有废气、废水、固废等污染物治理设施的单位进行资源化利用；本项目施工时间较短，噪声随施工结束而结束，对外环境影响较小。综上所述，本项目各污染因素均得到有效处置，符合污染物控制要求。</w:t>
                  </w:r>
                </w:p>
              </w:tc>
              <w:tc>
                <w:tcPr>
                  <w:tcW w:w="140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6"/>
                    <w:widowControl w:val="0"/>
                    <w:spacing w:before="0" w:beforeAutospacing="0" w:after="0" w:afterAutospacing="0"/>
                    <w:jc w:val="center"/>
                    <w:rPr>
                      <w:sz w:val="21"/>
                      <w:szCs w:val="21"/>
                    </w:rPr>
                  </w:pPr>
                  <w:r>
                    <w:rPr>
                      <w:rFonts w:hint="eastAsia" w:ascii="Times New Roman" w:hAnsi="Times New Roman" w:cs="宋体"/>
                      <w:kern w:val="2"/>
                      <w:sz w:val="21"/>
                      <w:szCs w:val="21"/>
                      <w:lang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103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szCs w:val="21"/>
                    </w:rPr>
                  </w:pPr>
                </w:p>
              </w:tc>
              <w:tc>
                <w:tcPr>
                  <w:tcW w:w="93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szCs w:val="21"/>
                    </w:rPr>
                  </w:pPr>
                </w:p>
              </w:tc>
              <w:tc>
                <w:tcPr>
                  <w:tcW w:w="107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6"/>
                    <w:widowControl w:val="0"/>
                    <w:spacing w:before="0" w:beforeAutospacing="0" w:after="0" w:afterAutospacing="0"/>
                    <w:jc w:val="center"/>
                    <w:rPr>
                      <w:sz w:val="21"/>
                      <w:szCs w:val="21"/>
                    </w:rPr>
                  </w:pPr>
                  <w:r>
                    <w:rPr>
                      <w:rFonts w:hint="eastAsia" w:ascii="Times New Roman" w:hAnsi="Times New Roman" w:cs="宋体"/>
                      <w:kern w:val="2"/>
                      <w:sz w:val="21"/>
                      <w:szCs w:val="21"/>
                      <w:lang w:bidi="ar"/>
                    </w:rPr>
                    <w:t>环境风险防控</w:t>
                  </w:r>
                </w:p>
              </w:tc>
              <w:tc>
                <w:tcPr>
                  <w:tcW w:w="734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6"/>
                    <w:widowControl w:val="0"/>
                    <w:spacing w:before="0" w:beforeAutospacing="0" w:after="0" w:afterAutospacing="0"/>
                    <w:jc w:val="both"/>
                    <w:rPr>
                      <w:sz w:val="21"/>
                      <w:szCs w:val="21"/>
                    </w:rPr>
                  </w:pPr>
                  <w:r>
                    <w:rPr>
                      <w:rFonts w:hint="eastAsia"/>
                      <w:sz w:val="21"/>
                      <w:szCs w:val="21"/>
                    </w:rPr>
                    <w:t>联防联控要求</w:t>
                  </w:r>
                </w:p>
                <w:p>
                  <w:pPr>
                    <w:pStyle w:val="36"/>
                    <w:widowControl w:val="0"/>
                    <w:spacing w:before="0" w:beforeAutospacing="0" w:after="0" w:afterAutospacing="0"/>
                    <w:jc w:val="both"/>
                    <w:rPr>
                      <w:sz w:val="21"/>
                      <w:szCs w:val="21"/>
                    </w:rPr>
                  </w:pPr>
                  <w:r>
                    <w:rPr>
                      <w:rFonts w:hint="eastAsia"/>
                      <w:sz w:val="21"/>
                      <w:szCs w:val="21"/>
                    </w:rPr>
                    <w:t>强化区域联防联控，严格落实《关于建立跨省流域上下游突发水污染事件联防联控机制的指导意见》；定期召开区域大气环境形式分析会，强化信息共享和联动合作，实行环境规划，标准，环评，执法，信息公开“六统一”，协力推进大气污染源头防控，加强川东北区域大气污染</w:t>
                  </w:r>
                  <w:r>
                    <w:rPr>
                      <w:rFonts w:hint="eastAsia"/>
                      <w:color w:val="FF0000"/>
                      <w:sz w:val="21"/>
                      <w:szCs w:val="21"/>
                    </w:rPr>
                    <w:t>防治</w:t>
                  </w:r>
                  <w:r>
                    <w:rPr>
                      <w:rFonts w:hint="eastAsia"/>
                      <w:sz w:val="21"/>
                      <w:szCs w:val="21"/>
                    </w:rPr>
                    <w:t>合作</w:t>
                  </w:r>
                </w:p>
                <w:p>
                  <w:pPr>
                    <w:pStyle w:val="36"/>
                    <w:widowControl w:val="0"/>
                    <w:spacing w:before="0" w:beforeAutospacing="0" w:after="0" w:afterAutospacing="0"/>
                    <w:jc w:val="both"/>
                    <w:rPr>
                      <w:sz w:val="21"/>
                      <w:szCs w:val="21"/>
                    </w:rPr>
                  </w:pPr>
                  <w:r>
                    <w:rPr>
                      <w:rFonts w:hint="eastAsia"/>
                      <w:sz w:val="21"/>
                      <w:szCs w:val="21"/>
                    </w:rPr>
                    <w:t>其他环境风险防控要求</w:t>
                  </w:r>
                </w:p>
                <w:p>
                  <w:pPr>
                    <w:pStyle w:val="36"/>
                    <w:widowControl w:val="0"/>
                    <w:spacing w:before="0" w:beforeAutospacing="0" w:after="0" w:afterAutospacing="0"/>
                    <w:jc w:val="both"/>
                    <w:rPr>
                      <w:sz w:val="21"/>
                      <w:szCs w:val="21"/>
                    </w:rPr>
                  </w:pPr>
                  <w:r>
                    <w:rPr>
                      <w:rFonts w:hint="eastAsia"/>
                      <w:sz w:val="21"/>
                      <w:szCs w:val="21"/>
                    </w:rPr>
                    <w:t>企业环境风险防控要求:工业企业退出用地，须经评估、修复满足相应用地功能后，方可改变用途。</w:t>
                  </w:r>
                </w:p>
                <w:p>
                  <w:pPr>
                    <w:pStyle w:val="36"/>
                    <w:widowControl w:val="0"/>
                    <w:spacing w:before="0" w:beforeAutospacing="0" w:after="0" w:afterAutospacing="0"/>
                    <w:jc w:val="both"/>
                    <w:rPr>
                      <w:sz w:val="21"/>
                      <w:szCs w:val="21"/>
                    </w:rPr>
                  </w:pPr>
                  <w:r>
                    <w:rPr>
                      <w:rFonts w:hint="eastAsia"/>
                      <w:sz w:val="21"/>
                      <w:szCs w:val="21"/>
                    </w:rPr>
                    <w:t>加强“散乱污”企业环境风险防控。对工业循环用水大户和涉磷企业进行全面排查，建立总磷污染源数据库，实施循环水非磷配方药品替代改造，强化工业循环用水监管和总磷排放控制；从严控制新、改、扩建涉磷项目建设。落实涉磷堆场防渗、防风、防洪措施。</w:t>
                  </w:r>
                </w:p>
                <w:p>
                  <w:pPr>
                    <w:pStyle w:val="36"/>
                    <w:widowControl w:val="0"/>
                    <w:spacing w:before="0" w:beforeAutospacing="0" w:after="0" w:afterAutospacing="0"/>
                    <w:jc w:val="both"/>
                    <w:rPr>
                      <w:sz w:val="21"/>
                      <w:szCs w:val="21"/>
                    </w:rPr>
                  </w:pPr>
                  <w:r>
                    <w:rPr>
                      <w:rFonts w:hint="eastAsia"/>
                      <w:sz w:val="21"/>
                      <w:szCs w:val="21"/>
                    </w:rPr>
                    <w:t>对拟收回土地使用权的有色金属矿采选、有色金属冶炼、石油加工、化工、焦化、电镀、制革、天然（页岩）气开采、铅蓄电池、汽车制造、农药、危废处置、电子拆解等行业企业用地，以及用途拟变更为居住和商业、学校、医疗、养老机构等公共设施的上述企业用地，以及由重度污染农用地转为的城镇建设用地，开展土壤环境状况调查评估。</w:t>
                  </w:r>
                </w:p>
                <w:p>
                  <w:pPr>
                    <w:pStyle w:val="36"/>
                    <w:widowControl w:val="0"/>
                    <w:spacing w:before="0" w:beforeAutospacing="0" w:after="0" w:afterAutospacing="0"/>
                    <w:jc w:val="both"/>
                    <w:rPr>
                      <w:sz w:val="21"/>
                      <w:szCs w:val="21"/>
                    </w:rPr>
                  </w:pPr>
                  <w:r>
                    <w:rPr>
                      <w:rFonts w:hint="eastAsia"/>
                      <w:sz w:val="21"/>
                      <w:szCs w:val="21"/>
                    </w:rPr>
                    <w:t>用地环境风险防控要求:严禁将城镇生活垃圾、污泥、工业废物直接用作肥料，禁止处理不达标的污泥进入耕地；禁止在农用地排放、倾倒、使用污泥、清淤底泥、尾矿（渣）等可能对土壤造成污染的固体废物。禁止处理不达标的污泥进入耕地。</w:t>
                  </w:r>
                </w:p>
                <w:p>
                  <w:pPr>
                    <w:pStyle w:val="36"/>
                    <w:widowControl w:val="0"/>
                    <w:spacing w:before="0" w:beforeAutospacing="0" w:after="0" w:afterAutospacing="0"/>
                    <w:jc w:val="both"/>
                    <w:rPr>
                      <w:sz w:val="21"/>
                      <w:szCs w:val="21"/>
                    </w:rPr>
                  </w:pPr>
                  <w:r>
                    <w:rPr>
                      <w:rFonts w:hint="eastAsia"/>
                      <w:sz w:val="21"/>
                      <w:szCs w:val="21"/>
                    </w:rPr>
                    <w:t>禁止在农用地排放、倾倒、使用污泥、清淤底泥、尾矿（渣）等可能对土壤造成污染的固体废物。</w:t>
                  </w:r>
                </w:p>
                <w:p>
                  <w:pPr>
                    <w:pStyle w:val="36"/>
                    <w:widowControl w:val="0"/>
                    <w:spacing w:before="0" w:beforeAutospacing="0" w:after="0" w:afterAutospacing="0"/>
                    <w:jc w:val="both"/>
                    <w:rPr>
                      <w:sz w:val="21"/>
                      <w:szCs w:val="21"/>
                    </w:rPr>
                  </w:pPr>
                  <w:r>
                    <w:rPr>
                      <w:rFonts w:hint="eastAsia"/>
                      <w:sz w:val="21"/>
                      <w:szCs w:val="21"/>
                    </w:rPr>
                    <w:t>严格控制林地、草地、园地的农药使用量，禁止使用高毒、高残留农药。</w:t>
                  </w:r>
                </w:p>
                <w:p>
                  <w:pPr>
                    <w:pStyle w:val="36"/>
                    <w:widowControl w:val="0"/>
                    <w:spacing w:before="0" w:beforeAutospacing="0" w:after="0" w:afterAutospacing="0"/>
                    <w:jc w:val="both"/>
                    <w:rPr>
                      <w:sz w:val="21"/>
                      <w:szCs w:val="21"/>
                    </w:rPr>
                  </w:pPr>
                  <w:r>
                    <w:rPr>
                      <w:rFonts w:hint="eastAsia"/>
                      <w:sz w:val="21"/>
                      <w:szCs w:val="21"/>
                    </w:rPr>
                    <w:t>到2030年，全市受污染耕地安全利用率达到95%以上，污染地块安全利用率达到95%以上。</w:t>
                  </w:r>
                </w:p>
              </w:tc>
              <w:tc>
                <w:tcPr>
                  <w:tcW w:w="213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6"/>
                    <w:widowControl w:val="0"/>
                    <w:spacing w:before="0" w:beforeAutospacing="0" w:after="0" w:afterAutospacing="0"/>
                    <w:jc w:val="center"/>
                    <w:rPr>
                      <w:sz w:val="21"/>
                      <w:szCs w:val="21"/>
                    </w:rPr>
                  </w:pPr>
                  <w:r>
                    <w:rPr>
                      <w:rFonts w:hint="eastAsia"/>
                      <w:sz w:val="21"/>
                      <w:szCs w:val="21"/>
                    </w:rPr>
                    <w:t>落实本评价相关风险措施后，本项目环境风险可控</w:t>
                  </w:r>
                </w:p>
              </w:tc>
              <w:tc>
                <w:tcPr>
                  <w:tcW w:w="140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6"/>
                    <w:widowControl w:val="0"/>
                    <w:spacing w:before="0" w:beforeAutospacing="0" w:after="0" w:afterAutospacing="0"/>
                    <w:jc w:val="center"/>
                    <w:rPr>
                      <w:sz w:val="21"/>
                      <w:szCs w:val="21"/>
                    </w:rPr>
                  </w:pPr>
                  <w:r>
                    <w:rPr>
                      <w:rFonts w:hint="eastAsia" w:ascii="Times New Roman" w:hAnsi="Times New Roman" w:cs="宋体"/>
                      <w:kern w:val="2"/>
                      <w:sz w:val="21"/>
                      <w:szCs w:val="21"/>
                      <w:lang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103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szCs w:val="21"/>
                    </w:rPr>
                  </w:pPr>
                </w:p>
              </w:tc>
              <w:tc>
                <w:tcPr>
                  <w:tcW w:w="93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szCs w:val="21"/>
                    </w:rPr>
                  </w:pPr>
                </w:p>
              </w:tc>
              <w:tc>
                <w:tcPr>
                  <w:tcW w:w="107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6"/>
                    <w:widowControl w:val="0"/>
                    <w:spacing w:before="0" w:beforeAutospacing="0" w:after="0" w:afterAutospacing="0"/>
                    <w:jc w:val="center"/>
                    <w:rPr>
                      <w:sz w:val="21"/>
                      <w:szCs w:val="21"/>
                    </w:rPr>
                  </w:pPr>
                  <w:r>
                    <w:rPr>
                      <w:rFonts w:hint="eastAsia" w:ascii="Times New Roman" w:hAnsi="Times New Roman" w:cs="宋体"/>
                      <w:kern w:val="2"/>
                      <w:sz w:val="21"/>
                      <w:szCs w:val="21"/>
                      <w:lang w:bidi="ar"/>
                    </w:rPr>
                    <w:t>资源开发利用效率</w:t>
                  </w:r>
                </w:p>
              </w:tc>
              <w:tc>
                <w:tcPr>
                  <w:tcW w:w="734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6"/>
                    <w:widowControl w:val="0"/>
                    <w:spacing w:before="0" w:beforeAutospacing="0" w:after="0" w:afterAutospacing="0"/>
                    <w:jc w:val="both"/>
                    <w:rPr>
                      <w:sz w:val="21"/>
                      <w:szCs w:val="21"/>
                    </w:rPr>
                  </w:pPr>
                  <w:r>
                    <w:rPr>
                      <w:rFonts w:hint="eastAsia"/>
                      <w:sz w:val="21"/>
                      <w:szCs w:val="21"/>
                    </w:rPr>
                    <w:t>水资源利用总量要求</w:t>
                  </w:r>
                </w:p>
                <w:p>
                  <w:pPr>
                    <w:pStyle w:val="36"/>
                    <w:widowControl w:val="0"/>
                    <w:spacing w:before="0" w:beforeAutospacing="0" w:after="0" w:afterAutospacing="0"/>
                    <w:jc w:val="both"/>
                    <w:rPr>
                      <w:sz w:val="21"/>
                      <w:szCs w:val="21"/>
                    </w:rPr>
                  </w:pPr>
                  <w:r>
                    <w:rPr>
                      <w:rFonts w:hint="eastAsia"/>
                      <w:sz w:val="21"/>
                      <w:szCs w:val="21"/>
                    </w:rPr>
                    <w:t>-到2025年，农田灌溉水有效利用系数达到0.57以上。</w:t>
                  </w:r>
                </w:p>
                <w:p>
                  <w:pPr>
                    <w:pStyle w:val="36"/>
                    <w:widowControl w:val="0"/>
                    <w:spacing w:before="0" w:beforeAutospacing="0" w:after="0" w:afterAutospacing="0"/>
                    <w:jc w:val="both"/>
                    <w:rPr>
                      <w:sz w:val="21"/>
                      <w:szCs w:val="21"/>
                    </w:rPr>
                  </w:pPr>
                  <w:r>
                    <w:rPr>
                      <w:rFonts w:hint="eastAsia"/>
                      <w:sz w:val="21"/>
                      <w:szCs w:val="21"/>
                    </w:rPr>
                    <w:t>地下水开采要求</w:t>
                  </w:r>
                </w:p>
                <w:p>
                  <w:pPr>
                    <w:pStyle w:val="36"/>
                    <w:widowControl w:val="0"/>
                    <w:spacing w:before="0" w:beforeAutospacing="0" w:after="0" w:afterAutospacing="0"/>
                    <w:jc w:val="both"/>
                    <w:rPr>
                      <w:sz w:val="21"/>
                      <w:szCs w:val="21"/>
                    </w:rPr>
                  </w:pPr>
                  <w:r>
                    <w:rPr>
                      <w:rFonts w:hint="eastAsia"/>
                      <w:sz w:val="21"/>
                      <w:szCs w:val="21"/>
                    </w:rPr>
                    <w:t>以省市下发指标为准</w:t>
                  </w:r>
                </w:p>
                <w:p>
                  <w:pPr>
                    <w:pStyle w:val="36"/>
                    <w:widowControl w:val="0"/>
                    <w:spacing w:before="0" w:beforeAutospacing="0" w:after="0" w:afterAutospacing="0"/>
                    <w:jc w:val="both"/>
                    <w:rPr>
                      <w:sz w:val="21"/>
                      <w:szCs w:val="21"/>
                    </w:rPr>
                  </w:pPr>
                  <w:r>
                    <w:rPr>
                      <w:rFonts w:hint="eastAsia"/>
                      <w:sz w:val="21"/>
                      <w:szCs w:val="21"/>
                    </w:rPr>
                    <w:t>能源利用总量及效率要求</w:t>
                  </w:r>
                </w:p>
                <w:p>
                  <w:pPr>
                    <w:pStyle w:val="36"/>
                    <w:widowControl w:val="0"/>
                    <w:spacing w:before="0" w:beforeAutospacing="0" w:after="0" w:afterAutospacing="0"/>
                    <w:jc w:val="both"/>
                    <w:rPr>
                      <w:sz w:val="21"/>
                      <w:szCs w:val="21"/>
                    </w:rPr>
                  </w:pPr>
                  <w:r>
                    <w:rPr>
                      <w:rFonts w:hint="eastAsia"/>
                      <w:sz w:val="21"/>
                      <w:szCs w:val="21"/>
                    </w:rPr>
                    <w:t>-推进清洁能源的推广使用，全面推进散煤清洁化整治；禁止新建每小时10蒸吨以下的燃煤锅炉及其他燃煤设施。</w:t>
                  </w:r>
                </w:p>
                <w:p>
                  <w:pPr>
                    <w:pStyle w:val="36"/>
                    <w:widowControl w:val="0"/>
                    <w:spacing w:before="0" w:beforeAutospacing="0" w:after="0" w:afterAutospacing="0"/>
                    <w:jc w:val="both"/>
                    <w:rPr>
                      <w:sz w:val="21"/>
                      <w:szCs w:val="21"/>
                    </w:rPr>
                  </w:pPr>
                  <w:r>
                    <w:rPr>
                      <w:rFonts w:hint="eastAsia"/>
                      <w:sz w:val="21"/>
                      <w:szCs w:val="21"/>
                    </w:rPr>
                    <w:t>-禁止焚烧秸秆和垃圾，到2025年底，秸秆综合利用率达到86%以上。</w:t>
                  </w:r>
                </w:p>
                <w:p>
                  <w:pPr>
                    <w:pStyle w:val="36"/>
                    <w:widowControl w:val="0"/>
                    <w:spacing w:before="0" w:beforeAutospacing="0" w:after="0" w:afterAutospacing="0"/>
                    <w:jc w:val="both"/>
                    <w:rPr>
                      <w:sz w:val="21"/>
                      <w:szCs w:val="21"/>
                    </w:rPr>
                  </w:pPr>
                  <w:r>
                    <w:rPr>
                      <w:rFonts w:hint="eastAsia"/>
                      <w:sz w:val="21"/>
                      <w:szCs w:val="21"/>
                    </w:rPr>
                    <w:t>-实施煤炭消费总量控制：严格控制煤炭消费总量；严格控制新建、改建、扩建耗煤项目，新增耗煤项目实行煤炭消耗减量倍量替代</w:t>
                  </w:r>
                </w:p>
              </w:tc>
              <w:tc>
                <w:tcPr>
                  <w:tcW w:w="213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6"/>
                    <w:widowControl w:val="0"/>
                    <w:spacing w:before="0" w:beforeAutospacing="0" w:after="0" w:afterAutospacing="0"/>
                    <w:jc w:val="center"/>
                    <w:rPr>
                      <w:sz w:val="21"/>
                      <w:szCs w:val="21"/>
                    </w:rPr>
                  </w:pPr>
                  <w:r>
                    <w:rPr>
                      <w:rFonts w:hint="eastAsia"/>
                      <w:sz w:val="21"/>
                      <w:szCs w:val="21"/>
                    </w:rPr>
                    <w:t>本项目不涉及地下水开采，废水循环使用，符合资源开发</w:t>
                  </w:r>
                </w:p>
              </w:tc>
              <w:tc>
                <w:tcPr>
                  <w:tcW w:w="140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6"/>
                    <w:widowControl w:val="0"/>
                    <w:spacing w:before="0" w:beforeAutospacing="0" w:after="0" w:afterAutospacing="0"/>
                    <w:jc w:val="center"/>
                    <w:rPr>
                      <w:sz w:val="21"/>
                      <w:szCs w:val="21"/>
                    </w:rPr>
                  </w:pPr>
                  <w:r>
                    <w:rPr>
                      <w:rFonts w:hint="eastAsia" w:ascii="Times New Roman" w:hAnsi="Times New Roman" w:cs="宋体"/>
                      <w:kern w:val="2"/>
                      <w:sz w:val="21"/>
                      <w:szCs w:val="21"/>
                      <w:lang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103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szCs w:val="21"/>
                    </w:rPr>
                  </w:pPr>
                </w:p>
              </w:tc>
              <w:tc>
                <w:tcPr>
                  <w:tcW w:w="93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36"/>
                    <w:widowControl w:val="0"/>
                    <w:spacing w:before="0" w:beforeAutospacing="0" w:after="0" w:afterAutospacing="0"/>
                    <w:jc w:val="center"/>
                    <w:rPr>
                      <w:sz w:val="21"/>
                      <w:szCs w:val="21"/>
                    </w:rPr>
                  </w:pPr>
                  <w:r>
                    <w:rPr>
                      <w:rFonts w:hint="eastAsia" w:ascii="Times New Roman" w:hAnsi="Times New Roman" w:cs="宋体"/>
                      <w:kern w:val="2"/>
                      <w:sz w:val="21"/>
                      <w:szCs w:val="21"/>
                      <w:lang w:bidi="ar"/>
                    </w:rPr>
                    <w:t>单元级清单管控要求</w:t>
                  </w:r>
                </w:p>
              </w:tc>
              <w:tc>
                <w:tcPr>
                  <w:tcW w:w="107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6"/>
                    <w:widowControl w:val="0"/>
                    <w:spacing w:before="0" w:beforeAutospacing="0" w:after="0" w:afterAutospacing="0"/>
                    <w:jc w:val="center"/>
                    <w:rPr>
                      <w:sz w:val="21"/>
                      <w:szCs w:val="21"/>
                    </w:rPr>
                  </w:pPr>
                  <w:r>
                    <w:rPr>
                      <w:rFonts w:hint="eastAsia" w:ascii="Times New Roman" w:hAnsi="Times New Roman" w:cs="宋体"/>
                      <w:kern w:val="2"/>
                      <w:sz w:val="21"/>
                      <w:szCs w:val="21"/>
                      <w:lang w:bidi="ar"/>
                    </w:rPr>
                    <w:t>空间布局约束</w:t>
                  </w:r>
                </w:p>
              </w:tc>
              <w:tc>
                <w:tcPr>
                  <w:tcW w:w="734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6"/>
                    <w:widowControl w:val="0"/>
                    <w:spacing w:before="0" w:beforeAutospacing="0" w:after="0" w:afterAutospacing="0"/>
                    <w:jc w:val="both"/>
                    <w:rPr>
                      <w:sz w:val="21"/>
                      <w:szCs w:val="21"/>
                    </w:rPr>
                  </w:pPr>
                  <w:r>
                    <w:rPr>
                      <w:rFonts w:hint="eastAsia"/>
                      <w:sz w:val="21"/>
                      <w:szCs w:val="21"/>
                    </w:rPr>
                    <w:t>禁止开发建设活动的要求</w:t>
                  </w:r>
                </w:p>
                <w:p>
                  <w:pPr>
                    <w:pStyle w:val="36"/>
                    <w:widowControl w:val="0"/>
                    <w:spacing w:before="0" w:beforeAutospacing="0" w:after="0" w:afterAutospacing="0"/>
                    <w:jc w:val="both"/>
                    <w:rPr>
                      <w:sz w:val="21"/>
                      <w:szCs w:val="21"/>
                    </w:rPr>
                  </w:pPr>
                  <w:r>
                    <w:rPr>
                      <w:rFonts w:hint="eastAsia"/>
                      <w:sz w:val="21"/>
                      <w:szCs w:val="21"/>
                    </w:rPr>
                    <w:t>执行达州市要素重点管控单元总体准入要求</w:t>
                  </w:r>
                </w:p>
                <w:p>
                  <w:pPr>
                    <w:pStyle w:val="36"/>
                    <w:widowControl w:val="0"/>
                    <w:spacing w:before="0" w:beforeAutospacing="0" w:after="0" w:afterAutospacing="0"/>
                    <w:jc w:val="both"/>
                    <w:rPr>
                      <w:sz w:val="21"/>
                      <w:szCs w:val="21"/>
                    </w:rPr>
                  </w:pPr>
                  <w:r>
                    <w:rPr>
                      <w:rFonts w:hint="eastAsia"/>
                      <w:sz w:val="21"/>
                      <w:szCs w:val="21"/>
                    </w:rPr>
                    <w:t>限制开发建设活动的要求</w:t>
                  </w:r>
                </w:p>
                <w:p>
                  <w:pPr>
                    <w:pStyle w:val="36"/>
                    <w:widowControl w:val="0"/>
                    <w:spacing w:before="0" w:beforeAutospacing="0" w:after="0" w:afterAutospacing="0"/>
                    <w:jc w:val="both"/>
                    <w:rPr>
                      <w:sz w:val="21"/>
                      <w:szCs w:val="21"/>
                    </w:rPr>
                  </w:pPr>
                  <w:r>
                    <w:rPr>
                      <w:rFonts w:hint="eastAsia"/>
                      <w:sz w:val="21"/>
                      <w:szCs w:val="21"/>
                    </w:rPr>
                    <w:t>执行达州市要素重点管控单元总体准入要求</w:t>
                  </w:r>
                </w:p>
                <w:p>
                  <w:pPr>
                    <w:pStyle w:val="36"/>
                    <w:widowControl w:val="0"/>
                    <w:spacing w:before="0" w:beforeAutospacing="0" w:after="0" w:afterAutospacing="0"/>
                    <w:jc w:val="both"/>
                    <w:rPr>
                      <w:sz w:val="21"/>
                      <w:szCs w:val="21"/>
                    </w:rPr>
                  </w:pPr>
                  <w:r>
                    <w:rPr>
                      <w:rFonts w:hint="eastAsia"/>
                      <w:sz w:val="21"/>
                      <w:szCs w:val="21"/>
                    </w:rPr>
                    <w:t>允许开发建设活动的要求</w:t>
                  </w:r>
                </w:p>
                <w:p>
                  <w:pPr>
                    <w:pStyle w:val="36"/>
                    <w:widowControl w:val="0"/>
                    <w:spacing w:before="0" w:beforeAutospacing="0" w:after="0" w:afterAutospacing="0"/>
                    <w:jc w:val="both"/>
                    <w:rPr>
                      <w:sz w:val="21"/>
                      <w:szCs w:val="21"/>
                    </w:rPr>
                  </w:pPr>
                  <w:r>
                    <w:rPr>
                      <w:rFonts w:hint="eastAsia"/>
                      <w:sz w:val="21"/>
                      <w:szCs w:val="21"/>
                    </w:rPr>
                    <w:t>不符合空间布局要求活动的退出要求</w:t>
                  </w:r>
                </w:p>
                <w:p>
                  <w:pPr>
                    <w:pStyle w:val="36"/>
                    <w:widowControl w:val="0"/>
                    <w:spacing w:before="0" w:beforeAutospacing="0" w:after="0" w:afterAutospacing="0"/>
                    <w:jc w:val="both"/>
                    <w:rPr>
                      <w:sz w:val="21"/>
                      <w:szCs w:val="21"/>
                    </w:rPr>
                  </w:pPr>
                  <w:r>
                    <w:rPr>
                      <w:rFonts w:hint="eastAsia"/>
                      <w:sz w:val="21"/>
                      <w:szCs w:val="21"/>
                    </w:rPr>
                    <w:t>位于城镇空间外的工业园区外工业企业：具有合法手续的企业，且污染物排放及环境风险满足管理要求的企业，可继续保留，要求污染物排放只降不增，并进一步加强日常环保监管；严控新（扩）建水泥厂、危废焚烧、陶瓷厂等以大气污染为主的企业；不具备合法手续，或污染物排放超标、环境风险不可控的企业，限期进行整改提升，通过环保、安全、工艺装备升级等落实整改措施并达到相关标准实现合法生产，整改后仍不能达到要求的，属地政府应按相关要求责令关停并退出其它同要素重点总体准入要求</w:t>
                  </w:r>
                </w:p>
                <w:p>
                  <w:pPr>
                    <w:pStyle w:val="36"/>
                    <w:widowControl w:val="0"/>
                    <w:spacing w:before="0" w:beforeAutospacing="0" w:after="0" w:afterAutospacing="0"/>
                    <w:jc w:val="both"/>
                    <w:rPr>
                      <w:sz w:val="21"/>
                      <w:szCs w:val="21"/>
                    </w:rPr>
                  </w:pPr>
                  <w:r>
                    <w:rPr>
                      <w:rFonts w:hint="eastAsia"/>
                      <w:sz w:val="21"/>
                      <w:szCs w:val="21"/>
                    </w:rPr>
                    <w:t>其他空间布局约束要求</w:t>
                  </w:r>
                </w:p>
              </w:tc>
              <w:tc>
                <w:tcPr>
                  <w:tcW w:w="213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6"/>
                    <w:widowControl w:val="0"/>
                    <w:spacing w:before="0" w:beforeAutospacing="0" w:after="0" w:afterAutospacing="0"/>
                    <w:jc w:val="center"/>
                    <w:rPr>
                      <w:sz w:val="21"/>
                      <w:szCs w:val="21"/>
                    </w:rPr>
                  </w:pPr>
                  <w:r>
                    <w:rPr>
                      <w:rFonts w:hint="eastAsia"/>
                      <w:sz w:val="21"/>
                      <w:szCs w:val="21"/>
                    </w:rPr>
                    <w:t>项目</w:t>
                  </w:r>
                  <w:r>
                    <w:rPr>
                      <w:sz w:val="21"/>
                      <w:szCs w:val="21"/>
                    </w:rPr>
                    <w:t>位于</w:t>
                  </w:r>
                  <w:r>
                    <w:rPr>
                      <w:rFonts w:hint="eastAsia"/>
                      <w:sz w:val="21"/>
                      <w:szCs w:val="21"/>
                    </w:rPr>
                    <w:t>四川省达州市通川区北山镇苏坪村6组，属于</w:t>
                  </w:r>
                  <w:r>
                    <w:rPr>
                      <w:sz w:val="21"/>
                      <w:szCs w:val="21"/>
                    </w:rPr>
                    <w:t>重点管控单元，</w:t>
                  </w:r>
                  <w:r>
                    <w:rPr>
                      <w:rFonts w:hint="eastAsia"/>
                      <w:sz w:val="21"/>
                      <w:szCs w:val="21"/>
                    </w:rPr>
                    <w:t>不属于</w:t>
                  </w:r>
                  <w:r>
                    <w:rPr>
                      <w:sz w:val="21"/>
                      <w:szCs w:val="21"/>
                    </w:rPr>
                    <w:t>禁止开发建设活动</w:t>
                  </w:r>
                </w:p>
              </w:tc>
              <w:tc>
                <w:tcPr>
                  <w:tcW w:w="140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6"/>
                    <w:widowControl w:val="0"/>
                    <w:spacing w:before="0" w:beforeAutospacing="0" w:after="0" w:afterAutospacing="0"/>
                    <w:jc w:val="center"/>
                    <w:rPr>
                      <w:sz w:val="21"/>
                      <w:szCs w:val="21"/>
                    </w:rPr>
                  </w:pPr>
                  <w:r>
                    <w:rPr>
                      <w:rFonts w:hint="eastAsia" w:ascii="Times New Roman" w:hAnsi="Times New Roman" w:cs="宋体"/>
                      <w:kern w:val="2"/>
                      <w:sz w:val="21"/>
                      <w:szCs w:val="21"/>
                      <w:lang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103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szCs w:val="21"/>
                    </w:rPr>
                  </w:pPr>
                </w:p>
              </w:tc>
              <w:tc>
                <w:tcPr>
                  <w:tcW w:w="93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szCs w:val="21"/>
                    </w:rPr>
                  </w:pPr>
                </w:p>
              </w:tc>
              <w:tc>
                <w:tcPr>
                  <w:tcW w:w="107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6"/>
                    <w:widowControl w:val="0"/>
                    <w:spacing w:before="0" w:beforeAutospacing="0" w:after="0" w:afterAutospacing="0"/>
                    <w:jc w:val="center"/>
                    <w:rPr>
                      <w:sz w:val="21"/>
                      <w:szCs w:val="21"/>
                    </w:rPr>
                  </w:pPr>
                  <w:r>
                    <w:rPr>
                      <w:rFonts w:hint="eastAsia" w:ascii="Times New Roman" w:hAnsi="Times New Roman" w:cs="宋体"/>
                      <w:kern w:val="2"/>
                      <w:sz w:val="21"/>
                      <w:szCs w:val="21"/>
                      <w:lang w:bidi="ar"/>
                    </w:rPr>
                    <w:t>污染物排放管控</w:t>
                  </w:r>
                </w:p>
              </w:tc>
              <w:tc>
                <w:tcPr>
                  <w:tcW w:w="734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6"/>
                    <w:shd w:val="clear" w:color="auto" w:fill="FFFFFF"/>
                    <w:spacing w:before="0" w:beforeAutospacing="0" w:after="0" w:afterAutospacing="0"/>
                    <w:rPr>
                      <w:rFonts w:cs="宋体"/>
                      <w:sz w:val="21"/>
                      <w:szCs w:val="21"/>
                      <w:shd w:val="clear" w:color="auto" w:fill="FFFFFF"/>
                    </w:rPr>
                  </w:pPr>
                  <w:r>
                    <w:rPr>
                      <w:rFonts w:hint="eastAsia" w:cs="宋体"/>
                      <w:kern w:val="2"/>
                      <w:sz w:val="21"/>
                      <w:szCs w:val="21"/>
                      <w:shd w:val="clear" w:color="auto" w:fill="FFFFFF"/>
                      <w:lang w:bidi="ar"/>
                    </w:rPr>
                    <w:t>现有源提标升级改造</w:t>
                  </w:r>
                </w:p>
                <w:p>
                  <w:pPr>
                    <w:pStyle w:val="36"/>
                    <w:shd w:val="clear" w:color="auto" w:fill="FFFFFF"/>
                    <w:spacing w:before="0" w:beforeAutospacing="0" w:after="0" w:afterAutospacing="0"/>
                    <w:rPr>
                      <w:rFonts w:cs="宋体"/>
                      <w:sz w:val="21"/>
                      <w:szCs w:val="21"/>
                      <w:shd w:val="clear" w:color="auto" w:fill="FFFFFF"/>
                    </w:rPr>
                  </w:pPr>
                  <w:r>
                    <w:rPr>
                      <w:rFonts w:hint="eastAsia" w:cs="宋体"/>
                      <w:kern w:val="2"/>
                      <w:sz w:val="21"/>
                      <w:szCs w:val="21"/>
                      <w:shd w:val="clear" w:color="auto" w:fill="FFFFFF"/>
                      <w:lang w:bidi="ar"/>
                    </w:rPr>
                    <w:t>同达州市要素重点管控单元总体准入要求</w:t>
                  </w:r>
                </w:p>
                <w:p>
                  <w:pPr>
                    <w:pStyle w:val="36"/>
                    <w:shd w:val="clear" w:color="auto" w:fill="FFFFFF"/>
                    <w:spacing w:before="0" w:beforeAutospacing="0" w:after="0" w:afterAutospacing="0"/>
                    <w:rPr>
                      <w:rFonts w:cs="宋体"/>
                      <w:sz w:val="21"/>
                      <w:szCs w:val="21"/>
                      <w:shd w:val="clear" w:color="auto" w:fill="FFFFFF"/>
                    </w:rPr>
                  </w:pPr>
                  <w:r>
                    <w:rPr>
                      <w:rFonts w:hint="eastAsia" w:cs="宋体"/>
                      <w:kern w:val="2"/>
                      <w:sz w:val="21"/>
                      <w:szCs w:val="21"/>
                      <w:shd w:val="clear" w:color="auto" w:fill="FFFFFF"/>
                      <w:lang w:bidi="ar"/>
                    </w:rPr>
                    <w:t>新增源等量或倍量替代</w:t>
                  </w:r>
                </w:p>
                <w:p>
                  <w:pPr>
                    <w:pStyle w:val="36"/>
                    <w:shd w:val="clear" w:color="auto" w:fill="FFFFFF"/>
                    <w:spacing w:before="0" w:beforeAutospacing="0" w:after="0" w:afterAutospacing="0"/>
                    <w:rPr>
                      <w:rFonts w:cs="宋体"/>
                      <w:sz w:val="21"/>
                      <w:szCs w:val="21"/>
                      <w:shd w:val="clear" w:color="auto" w:fill="FFFFFF"/>
                    </w:rPr>
                  </w:pPr>
                  <w:r>
                    <w:rPr>
                      <w:rFonts w:hint="eastAsia" w:cs="宋体"/>
                      <w:kern w:val="2"/>
                      <w:sz w:val="21"/>
                      <w:szCs w:val="21"/>
                      <w:shd w:val="clear" w:color="auto" w:fill="FFFFFF"/>
                      <w:lang w:bidi="ar"/>
                    </w:rPr>
                    <w:t>通川区全域属于四川省大气污染防治重点区域，执行大气污染物特别排放限值。其他同达州市要素重点管控单元总体准入要求</w:t>
                  </w:r>
                </w:p>
                <w:p>
                  <w:pPr>
                    <w:pStyle w:val="36"/>
                    <w:shd w:val="clear" w:color="auto" w:fill="FFFFFF"/>
                    <w:spacing w:before="0" w:beforeAutospacing="0" w:after="0" w:afterAutospacing="0"/>
                    <w:rPr>
                      <w:rFonts w:cs="宋体"/>
                      <w:sz w:val="21"/>
                      <w:szCs w:val="21"/>
                      <w:shd w:val="clear" w:color="auto" w:fill="FFFFFF"/>
                    </w:rPr>
                  </w:pPr>
                  <w:r>
                    <w:rPr>
                      <w:rFonts w:hint="eastAsia" w:cs="宋体"/>
                      <w:kern w:val="2"/>
                      <w:sz w:val="21"/>
                      <w:szCs w:val="21"/>
                      <w:shd w:val="clear" w:color="auto" w:fill="FFFFFF"/>
                      <w:lang w:bidi="ar"/>
                    </w:rPr>
                    <w:t>新增源排放标准限值</w:t>
                  </w:r>
                </w:p>
                <w:p>
                  <w:pPr>
                    <w:pStyle w:val="36"/>
                    <w:shd w:val="clear" w:color="auto" w:fill="FFFFFF"/>
                    <w:spacing w:before="0" w:beforeAutospacing="0" w:after="0" w:afterAutospacing="0"/>
                    <w:rPr>
                      <w:rFonts w:cs="宋体"/>
                      <w:sz w:val="21"/>
                      <w:szCs w:val="21"/>
                      <w:shd w:val="clear" w:color="auto" w:fill="FFFFFF"/>
                    </w:rPr>
                  </w:pPr>
                  <w:r>
                    <w:rPr>
                      <w:rFonts w:hint="eastAsia" w:cs="宋体"/>
                      <w:kern w:val="2"/>
                      <w:sz w:val="21"/>
                      <w:szCs w:val="21"/>
                      <w:shd w:val="clear" w:color="auto" w:fill="FFFFFF"/>
                      <w:lang w:bidi="ar"/>
                    </w:rPr>
                    <w:t>通川区全域属于四川省大气污染防治重点区域，执行大气污染物特别排放限值。其他同达州市要素重点总体准入要求</w:t>
                  </w:r>
                </w:p>
                <w:p>
                  <w:pPr>
                    <w:pStyle w:val="36"/>
                    <w:shd w:val="clear" w:color="auto" w:fill="FFFFFF"/>
                    <w:spacing w:before="0" w:beforeAutospacing="0" w:after="0" w:afterAutospacing="0"/>
                    <w:rPr>
                      <w:rFonts w:cs="宋体"/>
                      <w:sz w:val="21"/>
                      <w:szCs w:val="21"/>
                      <w:shd w:val="clear" w:color="auto" w:fill="FFFFFF"/>
                    </w:rPr>
                  </w:pPr>
                  <w:r>
                    <w:rPr>
                      <w:rFonts w:hint="eastAsia" w:cs="宋体"/>
                      <w:kern w:val="2"/>
                      <w:sz w:val="21"/>
                      <w:szCs w:val="21"/>
                      <w:shd w:val="clear" w:color="auto" w:fill="FFFFFF"/>
                      <w:lang w:bidi="ar"/>
                    </w:rPr>
                    <w:t>污染物排放绩效水平准入要求</w:t>
                  </w:r>
                </w:p>
                <w:p>
                  <w:pPr>
                    <w:pStyle w:val="36"/>
                    <w:shd w:val="clear" w:color="auto" w:fill="FFFFFF"/>
                    <w:spacing w:before="0" w:beforeAutospacing="0" w:after="0" w:afterAutospacing="0"/>
                    <w:rPr>
                      <w:rFonts w:cs="宋体"/>
                      <w:sz w:val="21"/>
                      <w:szCs w:val="21"/>
                      <w:shd w:val="clear" w:color="auto" w:fill="FFFFFF"/>
                    </w:rPr>
                  </w:pPr>
                  <w:r>
                    <w:rPr>
                      <w:rFonts w:hint="eastAsia" w:cs="宋体"/>
                      <w:kern w:val="2"/>
                      <w:sz w:val="21"/>
                      <w:szCs w:val="21"/>
                      <w:shd w:val="clear" w:color="auto" w:fill="FFFFFF"/>
                      <w:lang w:bidi="ar"/>
                    </w:rPr>
                    <w:t>国电达州发电有限公司执行超低排放，加强污染治理设施日常运行管理，确保稳定达标排放。大气环境布局敏感重点管控区内，现有砖瓦厂、混凝土及制品等大气污染重点企业，限期进行深度治理或关停并转。其他同达州市要素重点总体准入要求</w:t>
                  </w:r>
                </w:p>
                <w:p>
                  <w:pPr>
                    <w:widowControl/>
                    <w:jc w:val="left"/>
                    <w:rPr>
                      <w:szCs w:val="21"/>
                    </w:rPr>
                  </w:pPr>
                  <w:r>
                    <w:rPr>
                      <w:rFonts w:hint="eastAsia" w:ascii="宋体" w:hAnsi="宋体"/>
                      <w:szCs w:val="21"/>
                      <w:lang w:bidi="ar"/>
                    </w:rPr>
                    <w:t>其他污染物排放管控要求</w:t>
                  </w:r>
                </w:p>
              </w:tc>
              <w:tc>
                <w:tcPr>
                  <w:tcW w:w="213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6"/>
                    <w:widowControl w:val="0"/>
                    <w:spacing w:before="0" w:beforeAutospacing="0" w:after="0" w:afterAutospacing="0"/>
                    <w:jc w:val="center"/>
                    <w:rPr>
                      <w:sz w:val="21"/>
                      <w:szCs w:val="21"/>
                    </w:rPr>
                  </w:pPr>
                  <w:r>
                    <w:rPr>
                      <w:rFonts w:hint="eastAsia"/>
                      <w:sz w:val="21"/>
                      <w:szCs w:val="21"/>
                    </w:rPr>
                    <w:t>项目废水</w:t>
                  </w:r>
                  <w:r>
                    <w:rPr>
                      <w:sz w:val="21"/>
                      <w:szCs w:val="21"/>
                    </w:rPr>
                    <w:t>收集后交由四川瑞利生物科技有限公司处置，</w:t>
                  </w:r>
                  <w:r>
                    <w:rPr>
                      <w:rFonts w:hint="eastAsia"/>
                      <w:sz w:val="21"/>
                      <w:szCs w:val="21"/>
                    </w:rPr>
                    <w:t>岩屑按照《达州市生态环境局办公室关于进一步加强固体废物污染防治工作的通知》（达市环办发〔2021〕24号）要求就近交给依法取得生态环境部门关于利用和处置相关工业固体废物项目环评批复、具有处理处置相应固体废物能力并配套建设有废气、废水、固废等污染物治理设施的单位进行资源化利用，</w:t>
                  </w:r>
                  <w:r>
                    <w:rPr>
                      <w:sz w:val="21"/>
                      <w:szCs w:val="21"/>
                    </w:rPr>
                    <w:t>采用网电钻井，废气污染物产生较小，项目施工时间</w:t>
                  </w:r>
                  <w:r>
                    <w:rPr>
                      <w:rFonts w:hint="eastAsia"/>
                      <w:sz w:val="21"/>
                      <w:szCs w:val="21"/>
                    </w:rPr>
                    <w:t>短</w:t>
                  </w:r>
                  <w:r>
                    <w:rPr>
                      <w:sz w:val="21"/>
                      <w:szCs w:val="21"/>
                    </w:rPr>
                    <w:t>，施工结束后噪声影响</w:t>
                  </w:r>
                  <w:r>
                    <w:rPr>
                      <w:rFonts w:hint="eastAsia"/>
                      <w:sz w:val="21"/>
                      <w:szCs w:val="21"/>
                    </w:rPr>
                    <w:t>消失</w:t>
                  </w:r>
                  <w:r>
                    <w:rPr>
                      <w:sz w:val="21"/>
                      <w:szCs w:val="21"/>
                    </w:rPr>
                    <w:t>，因此符合污染物排放管控</w:t>
                  </w:r>
                </w:p>
              </w:tc>
              <w:tc>
                <w:tcPr>
                  <w:tcW w:w="140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6"/>
                    <w:widowControl w:val="0"/>
                    <w:spacing w:before="0" w:beforeAutospacing="0" w:after="0" w:afterAutospacing="0"/>
                    <w:jc w:val="center"/>
                    <w:rPr>
                      <w:sz w:val="21"/>
                      <w:szCs w:val="21"/>
                    </w:rPr>
                  </w:pPr>
                  <w:r>
                    <w:rPr>
                      <w:rFonts w:hint="eastAsia" w:ascii="Times New Roman" w:hAnsi="Times New Roman" w:cs="宋体"/>
                      <w:kern w:val="2"/>
                      <w:sz w:val="21"/>
                      <w:szCs w:val="21"/>
                      <w:lang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103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szCs w:val="21"/>
                    </w:rPr>
                  </w:pPr>
                </w:p>
              </w:tc>
              <w:tc>
                <w:tcPr>
                  <w:tcW w:w="93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szCs w:val="21"/>
                    </w:rPr>
                  </w:pPr>
                </w:p>
              </w:tc>
              <w:tc>
                <w:tcPr>
                  <w:tcW w:w="107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6"/>
                    <w:widowControl w:val="0"/>
                    <w:spacing w:before="0" w:beforeAutospacing="0" w:after="0" w:afterAutospacing="0"/>
                    <w:jc w:val="center"/>
                    <w:rPr>
                      <w:sz w:val="21"/>
                      <w:szCs w:val="21"/>
                    </w:rPr>
                  </w:pPr>
                  <w:r>
                    <w:rPr>
                      <w:rFonts w:hint="eastAsia" w:ascii="Times New Roman" w:hAnsi="Times New Roman" w:cs="宋体"/>
                      <w:kern w:val="2"/>
                      <w:sz w:val="21"/>
                      <w:szCs w:val="21"/>
                      <w:lang w:bidi="ar"/>
                    </w:rPr>
                    <w:t>环境风险防控</w:t>
                  </w:r>
                </w:p>
              </w:tc>
              <w:tc>
                <w:tcPr>
                  <w:tcW w:w="734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6"/>
                    <w:widowControl w:val="0"/>
                    <w:spacing w:before="0" w:beforeAutospacing="0" w:after="0" w:afterAutospacing="0"/>
                    <w:jc w:val="both"/>
                    <w:rPr>
                      <w:sz w:val="21"/>
                      <w:szCs w:val="21"/>
                    </w:rPr>
                  </w:pPr>
                  <w:r>
                    <w:rPr>
                      <w:rFonts w:hint="eastAsia"/>
                      <w:sz w:val="21"/>
                      <w:szCs w:val="21"/>
                    </w:rPr>
                    <w:t>严格管控类农用地管控要求</w:t>
                  </w:r>
                </w:p>
                <w:p>
                  <w:pPr>
                    <w:pStyle w:val="36"/>
                    <w:widowControl w:val="0"/>
                    <w:spacing w:before="0" w:beforeAutospacing="0" w:after="0" w:afterAutospacing="0"/>
                    <w:jc w:val="both"/>
                    <w:rPr>
                      <w:sz w:val="21"/>
                      <w:szCs w:val="21"/>
                    </w:rPr>
                  </w:pPr>
                  <w:r>
                    <w:rPr>
                      <w:rFonts w:hint="eastAsia"/>
                      <w:sz w:val="21"/>
                      <w:szCs w:val="21"/>
                    </w:rPr>
                    <w:t>同达州市要素重点管控单元总体准入要求</w:t>
                  </w:r>
                </w:p>
                <w:p>
                  <w:pPr>
                    <w:pStyle w:val="36"/>
                    <w:widowControl w:val="0"/>
                    <w:spacing w:before="0" w:beforeAutospacing="0" w:after="0" w:afterAutospacing="0"/>
                    <w:jc w:val="both"/>
                    <w:rPr>
                      <w:sz w:val="21"/>
                      <w:szCs w:val="21"/>
                    </w:rPr>
                  </w:pPr>
                  <w:r>
                    <w:rPr>
                      <w:rFonts w:hint="eastAsia"/>
                      <w:sz w:val="21"/>
                      <w:szCs w:val="21"/>
                    </w:rPr>
                    <w:t>安全利用类农用地管控要求</w:t>
                  </w:r>
                </w:p>
                <w:p>
                  <w:pPr>
                    <w:pStyle w:val="36"/>
                    <w:widowControl w:val="0"/>
                    <w:spacing w:before="0" w:beforeAutospacing="0" w:after="0" w:afterAutospacing="0"/>
                    <w:jc w:val="both"/>
                    <w:rPr>
                      <w:sz w:val="21"/>
                      <w:szCs w:val="21"/>
                    </w:rPr>
                  </w:pPr>
                  <w:r>
                    <w:rPr>
                      <w:rFonts w:hint="eastAsia"/>
                      <w:sz w:val="21"/>
                      <w:szCs w:val="21"/>
                    </w:rPr>
                    <w:t>同达州市要素重点管控单元总体准入要求</w:t>
                  </w:r>
                </w:p>
                <w:p>
                  <w:pPr>
                    <w:pStyle w:val="36"/>
                    <w:widowControl w:val="0"/>
                    <w:spacing w:before="0" w:beforeAutospacing="0" w:after="0" w:afterAutospacing="0"/>
                    <w:jc w:val="both"/>
                    <w:rPr>
                      <w:sz w:val="21"/>
                      <w:szCs w:val="21"/>
                    </w:rPr>
                  </w:pPr>
                  <w:r>
                    <w:rPr>
                      <w:rFonts w:hint="eastAsia"/>
                      <w:sz w:val="21"/>
                      <w:szCs w:val="21"/>
                    </w:rPr>
                    <w:t>污染地块管控要求</w:t>
                  </w:r>
                </w:p>
                <w:p>
                  <w:pPr>
                    <w:pStyle w:val="36"/>
                    <w:widowControl w:val="0"/>
                    <w:spacing w:before="0" w:beforeAutospacing="0" w:after="0" w:afterAutospacing="0"/>
                    <w:jc w:val="both"/>
                    <w:rPr>
                      <w:sz w:val="21"/>
                      <w:szCs w:val="21"/>
                    </w:rPr>
                  </w:pPr>
                  <w:r>
                    <w:rPr>
                      <w:rFonts w:hint="eastAsia"/>
                      <w:sz w:val="21"/>
                      <w:szCs w:val="21"/>
                    </w:rPr>
                    <w:t>同达州市要素重点管控单元总体准入要求</w:t>
                  </w:r>
                </w:p>
                <w:p>
                  <w:pPr>
                    <w:pStyle w:val="36"/>
                    <w:widowControl w:val="0"/>
                    <w:spacing w:before="0" w:beforeAutospacing="0" w:after="0" w:afterAutospacing="0"/>
                    <w:jc w:val="both"/>
                    <w:rPr>
                      <w:sz w:val="21"/>
                      <w:szCs w:val="21"/>
                    </w:rPr>
                  </w:pPr>
                  <w:r>
                    <w:rPr>
                      <w:rFonts w:hint="eastAsia"/>
                      <w:sz w:val="21"/>
                      <w:szCs w:val="21"/>
                    </w:rPr>
                    <w:t>园区环境风险防控要求</w:t>
                  </w:r>
                </w:p>
                <w:p>
                  <w:pPr>
                    <w:pStyle w:val="36"/>
                    <w:widowControl w:val="0"/>
                    <w:spacing w:before="0" w:beforeAutospacing="0" w:after="0" w:afterAutospacing="0"/>
                    <w:jc w:val="both"/>
                    <w:rPr>
                      <w:sz w:val="21"/>
                      <w:szCs w:val="21"/>
                    </w:rPr>
                  </w:pPr>
                  <w:r>
                    <w:rPr>
                      <w:rFonts w:hint="eastAsia"/>
                      <w:sz w:val="21"/>
                      <w:szCs w:val="21"/>
                    </w:rPr>
                    <w:t>企业环境风险防控要求</w:t>
                  </w:r>
                </w:p>
                <w:p>
                  <w:pPr>
                    <w:pStyle w:val="36"/>
                    <w:widowControl w:val="0"/>
                    <w:spacing w:before="0" w:beforeAutospacing="0" w:after="0" w:afterAutospacing="0"/>
                    <w:jc w:val="both"/>
                    <w:rPr>
                      <w:sz w:val="21"/>
                      <w:szCs w:val="21"/>
                    </w:rPr>
                  </w:pPr>
                  <w:r>
                    <w:rPr>
                      <w:rFonts w:hint="eastAsia"/>
                      <w:sz w:val="21"/>
                      <w:szCs w:val="21"/>
                    </w:rPr>
                    <w:t>同达州市要素重点管控单元总体准入要求</w:t>
                  </w:r>
                </w:p>
                <w:p>
                  <w:pPr>
                    <w:pStyle w:val="36"/>
                    <w:widowControl w:val="0"/>
                    <w:spacing w:before="0" w:beforeAutospacing="0" w:after="0" w:afterAutospacing="0"/>
                    <w:jc w:val="both"/>
                    <w:rPr>
                      <w:sz w:val="21"/>
                      <w:szCs w:val="21"/>
                    </w:rPr>
                  </w:pPr>
                  <w:r>
                    <w:rPr>
                      <w:rFonts w:hint="eastAsia"/>
                      <w:sz w:val="21"/>
                      <w:szCs w:val="21"/>
                    </w:rPr>
                    <w:t>其他环境风险防控要求</w:t>
                  </w:r>
                </w:p>
              </w:tc>
              <w:tc>
                <w:tcPr>
                  <w:tcW w:w="213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6"/>
                    <w:widowControl w:val="0"/>
                    <w:spacing w:before="0" w:beforeAutospacing="0" w:after="0" w:afterAutospacing="0"/>
                    <w:jc w:val="center"/>
                    <w:rPr>
                      <w:sz w:val="21"/>
                      <w:szCs w:val="21"/>
                    </w:rPr>
                  </w:pPr>
                  <w:r>
                    <w:rPr>
                      <w:rFonts w:hint="eastAsia"/>
                      <w:sz w:val="21"/>
                      <w:szCs w:val="21"/>
                    </w:rPr>
                    <w:t>落实本评价相关风险措施后，本项目环境风险可控</w:t>
                  </w:r>
                </w:p>
              </w:tc>
              <w:tc>
                <w:tcPr>
                  <w:tcW w:w="140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6"/>
                    <w:widowControl w:val="0"/>
                    <w:spacing w:before="0" w:beforeAutospacing="0" w:after="0" w:afterAutospacing="0"/>
                    <w:jc w:val="center"/>
                    <w:rPr>
                      <w:sz w:val="21"/>
                      <w:szCs w:val="21"/>
                    </w:rPr>
                  </w:pPr>
                  <w:r>
                    <w:rPr>
                      <w:rFonts w:hint="eastAsia" w:ascii="Times New Roman" w:hAnsi="Times New Roman" w:cs="宋体"/>
                      <w:kern w:val="2"/>
                      <w:sz w:val="21"/>
                      <w:szCs w:val="21"/>
                      <w:lang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103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szCs w:val="21"/>
                    </w:rPr>
                  </w:pPr>
                </w:p>
              </w:tc>
              <w:tc>
                <w:tcPr>
                  <w:tcW w:w="93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szCs w:val="21"/>
                    </w:rPr>
                  </w:pPr>
                </w:p>
              </w:tc>
              <w:tc>
                <w:tcPr>
                  <w:tcW w:w="107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6"/>
                    <w:widowControl w:val="0"/>
                    <w:spacing w:before="0" w:beforeAutospacing="0" w:after="0" w:afterAutospacing="0"/>
                    <w:jc w:val="center"/>
                    <w:rPr>
                      <w:sz w:val="21"/>
                      <w:szCs w:val="21"/>
                    </w:rPr>
                  </w:pPr>
                  <w:r>
                    <w:rPr>
                      <w:rFonts w:hint="eastAsia" w:ascii="Times New Roman" w:hAnsi="Times New Roman" w:cs="宋体"/>
                      <w:kern w:val="2"/>
                      <w:sz w:val="21"/>
                      <w:szCs w:val="21"/>
                      <w:lang w:bidi="ar"/>
                    </w:rPr>
                    <w:t>资源开发利用效率</w:t>
                  </w:r>
                </w:p>
              </w:tc>
              <w:tc>
                <w:tcPr>
                  <w:tcW w:w="734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6"/>
                    <w:widowControl w:val="0"/>
                    <w:spacing w:before="0" w:beforeAutospacing="0" w:after="0" w:afterAutospacing="0"/>
                    <w:jc w:val="both"/>
                    <w:rPr>
                      <w:sz w:val="21"/>
                      <w:szCs w:val="21"/>
                    </w:rPr>
                  </w:pPr>
                  <w:r>
                    <w:rPr>
                      <w:rFonts w:hint="eastAsia"/>
                      <w:sz w:val="21"/>
                      <w:szCs w:val="21"/>
                    </w:rPr>
                    <w:t>水资源利用效率要求</w:t>
                  </w:r>
                </w:p>
                <w:p>
                  <w:pPr>
                    <w:pStyle w:val="36"/>
                    <w:widowControl w:val="0"/>
                    <w:spacing w:before="0" w:beforeAutospacing="0" w:after="0" w:afterAutospacing="0"/>
                    <w:jc w:val="both"/>
                    <w:rPr>
                      <w:sz w:val="21"/>
                      <w:szCs w:val="21"/>
                    </w:rPr>
                  </w:pPr>
                  <w:r>
                    <w:rPr>
                      <w:rFonts w:hint="eastAsia"/>
                      <w:sz w:val="21"/>
                      <w:szCs w:val="21"/>
                    </w:rPr>
                    <w:t>同达州市要素重点管控单元总体准入要求</w:t>
                  </w:r>
                </w:p>
                <w:p>
                  <w:pPr>
                    <w:pStyle w:val="36"/>
                    <w:widowControl w:val="0"/>
                    <w:spacing w:before="0" w:beforeAutospacing="0" w:after="0" w:afterAutospacing="0"/>
                    <w:jc w:val="both"/>
                    <w:rPr>
                      <w:sz w:val="21"/>
                      <w:szCs w:val="21"/>
                    </w:rPr>
                  </w:pPr>
                  <w:r>
                    <w:rPr>
                      <w:rFonts w:hint="eastAsia"/>
                      <w:sz w:val="21"/>
                      <w:szCs w:val="21"/>
                    </w:rPr>
                    <w:t>地下水开采要求</w:t>
                  </w:r>
                </w:p>
                <w:p>
                  <w:pPr>
                    <w:pStyle w:val="36"/>
                    <w:widowControl w:val="0"/>
                    <w:spacing w:before="0" w:beforeAutospacing="0" w:after="0" w:afterAutospacing="0"/>
                    <w:jc w:val="both"/>
                    <w:rPr>
                      <w:sz w:val="21"/>
                      <w:szCs w:val="21"/>
                    </w:rPr>
                  </w:pPr>
                  <w:r>
                    <w:rPr>
                      <w:rFonts w:hint="eastAsia"/>
                      <w:sz w:val="21"/>
                      <w:szCs w:val="21"/>
                    </w:rPr>
                    <w:t>同达州市要素重点管控单元总体准入要求</w:t>
                  </w:r>
                </w:p>
                <w:p>
                  <w:pPr>
                    <w:pStyle w:val="36"/>
                    <w:widowControl w:val="0"/>
                    <w:spacing w:before="0" w:beforeAutospacing="0" w:after="0" w:afterAutospacing="0"/>
                    <w:jc w:val="both"/>
                    <w:rPr>
                      <w:sz w:val="21"/>
                      <w:szCs w:val="21"/>
                    </w:rPr>
                  </w:pPr>
                  <w:r>
                    <w:rPr>
                      <w:rFonts w:hint="eastAsia"/>
                      <w:sz w:val="21"/>
                      <w:szCs w:val="21"/>
                    </w:rPr>
                    <w:t>能源利用效率要求</w:t>
                  </w:r>
                </w:p>
                <w:p>
                  <w:pPr>
                    <w:pStyle w:val="36"/>
                    <w:widowControl w:val="0"/>
                    <w:spacing w:before="0" w:beforeAutospacing="0" w:after="0" w:afterAutospacing="0"/>
                    <w:jc w:val="both"/>
                    <w:rPr>
                      <w:sz w:val="21"/>
                      <w:szCs w:val="21"/>
                    </w:rPr>
                  </w:pPr>
                  <w:r>
                    <w:rPr>
                      <w:rFonts w:hint="eastAsia"/>
                      <w:sz w:val="21"/>
                      <w:szCs w:val="21"/>
                    </w:rPr>
                    <w:t>同达州市要素重点管控单元总体准入要求</w:t>
                  </w:r>
                </w:p>
                <w:p>
                  <w:pPr>
                    <w:pStyle w:val="36"/>
                    <w:widowControl w:val="0"/>
                    <w:spacing w:before="0" w:beforeAutospacing="0" w:after="0" w:afterAutospacing="0"/>
                    <w:jc w:val="both"/>
                    <w:rPr>
                      <w:sz w:val="21"/>
                      <w:szCs w:val="21"/>
                    </w:rPr>
                  </w:pPr>
                  <w:r>
                    <w:rPr>
                      <w:rFonts w:hint="eastAsia"/>
                      <w:sz w:val="21"/>
                      <w:szCs w:val="21"/>
                    </w:rPr>
                    <w:t>其他资源利用效率要求</w:t>
                  </w:r>
                </w:p>
                <w:p>
                  <w:pPr>
                    <w:pStyle w:val="36"/>
                    <w:widowControl w:val="0"/>
                    <w:spacing w:before="0" w:beforeAutospacing="0" w:after="0" w:afterAutospacing="0"/>
                    <w:jc w:val="both"/>
                    <w:rPr>
                      <w:sz w:val="21"/>
                      <w:szCs w:val="21"/>
                    </w:rPr>
                  </w:pPr>
                  <w:r>
                    <w:rPr>
                      <w:rFonts w:hint="eastAsia"/>
                      <w:sz w:val="21"/>
                      <w:szCs w:val="21"/>
                    </w:rPr>
                    <w:t>禁燃区要求：同达州市要素重点总体准入要求</w:t>
                  </w:r>
                </w:p>
              </w:tc>
              <w:tc>
                <w:tcPr>
                  <w:tcW w:w="213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6"/>
                    <w:widowControl w:val="0"/>
                    <w:spacing w:before="0" w:beforeAutospacing="0" w:after="0" w:afterAutospacing="0"/>
                    <w:jc w:val="center"/>
                    <w:rPr>
                      <w:sz w:val="21"/>
                      <w:szCs w:val="21"/>
                    </w:rPr>
                  </w:pPr>
                  <w:r>
                    <w:rPr>
                      <w:rFonts w:hint="eastAsia"/>
                      <w:sz w:val="21"/>
                      <w:szCs w:val="21"/>
                    </w:rPr>
                    <w:t>本项目不涉及地下水开采，废水循环使用，符合资源开发</w:t>
                  </w:r>
                </w:p>
              </w:tc>
              <w:tc>
                <w:tcPr>
                  <w:tcW w:w="140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6"/>
                    <w:widowControl w:val="0"/>
                    <w:spacing w:before="0" w:beforeAutospacing="0" w:after="0" w:afterAutospacing="0"/>
                    <w:jc w:val="center"/>
                    <w:rPr>
                      <w:sz w:val="21"/>
                      <w:szCs w:val="21"/>
                    </w:rPr>
                  </w:pPr>
                  <w:r>
                    <w:rPr>
                      <w:rFonts w:hint="eastAsia" w:ascii="Times New Roman" w:hAnsi="Times New Roman" w:cs="宋体"/>
                      <w:kern w:val="2"/>
                      <w:sz w:val="21"/>
                      <w:szCs w:val="21"/>
                      <w:lang w:bidi="ar"/>
                    </w:rPr>
                    <w:t>符合</w:t>
                  </w:r>
                </w:p>
              </w:tc>
            </w:tr>
          </w:tbl>
          <w:p>
            <w:pPr>
              <w:pStyle w:val="343"/>
              <w:ind w:firstLine="420"/>
              <w:rPr>
                <w:rFonts w:eastAsia="黑体"/>
                <w:snapToGrid w:val="0"/>
                <w:sz w:val="21"/>
                <w:szCs w:val="21"/>
              </w:rPr>
            </w:pPr>
          </w:p>
          <w:p>
            <w:pPr>
              <w:pStyle w:val="343"/>
              <w:ind w:firstLine="420"/>
              <w:rPr>
                <w:rFonts w:eastAsia="黑体"/>
                <w:snapToGrid w:val="0"/>
                <w:sz w:val="21"/>
                <w:szCs w:val="21"/>
              </w:rPr>
            </w:pPr>
            <w:r>
              <w:rPr>
                <w:sz w:val="21"/>
                <w:szCs w:val="21"/>
              </w:rPr>
              <w:t>综上，项目符合四川省</w:t>
            </w:r>
            <w:r>
              <w:rPr>
                <w:rFonts w:ascii="宋体" w:hAnsi="宋体"/>
                <w:sz w:val="21"/>
                <w:szCs w:val="21"/>
              </w:rPr>
              <w:t>“</w:t>
            </w:r>
            <w:r>
              <w:rPr>
                <w:sz w:val="21"/>
                <w:szCs w:val="21"/>
              </w:rPr>
              <w:t>三线一单</w:t>
            </w:r>
            <w:r>
              <w:rPr>
                <w:rFonts w:ascii="宋体" w:hAnsi="宋体"/>
                <w:sz w:val="21"/>
                <w:szCs w:val="21"/>
              </w:rPr>
              <w:t>”</w:t>
            </w:r>
            <w:r>
              <w:rPr>
                <w:sz w:val="21"/>
                <w:szCs w:val="21"/>
              </w:rPr>
              <w:t>管控要求。</w:t>
            </w:r>
          </w:p>
        </w:tc>
      </w:tr>
    </w:tbl>
    <w:p>
      <w:pPr>
        <w:pStyle w:val="36"/>
        <w:jc w:val="center"/>
        <w:outlineLvl w:val="0"/>
        <w:rPr>
          <w:rFonts w:ascii="Times New Roman" w:hAnsi="Times New Roman" w:eastAsia="黑体"/>
          <w:snapToGrid w:val="0"/>
          <w:sz w:val="21"/>
          <w:szCs w:val="21"/>
        </w:rPr>
        <w:sectPr>
          <w:pgSz w:w="16838" w:h="11906" w:orient="landscape"/>
          <w:pgMar w:top="1797" w:right="1440" w:bottom="1797" w:left="1440" w:header="851" w:footer="1077" w:gutter="0"/>
          <w:cols w:space="720" w:num="1"/>
          <w:docGrid w:linePitch="312" w:charSpace="0"/>
        </w:sectPr>
      </w:pPr>
    </w:p>
    <w:p>
      <w:pPr>
        <w:pStyle w:val="36"/>
        <w:jc w:val="center"/>
        <w:outlineLvl w:val="0"/>
        <w:rPr>
          <w:rFonts w:ascii="Times New Roman" w:hAnsi="Times New Roman" w:eastAsia="黑体"/>
          <w:snapToGrid w:val="0"/>
          <w:sz w:val="30"/>
          <w:szCs w:val="30"/>
        </w:rPr>
      </w:pPr>
      <w:r>
        <w:rPr>
          <w:rFonts w:ascii="Times New Roman" w:hAnsi="Times New Roman" w:eastAsia="黑体"/>
          <w:snapToGrid w:val="0"/>
          <w:sz w:val="30"/>
          <w:szCs w:val="30"/>
        </w:rPr>
        <w:t>二、建设内容</w:t>
      </w:r>
    </w:p>
    <w:tbl>
      <w:tblPr>
        <w:tblStyle w:val="42"/>
        <w:tblW w:w="894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59"/>
        <w:gridCol w:w="798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1497" w:hRule="atLeast"/>
          <w:jc w:val="center"/>
        </w:trPr>
        <w:tc>
          <w:tcPr>
            <w:tcW w:w="959" w:type="dxa"/>
            <w:vAlign w:val="center"/>
          </w:tcPr>
          <w:p>
            <w:pPr>
              <w:adjustRightInd w:val="0"/>
              <w:snapToGrid w:val="0"/>
              <w:jc w:val="center"/>
              <w:rPr>
                <w:kern w:val="0"/>
                <w:szCs w:val="21"/>
              </w:rPr>
            </w:pPr>
            <w:r>
              <w:rPr>
                <w:kern w:val="0"/>
                <w:szCs w:val="21"/>
              </w:rPr>
              <w:t>地理位置</w:t>
            </w:r>
          </w:p>
        </w:tc>
        <w:tc>
          <w:tcPr>
            <w:tcW w:w="7989" w:type="dxa"/>
            <w:vAlign w:val="center"/>
          </w:tcPr>
          <w:p>
            <w:pPr>
              <w:adjustRightInd w:val="0"/>
              <w:snapToGrid w:val="0"/>
              <w:rPr>
                <w:kern w:val="0"/>
                <w:szCs w:val="21"/>
              </w:rPr>
            </w:pPr>
            <w:r>
              <w:rPr>
                <w:kern w:val="0"/>
                <w:szCs w:val="21"/>
              </w:rPr>
              <w:t>项目位于四川省达州市通川区北山镇苏坪村</w:t>
            </w:r>
            <w:r>
              <w:rPr>
                <w:rFonts w:hint="eastAsia"/>
                <w:kern w:val="0"/>
                <w:szCs w:val="21"/>
              </w:rPr>
              <w:t>6</w:t>
            </w:r>
            <w:r>
              <w:rPr>
                <w:kern w:val="0"/>
                <w:szCs w:val="21"/>
              </w:rPr>
              <w:t>组，距达州</w:t>
            </w:r>
            <w:r>
              <w:rPr>
                <w:rFonts w:hint="eastAsia"/>
                <w:kern w:val="0"/>
                <w:szCs w:val="21"/>
              </w:rPr>
              <w:t>市区</w:t>
            </w:r>
            <w:r>
              <w:rPr>
                <w:kern w:val="0"/>
                <w:szCs w:val="21"/>
              </w:rPr>
              <w:t>直线距离约</w:t>
            </w:r>
            <w:r>
              <w:rPr>
                <w:rFonts w:hint="eastAsia"/>
                <w:kern w:val="0"/>
                <w:szCs w:val="21"/>
              </w:rPr>
              <w:t>29</w:t>
            </w:r>
            <w:r>
              <w:rPr>
                <w:kern w:val="0"/>
                <w:szCs w:val="21"/>
              </w:rPr>
              <w:t>km，距北山镇直线距离约</w:t>
            </w:r>
            <w:r>
              <w:rPr>
                <w:rFonts w:hint="eastAsia"/>
                <w:kern w:val="0"/>
                <w:szCs w:val="21"/>
              </w:rPr>
              <w:t>2.8</w:t>
            </w:r>
            <w:r>
              <w:rPr>
                <w:kern w:val="0"/>
                <w:szCs w:val="21"/>
              </w:rPr>
              <w:t>km，项目所在地交通较为方便。项目地理位置示意图见附图1。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 w:hRule="atLeast"/>
          <w:jc w:val="center"/>
        </w:trPr>
        <w:tc>
          <w:tcPr>
            <w:tcW w:w="959" w:type="dxa"/>
            <w:vAlign w:val="center"/>
          </w:tcPr>
          <w:p>
            <w:pPr>
              <w:adjustRightInd w:val="0"/>
              <w:snapToGrid w:val="0"/>
              <w:jc w:val="center"/>
              <w:rPr>
                <w:kern w:val="0"/>
                <w:szCs w:val="21"/>
              </w:rPr>
            </w:pPr>
            <w:r>
              <w:rPr>
                <w:kern w:val="0"/>
                <w:szCs w:val="21"/>
              </w:rPr>
              <w:t>项目组成及规模</w:t>
            </w:r>
          </w:p>
        </w:tc>
        <w:tc>
          <w:tcPr>
            <w:tcW w:w="7989" w:type="dxa"/>
            <w:vAlign w:val="center"/>
          </w:tcPr>
          <w:p>
            <w:pPr>
              <w:pStyle w:val="36"/>
              <w:numPr>
                <w:ilvl w:val="1"/>
                <w:numId w:val="4"/>
              </w:numPr>
              <w:spacing w:before="0" w:beforeAutospacing="0" w:after="0" w:afterAutospacing="0" w:line="360" w:lineRule="auto"/>
              <w:rPr>
                <w:rFonts w:ascii="Times New Roman" w:hAnsi="Times New Roman"/>
                <w:b/>
                <w:sz w:val="21"/>
                <w:szCs w:val="21"/>
              </w:rPr>
            </w:pPr>
            <w:r>
              <w:rPr>
                <w:rFonts w:ascii="Times New Roman" w:hAnsi="Times New Roman"/>
                <w:b/>
                <w:sz w:val="21"/>
                <w:szCs w:val="21"/>
              </w:rPr>
              <w:t>项目基本情况</w:t>
            </w:r>
          </w:p>
          <w:p>
            <w:pPr>
              <w:spacing w:line="360" w:lineRule="auto"/>
              <w:ind w:firstLine="420" w:firstLineChars="200"/>
              <w:rPr>
                <w:szCs w:val="21"/>
                <w:lang w:val="zh-CN"/>
              </w:rPr>
            </w:pPr>
            <w:r>
              <w:rPr>
                <w:szCs w:val="21"/>
                <w:lang w:val="zh-CN"/>
              </w:rPr>
              <w:t>（1）项目名称：平安101井钻井工程；</w:t>
            </w:r>
          </w:p>
          <w:p>
            <w:pPr>
              <w:spacing w:line="360" w:lineRule="auto"/>
              <w:ind w:firstLine="420" w:firstLineChars="200"/>
              <w:rPr>
                <w:szCs w:val="21"/>
                <w:lang w:val="zh-CN"/>
              </w:rPr>
            </w:pPr>
            <w:r>
              <w:rPr>
                <w:szCs w:val="21"/>
                <w:lang w:val="zh-CN"/>
              </w:rPr>
              <w:t>（2）井深：设计井深4087m；</w:t>
            </w:r>
          </w:p>
          <w:p>
            <w:pPr>
              <w:spacing w:line="360" w:lineRule="auto"/>
              <w:ind w:firstLine="420" w:firstLineChars="200"/>
              <w:rPr>
                <w:szCs w:val="21"/>
                <w:lang w:val="zh-CN"/>
              </w:rPr>
            </w:pPr>
            <w:r>
              <w:rPr>
                <w:szCs w:val="21"/>
                <w:lang w:val="zh-CN"/>
              </w:rPr>
              <w:t>（3）井口坐标（2000坐标系）：X：3484020m，Y：18715949m；</w:t>
            </w:r>
          </w:p>
          <w:p>
            <w:pPr>
              <w:spacing w:line="360" w:lineRule="auto"/>
              <w:ind w:firstLine="420" w:firstLineChars="200"/>
              <w:rPr>
                <w:szCs w:val="21"/>
                <w:lang w:val="zh-CN"/>
              </w:rPr>
            </w:pPr>
            <w:r>
              <w:rPr>
                <w:szCs w:val="21"/>
                <w:lang w:val="zh-CN"/>
              </w:rPr>
              <w:t>（3）井别：</w:t>
            </w:r>
            <w:r>
              <w:rPr>
                <w:rFonts w:hint="eastAsia"/>
                <w:szCs w:val="21"/>
                <w:lang w:val="zh-CN"/>
              </w:rPr>
              <w:t>评价井</w:t>
            </w:r>
            <w:r>
              <w:rPr>
                <w:szCs w:val="21"/>
                <w:lang w:val="zh-CN"/>
              </w:rPr>
              <w:t>；</w:t>
            </w:r>
          </w:p>
          <w:p>
            <w:pPr>
              <w:spacing w:line="360" w:lineRule="auto"/>
              <w:ind w:firstLine="420" w:firstLineChars="200"/>
              <w:rPr>
                <w:szCs w:val="21"/>
                <w:lang w:val="zh-CN"/>
              </w:rPr>
            </w:pPr>
            <w:r>
              <w:rPr>
                <w:szCs w:val="21"/>
                <w:lang w:val="zh-CN"/>
              </w:rPr>
              <w:t>（4）构造位置：</w:t>
            </w:r>
            <w:r>
              <w:rPr>
                <w:rFonts w:hint="eastAsia"/>
                <w:szCs w:val="21"/>
                <w:lang w:val="zh-CN"/>
              </w:rPr>
              <w:t>四川盆地川东北低缓构造带平昌平缓构造区</w:t>
            </w:r>
            <w:r>
              <w:rPr>
                <w:szCs w:val="21"/>
                <w:lang w:val="zh-CN"/>
              </w:rPr>
              <w:t>；</w:t>
            </w:r>
          </w:p>
          <w:p>
            <w:pPr>
              <w:spacing w:line="360" w:lineRule="auto"/>
              <w:ind w:firstLine="420" w:firstLineChars="200"/>
              <w:rPr>
                <w:szCs w:val="21"/>
                <w:lang w:val="zh-CN"/>
              </w:rPr>
            </w:pPr>
            <w:r>
              <w:rPr>
                <w:szCs w:val="21"/>
                <w:lang w:val="zh-CN"/>
              </w:rPr>
              <w:t>（5）目的层：</w:t>
            </w:r>
            <w:r>
              <w:rPr>
                <w:rFonts w:hint="eastAsia"/>
                <w:szCs w:val="21"/>
                <w:lang w:val="zh-CN"/>
              </w:rPr>
              <w:t>侏罗系凉高山组</w:t>
            </w:r>
            <w:r>
              <w:rPr>
                <w:szCs w:val="21"/>
                <w:lang w:val="zh-CN"/>
              </w:rPr>
              <w:t>；</w:t>
            </w:r>
          </w:p>
          <w:p>
            <w:pPr>
              <w:spacing w:line="360" w:lineRule="auto"/>
              <w:ind w:firstLine="420" w:firstLineChars="200"/>
              <w:rPr>
                <w:szCs w:val="21"/>
                <w:lang w:val="zh-CN"/>
              </w:rPr>
            </w:pPr>
            <w:r>
              <w:rPr>
                <w:szCs w:val="21"/>
                <w:lang w:val="zh-CN"/>
              </w:rPr>
              <w:t>（</w:t>
            </w:r>
            <w:r>
              <w:rPr>
                <w:rFonts w:hint="eastAsia"/>
                <w:szCs w:val="21"/>
              </w:rPr>
              <w:t>6</w:t>
            </w:r>
            <w:r>
              <w:rPr>
                <w:szCs w:val="21"/>
                <w:lang w:val="zh-CN"/>
              </w:rPr>
              <w:t>）完井方式：</w:t>
            </w:r>
            <w:r>
              <w:rPr>
                <w:rFonts w:hint="eastAsia"/>
                <w:szCs w:val="21"/>
                <w:lang w:val="zh-CN"/>
              </w:rPr>
              <w:t>套管完井</w:t>
            </w:r>
            <w:r>
              <w:rPr>
                <w:szCs w:val="21"/>
                <w:lang w:val="zh-CN"/>
              </w:rPr>
              <w:t>。</w:t>
            </w:r>
          </w:p>
          <w:p>
            <w:pPr>
              <w:pStyle w:val="36"/>
              <w:numPr>
                <w:ilvl w:val="1"/>
                <w:numId w:val="4"/>
              </w:numPr>
              <w:spacing w:before="0" w:beforeAutospacing="0" w:after="0" w:afterAutospacing="0" w:line="360" w:lineRule="auto"/>
              <w:rPr>
                <w:rFonts w:ascii="Times New Roman" w:hAnsi="Times New Roman"/>
                <w:b/>
                <w:sz w:val="21"/>
                <w:szCs w:val="21"/>
              </w:rPr>
            </w:pPr>
            <w:r>
              <w:rPr>
                <w:rFonts w:ascii="Times New Roman" w:hAnsi="Times New Roman"/>
                <w:b/>
                <w:sz w:val="21"/>
                <w:szCs w:val="21"/>
              </w:rPr>
              <w:t>建设内容</w:t>
            </w:r>
          </w:p>
          <w:p>
            <w:pPr>
              <w:pStyle w:val="19"/>
              <w:tabs>
                <w:tab w:val="left" w:pos="0"/>
                <w:tab w:val="left" w:pos="833"/>
              </w:tabs>
              <w:spacing w:before="0" w:after="0" w:line="360" w:lineRule="auto"/>
              <w:ind w:right="0" w:firstLine="420" w:firstLineChars="200"/>
              <w:rPr>
                <w:bCs/>
                <w:sz w:val="21"/>
                <w:szCs w:val="21"/>
              </w:rPr>
            </w:pPr>
            <w:bookmarkStart w:id="6" w:name="_Hlk86168201"/>
            <w:bookmarkStart w:id="7" w:name="_Hlk80690965"/>
            <w:r>
              <w:rPr>
                <w:bCs/>
                <w:sz w:val="21"/>
                <w:szCs w:val="21"/>
              </w:rPr>
              <w:t>（1）钻前工程</w:t>
            </w:r>
          </w:p>
          <w:p>
            <w:pPr>
              <w:pStyle w:val="19"/>
              <w:tabs>
                <w:tab w:val="left" w:pos="0"/>
                <w:tab w:val="left" w:pos="833"/>
              </w:tabs>
              <w:spacing w:before="0" w:after="0" w:line="360" w:lineRule="auto"/>
              <w:ind w:right="0" w:firstLine="420" w:firstLineChars="200"/>
              <w:rPr>
                <w:bCs/>
                <w:sz w:val="21"/>
                <w:szCs w:val="21"/>
              </w:rPr>
            </w:pPr>
            <w:r>
              <w:rPr>
                <w:bCs/>
                <w:sz w:val="21"/>
                <w:szCs w:val="21"/>
              </w:rPr>
              <w:t>临时占地31593m</w:t>
            </w:r>
            <w:r>
              <w:rPr>
                <w:bCs/>
                <w:sz w:val="21"/>
                <w:szCs w:val="21"/>
                <w:vertAlign w:val="superscript"/>
              </w:rPr>
              <w:t>2</w:t>
            </w:r>
            <w:r>
              <w:rPr>
                <w:bCs/>
                <w:sz w:val="21"/>
                <w:szCs w:val="21"/>
              </w:rPr>
              <w:t>，新建井场</w:t>
            </w:r>
            <w:r>
              <w:rPr>
                <w:rFonts w:hint="eastAsia"/>
                <w:bCs/>
                <w:sz w:val="21"/>
                <w:szCs w:val="21"/>
              </w:rPr>
              <w:t>6875</w:t>
            </w:r>
            <w:r>
              <w:rPr>
                <w:bCs/>
                <w:sz w:val="21"/>
                <w:szCs w:val="21"/>
              </w:rPr>
              <w:t>m</w:t>
            </w:r>
            <w:r>
              <w:rPr>
                <w:bCs/>
                <w:sz w:val="21"/>
                <w:szCs w:val="21"/>
                <w:vertAlign w:val="superscript"/>
              </w:rPr>
              <w:t>2</w:t>
            </w:r>
            <w:r>
              <w:rPr>
                <w:bCs/>
                <w:sz w:val="21"/>
                <w:szCs w:val="21"/>
              </w:rPr>
              <w:t>，新建入场道路</w:t>
            </w:r>
            <w:r>
              <w:rPr>
                <w:rFonts w:hint="eastAsia"/>
                <w:bCs/>
                <w:sz w:val="21"/>
                <w:szCs w:val="21"/>
              </w:rPr>
              <w:t>10</w:t>
            </w:r>
            <w:r>
              <w:rPr>
                <w:bCs/>
                <w:sz w:val="21"/>
                <w:szCs w:val="21"/>
              </w:rPr>
              <w:t>0m，维修道路</w:t>
            </w:r>
            <w:r>
              <w:rPr>
                <w:rFonts w:hint="eastAsia"/>
                <w:bCs/>
                <w:sz w:val="21"/>
                <w:szCs w:val="21"/>
              </w:rPr>
              <w:t>4.2k</w:t>
            </w:r>
            <w:r>
              <w:rPr>
                <w:bCs/>
                <w:sz w:val="21"/>
                <w:szCs w:val="21"/>
              </w:rPr>
              <w:t>m</w:t>
            </w:r>
            <w:r>
              <w:rPr>
                <w:rFonts w:hint="eastAsia"/>
                <w:bCs/>
                <w:sz w:val="21"/>
                <w:szCs w:val="21"/>
              </w:rPr>
              <w:t>，</w:t>
            </w:r>
            <w:r>
              <w:rPr>
                <w:bCs/>
                <w:sz w:val="21"/>
                <w:szCs w:val="21"/>
              </w:rPr>
              <w:t>新建应急池</w:t>
            </w:r>
            <w:r>
              <w:rPr>
                <w:rFonts w:hint="eastAsia"/>
                <w:bCs/>
                <w:sz w:val="21"/>
                <w:szCs w:val="21"/>
              </w:rPr>
              <w:t>50</w:t>
            </w:r>
            <w:r>
              <w:rPr>
                <w:bCs/>
                <w:sz w:val="21"/>
                <w:szCs w:val="21"/>
              </w:rPr>
              <w:t>0m</w:t>
            </w:r>
            <w:r>
              <w:rPr>
                <w:bCs/>
                <w:sz w:val="21"/>
                <w:szCs w:val="21"/>
                <w:vertAlign w:val="superscript"/>
              </w:rPr>
              <w:t>3</w:t>
            </w:r>
            <w:r>
              <w:rPr>
                <w:bCs/>
                <w:sz w:val="21"/>
                <w:szCs w:val="21"/>
              </w:rPr>
              <w:t>，新建清洁生产操作平台</w:t>
            </w:r>
            <w:r>
              <w:rPr>
                <w:rFonts w:hint="eastAsia"/>
                <w:bCs/>
                <w:sz w:val="21"/>
                <w:szCs w:val="21"/>
              </w:rPr>
              <w:t>1</w:t>
            </w:r>
            <w:r>
              <w:rPr>
                <w:bCs/>
                <w:sz w:val="21"/>
                <w:szCs w:val="21"/>
              </w:rPr>
              <w:t>套，修建A类放喷池</w:t>
            </w:r>
            <w:r>
              <w:rPr>
                <w:rFonts w:hint="eastAsia"/>
                <w:bCs/>
                <w:sz w:val="21"/>
                <w:szCs w:val="21"/>
              </w:rPr>
              <w:t>1</w:t>
            </w:r>
            <w:r>
              <w:rPr>
                <w:bCs/>
                <w:sz w:val="21"/>
                <w:szCs w:val="21"/>
              </w:rPr>
              <w:t>座，新建井队临时板房生活区</w:t>
            </w:r>
            <w:r>
              <w:rPr>
                <w:rFonts w:hint="eastAsia"/>
                <w:bCs/>
                <w:sz w:val="21"/>
                <w:szCs w:val="21"/>
              </w:rPr>
              <w:t>1</w:t>
            </w:r>
            <w:r>
              <w:rPr>
                <w:bCs/>
                <w:sz w:val="21"/>
                <w:szCs w:val="21"/>
              </w:rPr>
              <w:t>套，厕所</w:t>
            </w:r>
            <w:r>
              <w:rPr>
                <w:rFonts w:hint="eastAsia"/>
                <w:bCs/>
                <w:sz w:val="21"/>
                <w:szCs w:val="21"/>
              </w:rPr>
              <w:t>1</w:t>
            </w:r>
            <w:r>
              <w:rPr>
                <w:bCs/>
                <w:sz w:val="21"/>
                <w:szCs w:val="21"/>
              </w:rPr>
              <w:t>座以及钻井临时房屋、钻井设备基础、给排水、供配电等辅助工程。</w:t>
            </w:r>
          </w:p>
          <w:p>
            <w:pPr>
              <w:pStyle w:val="19"/>
              <w:tabs>
                <w:tab w:val="left" w:pos="0"/>
                <w:tab w:val="left" w:pos="833"/>
              </w:tabs>
              <w:spacing w:before="0" w:after="0" w:line="360" w:lineRule="auto"/>
              <w:ind w:right="0" w:firstLine="420" w:firstLineChars="200"/>
              <w:rPr>
                <w:bCs/>
                <w:sz w:val="21"/>
                <w:szCs w:val="21"/>
              </w:rPr>
            </w:pPr>
            <w:r>
              <w:rPr>
                <w:bCs/>
                <w:sz w:val="21"/>
                <w:szCs w:val="21"/>
              </w:rPr>
              <w:t>（1）钻井工程</w:t>
            </w:r>
          </w:p>
          <w:p>
            <w:pPr>
              <w:pStyle w:val="19"/>
              <w:tabs>
                <w:tab w:val="left" w:pos="0"/>
                <w:tab w:val="left" w:pos="833"/>
              </w:tabs>
              <w:spacing w:before="0" w:after="0" w:line="360" w:lineRule="auto"/>
              <w:ind w:right="0" w:firstLine="420" w:firstLineChars="200"/>
              <w:rPr>
                <w:bCs/>
                <w:sz w:val="21"/>
                <w:szCs w:val="21"/>
              </w:rPr>
            </w:pPr>
            <w:r>
              <w:rPr>
                <w:bCs/>
                <w:sz w:val="21"/>
                <w:szCs w:val="21"/>
              </w:rPr>
              <w:t>平安101井井别参数如下表所示：</w:t>
            </w:r>
          </w:p>
          <w:p>
            <w:pPr>
              <w:pStyle w:val="19"/>
              <w:numPr>
                <w:ilvl w:val="0"/>
                <w:numId w:val="5"/>
              </w:numPr>
              <w:tabs>
                <w:tab w:val="left" w:pos="0"/>
                <w:tab w:val="left" w:pos="833"/>
              </w:tabs>
              <w:spacing w:before="0" w:after="0" w:line="360" w:lineRule="auto"/>
              <w:ind w:left="0" w:right="0" w:firstLine="0"/>
              <w:jc w:val="center"/>
              <w:rPr>
                <w:bCs/>
                <w:sz w:val="21"/>
                <w:szCs w:val="21"/>
              </w:rPr>
            </w:pPr>
            <w:r>
              <w:rPr>
                <w:b/>
                <w:bCs/>
                <w:sz w:val="21"/>
                <w:szCs w:val="21"/>
              </w:rPr>
              <w:t>平安101井钻井工程井型一览表</w:t>
            </w:r>
          </w:p>
          <w:tbl>
            <w:tblPr>
              <w:tblStyle w:val="42"/>
              <w:tblW w:w="78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7"/>
              <w:gridCol w:w="917"/>
              <w:gridCol w:w="917"/>
              <w:gridCol w:w="1048"/>
              <w:gridCol w:w="2988"/>
              <w:gridCol w:w="10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917" w:type="dxa"/>
                  <w:vAlign w:val="center"/>
                </w:tcPr>
                <w:p>
                  <w:pPr>
                    <w:pStyle w:val="19"/>
                    <w:tabs>
                      <w:tab w:val="left" w:pos="0"/>
                      <w:tab w:val="left" w:pos="833"/>
                    </w:tabs>
                    <w:spacing w:before="0" w:after="0" w:line="240" w:lineRule="auto"/>
                    <w:ind w:right="0"/>
                    <w:jc w:val="center"/>
                    <w:rPr>
                      <w:bCs/>
                      <w:sz w:val="21"/>
                      <w:szCs w:val="21"/>
                    </w:rPr>
                  </w:pPr>
                  <w:r>
                    <w:rPr>
                      <w:bCs/>
                      <w:sz w:val="21"/>
                      <w:szCs w:val="21"/>
                    </w:rPr>
                    <w:t>井位名称</w:t>
                  </w:r>
                </w:p>
              </w:tc>
              <w:tc>
                <w:tcPr>
                  <w:tcW w:w="917" w:type="dxa"/>
                  <w:vAlign w:val="center"/>
                </w:tcPr>
                <w:p>
                  <w:pPr>
                    <w:pStyle w:val="19"/>
                    <w:tabs>
                      <w:tab w:val="left" w:pos="0"/>
                      <w:tab w:val="left" w:pos="833"/>
                    </w:tabs>
                    <w:spacing w:before="0" w:after="0" w:line="240" w:lineRule="auto"/>
                    <w:ind w:right="0"/>
                    <w:jc w:val="center"/>
                    <w:rPr>
                      <w:bCs/>
                      <w:sz w:val="21"/>
                      <w:szCs w:val="21"/>
                    </w:rPr>
                  </w:pPr>
                  <w:r>
                    <w:rPr>
                      <w:bCs/>
                      <w:sz w:val="21"/>
                      <w:szCs w:val="21"/>
                    </w:rPr>
                    <w:t>井别</w:t>
                  </w:r>
                </w:p>
              </w:tc>
              <w:tc>
                <w:tcPr>
                  <w:tcW w:w="917" w:type="dxa"/>
                  <w:vAlign w:val="center"/>
                </w:tcPr>
                <w:p>
                  <w:pPr>
                    <w:pStyle w:val="19"/>
                    <w:tabs>
                      <w:tab w:val="left" w:pos="0"/>
                      <w:tab w:val="left" w:pos="833"/>
                    </w:tabs>
                    <w:spacing w:before="0" w:after="0" w:line="240" w:lineRule="auto"/>
                    <w:ind w:right="0"/>
                    <w:jc w:val="center"/>
                    <w:rPr>
                      <w:bCs/>
                      <w:sz w:val="21"/>
                      <w:szCs w:val="21"/>
                    </w:rPr>
                  </w:pPr>
                  <w:r>
                    <w:rPr>
                      <w:bCs/>
                      <w:sz w:val="21"/>
                      <w:szCs w:val="21"/>
                    </w:rPr>
                    <w:t>设计井深</w:t>
                  </w:r>
                </w:p>
              </w:tc>
              <w:tc>
                <w:tcPr>
                  <w:tcW w:w="1048" w:type="dxa"/>
                  <w:vAlign w:val="center"/>
                </w:tcPr>
                <w:p>
                  <w:pPr>
                    <w:pStyle w:val="19"/>
                    <w:tabs>
                      <w:tab w:val="left" w:pos="0"/>
                      <w:tab w:val="left" w:pos="833"/>
                    </w:tabs>
                    <w:spacing w:before="0" w:after="0" w:line="240" w:lineRule="auto"/>
                    <w:ind w:right="0"/>
                    <w:jc w:val="center"/>
                    <w:rPr>
                      <w:bCs/>
                      <w:sz w:val="21"/>
                      <w:szCs w:val="21"/>
                    </w:rPr>
                  </w:pPr>
                  <w:r>
                    <w:rPr>
                      <w:bCs/>
                      <w:sz w:val="21"/>
                      <w:szCs w:val="21"/>
                    </w:rPr>
                    <w:t>完钻层位</w:t>
                  </w:r>
                </w:p>
              </w:tc>
              <w:tc>
                <w:tcPr>
                  <w:tcW w:w="2988" w:type="dxa"/>
                  <w:vAlign w:val="center"/>
                </w:tcPr>
                <w:p>
                  <w:pPr>
                    <w:pStyle w:val="19"/>
                    <w:tabs>
                      <w:tab w:val="left" w:pos="0"/>
                      <w:tab w:val="left" w:pos="833"/>
                    </w:tabs>
                    <w:spacing w:before="0" w:after="0" w:line="240" w:lineRule="auto"/>
                    <w:ind w:right="0"/>
                    <w:jc w:val="center"/>
                    <w:rPr>
                      <w:bCs/>
                      <w:sz w:val="21"/>
                      <w:szCs w:val="21"/>
                    </w:rPr>
                  </w:pPr>
                  <w:r>
                    <w:rPr>
                      <w:bCs/>
                      <w:sz w:val="21"/>
                      <w:szCs w:val="21"/>
                    </w:rPr>
                    <w:t>完钻原则</w:t>
                  </w:r>
                </w:p>
              </w:tc>
              <w:tc>
                <w:tcPr>
                  <w:tcW w:w="1043" w:type="dxa"/>
                  <w:vAlign w:val="center"/>
                </w:tcPr>
                <w:p>
                  <w:pPr>
                    <w:pStyle w:val="19"/>
                    <w:tabs>
                      <w:tab w:val="left" w:pos="0"/>
                      <w:tab w:val="left" w:pos="833"/>
                    </w:tabs>
                    <w:spacing w:before="0" w:after="0" w:line="240" w:lineRule="auto"/>
                    <w:ind w:right="0"/>
                    <w:jc w:val="center"/>
                    <w:rPr>
                      <w:bCs/>
                      <w:sz w:val="21"/>
                      <w:szCs w:val="21"/>
                    </w:rPr>
                  </w:pPr>
                  <w:r>
                    <w:rPr>
                      <w:bCs/>
                      <w:sz w:val="21"/>
                      <w:szCs w:val="21"/>
                    </w:rPr>
                    <w:t>完井方法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 w:hRule="atLeast"/>
              </w:trPr>
              <w:tc>
                <w:tcPr>
                  <w:tcW w:w="917" w:type="dxa"/>
                  <w:vAlign w:val="center"/>
                </w:tcPr>
                <w:p>
                  <w:pPr>
                    <w:pStyle w:val="19"/>
                    <w:tabs>
                      <w:tab w:val="left" w:pos="0"/>
                      <w:tab w:val="left" w:pos="833"/>
                    </w:tabs>
                    <w:spacing w:before="0" w:after="0" w:line="240" w:lineRule="auto"/>
                    <w:ind w:right="0"/>
                    <w:jc w:val="center"/>
                    <w:rPr>
                      <w:bCs/>
                      <w:sz w:val="21"/>
                      <w:szCs w:val="21"/>
                    </w:rPr>
                  </w:pPr>
                  <w:r>
                    <w:rPr>
                      <w:bCs/>
                      <w:sz w:val="21"/>
                      <w:szCs w:val="21"/>
                    </w:rPr>
                    <w:t>平安101井</w:t>
                  </w:r>
                </w:p>
              </w:tc>
              <w:tc>
                <w:tcPr>
                  <w:tcW w:w="917" w:type="dxa"/>
                  <w:vAlign w:val="center"/>
                </w:tcPr>
                <w:p>
                  <w:pPr>
                    <w:pStyle w:val="19"/>
                    <w:tabs>
                      <w:tab w:val="left" w:pos="0"/>
                      <w:tab w:val="left" w:pos="833"/>
                    </w:tabs>
                    <w:spacing w:before="0" w:after="0" w:line="240" w:lineRule="auto"/>
                    <w:ind w:right="0"/>
                    <w:jc w:val="center"/>
                    <w:rPr>
                      <w:bCs/>
                      <w:sz w:val="21"/>
                      <w:szCs w:val="21"/>
                    </w:rPr>
                  </w:pPr>
                  <w:r>
                    <w:rPr>
                      <w:rFonts w:hint="eastAsia"/>
                      <w:bCs/>
                      <w:sz w:val="21"/>
                      <w:szCs w:val="21"/>
                    </w:rPr>
                    <w:t>评价</w:t>
                  </w:r>
                  <w:r>
                    <w:rPr>
                      <w:bCs/>
                      <w:sz w:val="21"/>
                      <w:szCs w:val="21"/>
                    </w:rPr>
                    <w:t>井</w:t>
                  </w:r>
                </w:p>
              </w:tc>
              <w:tc>
                <w:tcPr>
                  <w:tcW w:w="917" w:type="dxa"/>
                  <w:vAlign w:val="center"/>
                </w:tcPr>
                <w:p>
                  <w:pPr>
                    <w:pStyle w:val="19"/>
                    <w:tabs>
                      <w:tab w:val="left" w:pos="0"/>
                      <w:tab w:val="left" w:pos="833"/>
                    </w:tabs>
                    <w:spacing w:before="0" w:after="0" w:line="240" w:lineRule="auto"/>
                    <w:ind w:right="0"/>
                    <w:jc w:val="center"/>
                    <w:rPr>
                      <w:bCs/>
                      <w:sz w:val="21"/>
                      <w:szCs w:val="21"/>
                    </w:rPr>
                  </w:pPr>
                  <w:r>
                    <w:rPr>
                      <w:bCs/>
                      <w:sz w:val="21"/>
                      <w:szCs w:val="21"/>
                    </w:rPr>
                    <w:t>4087m</w:t>
                  </w:r>
                </w:p>
              </w:tc>
              <w:tc>
                <w:tcPr>
                  <w:tcW w:w="1048" w:type="dxa"/>
                  <w:vAlign w:val="center"/>
                </w:tcPr>
                <w:p>
                  <w:pPr>
                    <w:pStyle w:val="19"/>
                    <w:tabs>
                      <w:tab w:val="left" w:pos="0"/>
                      <w:tab w:val="left" w:pos="833"/>
                    </w:tabs>
                    <w:spacing w:before="0" w:after="0" w:line="240" w:lineRule="auto"/>
                    <w:ind w:right="0"/>
                    <w:jc w:val="center"/>
                    <w:rPr>
                      <w:bCs/>
                      <w:sz w:val="21"/>
                      <w:szCs w:val="21"/>
                    </w:rPr>
                  </w:pPr>
                  <w:r>
                    <w:rPr>
                      <w:rFonts w:hint="eastAsia"/>
                      <w:bCs/>
                      <w:sz w:val="21"/>
                      <w:szCs w:val="21"/>
                    </w:rPr>
                    <w:t>侏罗系凉高山组</w:t>
                  </w:r>
                </w:p>
              </w:tc>
              <w:tc>
                <w:tcPr>
                  <w:tcW w:w="2988" w:type="dxa"/>
                  <w:vAlign w:val="center"/>
                </w:tcPr>
                <w:p>
                  <w:pPr>
                    <w:pStyle w:val="19"/>
                    <w:tabs>
                      <w:tab w:val="left" w:pos="0"/>
                      <w:tab w:val="left" w:pos="833"/>
                    </w:tabs>
                    <w:spacing w:before="0" w:after="0" w:line="240" w:lineRule="auto"/>
                    <w:ind w:right="0"/>
                    <w:jc w:val="center"/>
                    <w:rPr>
                      <w:bCs/>
                      <w:sz w:val="21"/>
                      <w:szCs w:val="21"/>
                    </w:rPr>
                  </w:pPr>
                  <w:r>
                    <w:rPr>
                      <w:rFonts w:hint="eastAsia"/>
                      <w:bCs/>
                      <w:sz w:val="21"/>
                      <w:szCs w:val="21"/>
                    </w:rPr>
                    <w:t>钻至设计井深井底无显示完钻，原则是钻至凉高山组完钻</w:t>
                  </w:r>
                </w:p>
              </w:tc>
              <w:tc>
                <w:tcPr>
                  <w:tcW w:w="1043" w:type="dxa"/>
                  <w:vAlign w:val="center"/>
                </w:tcPr>
                <w:p>
                  <w:pPr>
                    <w:pStyle w:val="19"/>
                    <w:tabs>
                      <w:tab w:val="left" w:pos="0"/>
                      <w:tab w:val="left" w:pos="833"/>
                    </w:tabs>
                    <w:spacing w:before="0" w:after="0" w:line="240" w:lineRule="auto"/>
                    <w:ind w:right="0"/>
                    <w:jc w:val="center"/>
                    <w:rPr>
                      <w:bCs/>
                      <w:sz w:val="21"/>
                      <w:szCs w:val="21"/>
                    </w:rPr>
                  </w:pPr>
                  <w:r>
                    <w:rPr>
                      <w:rFonts w:hint="eastAsia"/>
                      <w:bCs/>
                      <w:sz w:val="21"/>
                      <w:szCs w:val="21"/>
                    </w:rPr>
                    <w:t>套管</w:t>
                  </w:r>
                  <w:r>
                    <w:rPr>
                      <w:bCs/>
                      <w:sz w:val="21"/>
                      <w:szCs w:val="21"/>
                    </w:rPr>
                    <w:t>完井</w:t>
                  </w:r>
                </w:p>
              </w:tc>
            </w:tr>
          </w:tbl>
          <w:p>
            <w:pPr>
              <w:pStyle w:val="19"/>
              <w:tabs>
                <w:tab w:val="left" w:pos="0"/>
                <w:tab w:val="left" w:pos="833"/>
              </w:tabs>
              <w:spacing w:before="0" w:after="0" w:line="360" w:lineRule="auto"/>
              <w:ind w:right="0" w:firstLine="420" w:firstLineChars="200"/>
              <w:rPr>
                <w:rStyle w:val="45"/>
                <w:b w:val="0"/>
                <w:sz w:val="21"/>
                <w:szCs w:val="21"/>
              </w:rPr>
            </w:pPr>
          </w:p>
          <w:p>
            <w:pPr>
              <w:pStyle w:val="19"/>
              <w:tabs>
                <w:tab w:val="left" w:pos="0"/>
                <w:tab w:val="left" w:pos="833"/>
              </w:tabs>
              <w:spacing w:before="0" w:after="0" w:line="360" w:lineRule="auto"/>
              <w:ind w:right="0" w:firstLine="420" w:firstLineChars="200"/>
              <w:rPr>
                <w:rStyle w:val="45"/>
                <w:b w:val="0"/>
                <w:sz w:val="21"/>
                <w:szCs w:val="21"/>
              </w:rPr>
            </w:pPr>
            <w:r>
              <w:rPr>
                <w:rStyle w:val="45"/>
                <w:b w:val="0"/>
                <w:sz w:val="21"/>
                <w:szCs w:val="21"/>
              </w:rPr>
              <w:t>（2）压裂试气工程</w:t>
            </w:r>
          </w:p>
          <w:p>
            <w:pPr>
              <w:pStyle w:val="19"/>
              <w:tabs>
                <w:tab w:val="left" w:pos="0"/>
                <w:tab w:val="left" w:pos="833"/>
              </w:tabs>
              <w:spacing w:before="0" w:after="0" w:line="360" w:lineRule="auto"/>
              <w:ind w:right="0" w:firstLine="420" w:firstLineChars="200"/>
              <w:rPr>
                <w:rStyle w:val="45"/>
                <w:b w:val="0"/>
                <w:sz w:val="21"/>
                <w:szCs w:val="21"/>
              </w:rPr>
            </w:pPr>
            <w:r>
              <w:rPr>
                <w:rStyle w:val="45"/>
                <w:b w:val="0"/>
                <w:sz w:val="21"/>
                <w:szCs w:val="21"/>
              </w:rPr>
              <w:t>压裂测试主要包括洗井、射孔、压裂、测试放喷，以及工程完工后设备的搬迁和井场清理等过程。</w:t>
            </w:r>
          </w:p>
          <w:p>
            <w:pPr>
              <w:pStyle w:val="19"/>
              <w:tabs>
                <w:tab w:val="left" w:pos="0"/>
                <w:tab w:val="left" w:pos="833"/>
              </w:tabs>
              <w:spacing w:before="0" w:after="0" w:line="360" w:lineRule="auto"/>
              <w:ind w:right="0" w:firstLine="420" w:firstLineChars="200"/>
              <w:rPr>
                <w:rStyle w:val="45"/>
                <w:b w:val="0"/>
                <w:sz w:val="21"/>
                <w:szCs w:val="21"/>
              </w:rPr>
            </w:pPr>
            <w:r>
              <w:rPr>
                <w:rStyle w:val="45"/>
                <w:b w:val="0"/>
                <w:sz w:val="21"/>
                <w:szCs w:val="21"/>
              </w:rPr>
              <w:t>（3）组织定员及工程投资</w:t>
            </w:r>
          </w:p>
          <w:p>
            <w:pPr>
              <w:pStyle w:val="19"/>
              <w:tabs>
                <w:tab w:val="left" w:pos="0"/>
                <w:tab w:val="left" w:pos="833"/>
              </w:tabs>
              <w:spacing w:before="0" w:after="0" w:line="360" w:lineRule="auto"/>
              <w:ind w:right="0" w:firstLine="420" w:firstLineChars="200"/>
              <w:rPr>
                <w:rStyle w:val="45"/>
                <w:b w:val="0"/>
                <w:sz w:val="21"/>
                <w:szCs w:val="21"/>
              </w:rPr>
            </w:pPr>
            <w:r>
              <w:rPr>
                <w:rStyle w:val="45"/>
                <w:b w:val="0"/>
                <w:sz w:val="21"/>
                <w:szCs w:val="21"/>
              </w:rPr>
              <w:t>工程投资：</w:t>
            </w:r>
            <w:r>
              <w:rPr>
                <w:rStyle w:val="45"/>
                <w:rFonts w:hint="eastAsia"/>
                <w:b w:val="0"/>
                <w:sz w:val="21"/>
                <w:szCs w:val="21"/>
              </w:rPr>
              <w:t>9000</w:t>
            </w:r>
            <w:r>
              <w:rPr>
                <w:rStyle w:val="45"/>
                <w:b w:val="0"/>
                <w:sz w:val="21"/>
                <w:szCs w:val="21"/>
              </w:rPr>
              <w:t>万</w:t>
            </w:r>
            <w:r>
              <w:rPr>
                <w:bCs/>
                <w:sz w:val="21"/>
                <w:szCs w:val="21"/>
              </w:rPr>
              <w:t>，</w:t>
            </w:r>
            <w:r>
              <w:rPr>
                <w:rStyle w:val="45"/>
                <w:b w:val="0"/>
                <w:sz w:val="21"/>
                <w:szCs w:val="21"/>
              </w:rPr>
              <w:t>环保投资</w:t>
            </w:r>
            <w:r>
              <w:rPr>
                <w:rStyle w:val="45"/>
                <w:rFonts w:hint="eastAsia"/>
                <w:b w:val="0"/>
                <w:bCs w:val="0"/>
                <w:sz w:val="21"/>
                <w:szCs w:val="21"/>
              </w:rPr>
              <w:t>15</w:t>
            </w:r>
            <w:r>
              <w:rPr>
                <w:rStyle w:val="45"/>
                <w:b w:val="0"/>
                <w:bCs w:val="0"/>
                <w:sz w:val="21"/>
                <w:szCs w:val="21"/>
              </w:rPr>
              <w:t>0</w:t>
            </w:r>
            <w:r>
              <w:rPr>
                <w:rStyle w:val="45"/>
                <w:b w:val="0"/>
                <w:sz w:val="21"/>
                <w:szCs w:val="21"/>
              </w:rPr>
              <w:t>万，占总投资</w:t>
            </w:r>
            <w:r>
              <w:rPr>
                <w:rStyle w:val="45"/>
                <w:rFonts w:hint="eastAsia"/>
                <w:b w:val="0"/>
                <w:sz w:val="21"/>
                <w:szCs w:val="21"/>
              </w:rPr>
              <w:t>1.7</w:t>
            </w:r>
            <w:r>
              <w:rPr>
                <w:rStyle w:val="45"/>
                <w:b w:val="0"/>
                <w:sz w:val="21"/>
                <w:szCs w:val="21"/>
              </w:rPr>
              <w:t>%</w:t>
            </w:r>
            <w:bookmarkEnd w:id="6"/>
            <w:r>
              <w:rPr>
                <w:rStyle w:val="45"/>
                <w:b w:val="0"/>
                <w:sz w:val="21"/>
                <w:szCs w:val="21"/>
              </w:rPr>
              <w:t>。</w:t>
            </w:r>
          </w:p>
          <w:p>
            <w:pPr>
              <w:spacing w:line="360" w:lineRule="auto"/>
              <w:ind w:firstLine="420" w:firstLineChars="200"/>
              <w:rPr>
                <w:bCs/>
                <w:szCs w:val="21"/>
              </w:rPr>
            </w:pPr>
            <w:r>
              <w:rPr>
                <w:bCs/>
                <w:szCs w:val="21"/>
              </w:rPr>
              <w:t>组织机构及定员、进度：</w:t>
            </w:r>
          </w:p>
          <w:p>
            <w:pPr>
              <w:spacing w:line="360" w:lineRule="auto"/>
              <w:ind w:firstLine="420" w:firstLineChars="200"/>
              <w:rPr>
                <w:bCs/>
                <w:szCs w:val="21"/>
              </w:rPr>
            </w:pPr>
            <w:r>
              <w:rPr>
                <w:bCs/>
                <w:szCs w:val="21"/>
              </w:rPr>
              <w:t>钻前工程由专业施工单位组织当地民工施工，平均每天施工人员约30人。施工工期约1个月</w:t>
            </w:r>
            <w:r>
              <w:rPr>
                <w:rFonts w:hint="eastAsia"/>
                <w:bCs/>
                <w:szCs w:val="21"/>
              </w:rPr>
              <w:t>。</w:t>
            </w:r>
          </w:p>
          <w:p>
            <w:pPr>
              <w:spacing w:line="360" w:lineRule="auto"/>
              <w:ind w:firstLine="420" w:firstLineChars="200"/>
              <w:rPr>
                <w:bCs/>
                <w:szCs w:val="21"/>
              </w:rPr>
            </w:pPr>
            <w:r>
              <w:rPr>
                <w:bCs/>
                <w:szCs w:val="21"/>
              </w:rPr>
              <w:t>钻井工程由专业人员组成，共1个钻井队，钻井队编制约40人，钻井工程周期约3个月，其中建设单位管理人员有白班监督，夜班监督，地质监督等，分两队倒班。井队员工包括井场经理，机械大班、电气大班、机房大班，以上岗位为24h驻井，分两队倒班；包括带班队长、副队长、定向工程师、随钻测量工程师、录井工程师、地质师、控压钻井工程师、钻井工程师、泥浆工程师、司钻、副司钻等，以上岗位分白班夜班，每班12h驻井，共有四个班队；外加炊事人员、勤杂人员等。钻井井队为24h连续工作。</w:t>
            </w:r>
          </w:p>
          <w:p>
            <w:pPr>
              <w:spacing w:line="360" w:lineRule="auto"/>
              <w:ind w:firstLine="420" w:firstLineChars="200"/>
              <w:rPr>
                <w:bCs/>
                <w:szCs w:val="21"/>
              </w:rPr>
            </w:pPr>
            <w:r>
              <w:rPr>
                <w:bCs/>
                <w:szCs w:val="21"/>
              </w:rPr>
              <w:t>完钻测试、设备搬迁、场地清理时间约1个月。</w:t>
            </w:r>
            <w:bookmarkEnd w:id="7"/>
          </w:p>
          <w:p>
            <w:pPr>
              <w:pStyle w:val="36"/>
              <w:numPr>
                <w:ilvl w:val="1"/>
                <w:numId w:val="4"/>
              </w:numPr>
              <w:spacing w:before="0" w:beforeAutospacing="0" w:after="0" w:afterAutospacing="0" w:line="360" w:lineRule="auto"/>
              <w:rPr>
                <w:rFonts w:ascii="Times New Roman" w:hAnsi="Times New Roman"/>
                <w:b/>
                <w:sz w:val="21"/>
                <w:szCs w:val="21"/>
              </w:rPr>
            </w:pPr>
            <w:r>
              <w:rPr>
                <w:rFonts w:ascii="Times New Roman" w:hAnsi="Times New Roman"/>
                <w:b/>
                <w:sz w:val="21"/>
                <w:szCs w:val="21"/>
              </w:rPr>
              <w:t>预计产气成份及无阻流量</w:t>
            </w:r>
          </w:p>
          <w:p>
            <w:pPr>
              <w:spacing w:line="360" w:lineRule="auto"/>
              <w:ind w:firstLine="420" w:firstLineChars="200"/>
              <w:rPr>
                <w:bCs/>
                <w:szCs w:val="21"/>
              </w:rPr>
            </w:pPr>
            <w:bookmarkStart w:id="8" w:name="_Hlk96085440"/>
            <w:bookmarkStart w:id="9" w:name="_Hlk96085486"/>
            <w:r>
              <w:rPr>
                <w:bCs/>
                <w:szCs w:val="21"/>
              </w:rPr>
              <w:t>根据《平安101井钻井地质设计》，平</w:t>
            </w:r>
            <w:bookmarkEnd w:id="8"/>
            <w:r>
              <w:rPr>
                <w:rFonts w:hint="eastAsia"/>
                <w:bCs/>
                <w:szCs w:val="21"/>
              </w:rPr>
              <w:t>安101井</w:t>
            </w:r>
            <w:r>
              <w:rPr>
                <w:rFonts w:hint="eastAsia"/>
                <w:bCs/>
                <w:szCs w:val="21"/>
                <w:lang w:bidi="ar"/>
              </w:rPr>
              <w:t>井区邻井主要有</w:t>
            </w:r>
            <w:r>
              <w:rPr>
                <w:bCs/>
                <w:szCs w:val="21"/>
              </w:rPr>
              <w:t>平安1、界碑1、龙岗13、龙岗42等井，以凉高山组为主要目的层，其中平安1井距离本井较近，因此类比平安1井测试结果，凉高山组测试产气11.45×10</w:t>
            </w:r>
            <w:r>
              <w:rPr>
                <w:bCs/>
                <w:szCs w:val="21"/>
                <w:vertAlign w:val="superscript"/>
              </w:rPr>
              <w:t>4</w:t>
            </w:r>
            <w:r>
              <w:rPr>
                <w:bCs/>
                <w:szCs w:val="21"/>
              </w:rPr>
              <w:t>m</w:t>
            </w:r>
            <w:r>
              <w:rPr>
                <w:bCs/>
                <w:szCs w:val="21"/>
                <w:vertAlign w:val="superscript"/>
              </w:rPr>
              <w:t>3</w:t>
            </w:r>
            <w:r>
              <w:rPr>
                <w:bCs/>
                <w:szCs w:val="21"/>
              </w:rPr>
              <w:t>/d，成份以甲烷为主，不含H</w:t>
            </w:r>
            <w:r>
              <w:rPr>
                <w:bCs/>
                <w:szCs w:val="21"/>
                <w:vertAlign w:val="subscript"/>
              </w:rPr>
              <w:t>2</w:t>
            </w:r>
            <w:r>
              <w:rPr>
                <w:bCs/>
                <w:szCs w:val="21"/>
              </w:rPr>
              <w:t>S。井同层位气质组成和气量数据如下：</w:t>
            </w:r>
          </w:p>
          <w:p>
            <w:pPr>
              <w:pStyle w:val="19"/>
              <w:numPr>
                <w:ilvl w:val="0"/>
                <w:numId w:val="5"/>
              </w:numPr>
              <w:tabs>
                <w:tab w:val="left" w:pos="0"/>
                <w:tab w:val="left" w:pos="833"/>
              </w:tabs>
              <w:spacing w:before="0" w:after="0" w:line="360" w:lineRule="auto"/>
              <w:ind w:left="0" w:right="0" w:firstLine="0"/>
              <w:jc w:val="center"/>
              <w:rPr>
                <w:b/>
                <w:bCs/>
                <w:sz w:val="21"/>
                <w:szCs w:val="21"/>
              </w:rPr>
            </w:pPr>
            <w:r>
              <w:rPr>
                <w:b/>
                <w:bCs/>
                <w:sz w:val="21"/>
                <w:szCs w:val="21"/>
              </w:rPr>
              <w:t>天然气分析数据统计表</w:t>
            </w:r>
          </w:p>
          <w:tbl>
            <w:tblPr>
              <w:tblStyle w:val="42"/>
              <w:tblW w:w="77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26"/>
              <w:gridCol w:w="1926"/>
              <w:gridCol w:w="2102"/>
              <w:gridCol w:w="17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926" w:type="dxa"/>
                  <w:vAlign w:val="center"/>
                </w:tcPr>
                <w:p>
                  <w:pPr>
                    <w:jc w:val="center"/>
                    <w:rPr>
                      <w:bCs/>
                      <w:szCs w:val="21"/>
                    </w:rPr>
                  </w:pPr>
                  <w:r>
                    <w:rPr>
                      <w:bCs/>
                      <w:szCs w:val="21"/>
                    </w:rPr>
                    <w:t>分析项目</w:t>
                  </w:r>
                </w:p>
              </w:tc>
              <w:tc>
                <w:tcPr>
                  <w:tcW w:w="1926" w:type="dxa"/>
                  <w:vAlign w:val="center"/>
                </w:tcPr>
                <w:p>
                  <w:pPr>
                    <w:jc w:val="center"/>
                    <w:rPr>
                      <w:bCs/>
                      <w:szCs w:val="21"/>
                    </w:rPr>
                  </w:pPr>
                  <w:r>
                    <w:rPr>
                      <w:bCs/>
                      <w:szCs w:val="21"/>
                    </w:rPr>
                    <w:t>摩尔百分数</w:t>
                  </w:r>
                </w:p>
              </w:tc>
              <w:tc>
                <w:tcPr>
                  <w:tcW w:w="2102" w:type="dxa"/>
                  <w:vAlign w:val="center"/>
                </w:tcPr>
                <w:p>
                  <w:pPr>
                    <w:jc w:val="center"/>
                    <w:rPr>
                      <w:bCs/>
                      <w:szCs w:val="21"/>
                    </w:rPr>
                  </w:pPr>
                  <w:r>
                    <w:rPr>
                      <w:bCs/>
                      <w:szCs w:val="21"/>
                    </w:rPr>
                    <w:t>分析项目</w:t>
                  </w:r>
                </w:p>
              </w:tc>
              <w:tc>
                <w:tcPr>
                  <w:tcW w:w="1792" w:type="dxa"/>
                  <w:vAlign w:val="center"/>
                </w:tcPr>
                <w:p>
                  <w:pPr>
                    <w:jc w:val="center"/>
                    <w:rPr>
                      <w:bCs/>
                      <w:szCs w:val="21"/>
                    </w:rPr>
                  </w:pPr>
                  <w:r>
                    <w:rPr>
                      <w:bCs/>
                      <w:szCs w:val="21"/>
                    </w:rPr>
                    <w:t>摩尔百分数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926" w:type="dxa"/>
                  <w:vAlign w:val="center"/>
                </w:tcPr>
                <w:p>
                  <w:pPr>
                    <w:jc w:val="center"/>
                    <w:rPr>
                      <w:bCs/>
                      <w:szCs w:val="21"/>
                    </w:rPr>
                  </w:pPr>
                  <w:r>
                    <w:rPr>
                      <w:bCs/>
                      <w:szCs w:val="21"/>
                    </w:rPr>
                    <w:t>甲烷CH</w:t>
                  </w:r>
                  <w:r>
                    <w:rPr>
                      <w:bCs/>
                      <w:szCs w:val="21"/>
                      <w:vertAlign w:val="subscript"/>
                    </w:rPr>
                    <w:t>4</w:t>
                  </w:r>
                </w:p>
              </w:tc>
              <w:tc>
                <w:tcPr>
                  <w:tcW w:w="1926" w:type="dxa"/>
                  <w:vAlign w:val="center"/>
                </w:tcPr>
                <w:p>
                  <w:pPr>
                    <w:jc w:val="center"/>
                    <w:rPr>
                      <w:bCs/>
                      <w:szCs w:val="21"/>
                    </w:rPr>
                  </w:pPr>
                  <w:r>
                    <w:rPr>
                      <w:rFonts w:hint="eastAsia"/>
                      <w:bCs/>
                      <w:szCs w:val="21"/>
                    </w:rPr>
                    <w:t>92.6288</w:t>
                  </w:r>
                </w:p>
              </w:tc>
              <w:tc>
                <w:tcPr>
                  <w:tcW w:w="2102" w:type="dxa"/>
                  <w:vAlign w:val="center"/>
                </w:tcPr>
                <w:p>
                  <w:pPr>
                    <w:jc w:val="center"/>
                    <w:rPr>
                      <w:bCs/>
                      <w:szCs w:val="21"/>
                    </w:rPr>
                  </w:pPr>
                  <w:r>
                    <w:rPr>
                      <w:bCs/>
                      <w:szCs w:val="21"/>
                    </w:rPr>
                    <w:t>二氧化碳CO</w:t>
                  </w:r>
                  <w:r>
                    <w:rPr>
                      <w:bCs/>
                      <w:szCs w:val="21"/>
                      <w:vertAlign w:val="subscript"/>
                    </w:rPr>
                    <w:t>2</w:t>
                  </w:r>
                </w:p>
              </w:tc>
              <w:tc>
                <w:tcPr>
                  <w:tcW w:w="1792" w:type="dxa"/>
                  <w:vAlign w:val="center"/>
                </w:tcPr>
                <w:p>
                  <w:pPr>
                    <w:jc w:val="center"/>
                    <w:rPr>
                      <w:bCs/>
                      <w:szCs w:val="21"/>
                    </w:rPr>
                  </w:pPr>
                  <w:r>
                    <w:rPr>
                      <w:bCs/>
                      <w:szCs w:val="21"/>
                    </w:rPr>
                    <w:t>4.48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926" w:type="dxa"/>
                  <w:vAlign w:val="center"/>
                </w:tcPr>
                <w:p>
                  <w:pPr>
                    <w:jc w:val="center"/>
                    <w:rPr>
                      <w:bCs/>
                      <w:szCs w:val="21"/>
                    </w:rPr>
                  </w:pPr>
                  <w:r>
                    <w:rPr>
                      <w:bCs/>
                      <w:szCs w:val="21"/>
                    </w:rPr>
                    <w:t>乙烷C</w:t>
                  </w:r>
                  <w:r>
                    <w:rPr>
                      <w:bCs/>
                      <w:szCs w:val="21"/>
                      <w:vertAlign w:val="subscript"/>
                    </w:rPr>
                    <w:t>2</w:t>
                  </w:r>
                  <w:r>
                    <w:rPr>
                      <w:bCs/>
                      <w:szCs w:val="21"/>
                    </w:rPr>
                    <w:t>H</w:t>
                  </w:r>
                  <w:r>
                    <w:rPr>
                      <w:bCs/>
                      <w:szCs w:val="21"/>
                      <w:vertAlign w:val="subscript"/>
                    </w:rPr>
                    <w:t>6</w:t>
                  </w:r>
                </w:p>
              </w:tc>
              <w:tc>
                <w:tcPr>
                  <w:tcW w:w="1926" w:type="dxa"/>
                  <w:vAlign w:val="center"/>
                </w:tcPr>
                <w:p>
                  <w:pPr>
                    <w:jc w:val="center"/>
                    <w:rPr>
                      <w:bCs/>
                      <w:szCs w:val="21"/>
                    </w:rPr>
                  </w:pPr>
                  <w:r>
                    <w:rPr>
                      <w:rFonts w:hint="eastAsia"/>
                      <w:bCs/>
                      <w:szCs w:val="21"/>
                    </w:rPr>
                    <w:t>1</w:t>
                  </w:r>
                  <w:r>
                    <w:rPr>
                      <w:bCs/>
                      <w:szCs w:val="21"/>
                    </w:rPr>
                    <w:t>.97</w:t>
                  </w:r>
                </w:p>
              </w:tc>
              <w:tc>
                <w:tcPr>
                  <w:tcW w:w="2102" w:type="dxa"/>
                  <w:vAlign w:val="center"/>
                </w:tcPr>
                <w:p>
                  <w:pPr>
                    <w:jc w:val="center"/>
                    <w:rPr>
                      <w:bCs/>
                      <w:szCs w:val="21"/>
                    </w:rPr>
                  </w:pPr>
                  <w:r>
                    <w:rPr>
                      <w:bCs/>
                      <w:szCs w:val="21"/>
                    </w:rPr>
                    <w:t>氮气N</w:t>
                  </w:r>
                  <w:r>
                    <w:rPr>
                      <w:bCs/>
                      <w:szCs w:val="21"/>
                      <w:vertAlign w:val="subscript"/>
                    </w:rPr>
                    <w:t>2</w:t>
                  </w:r>
                </w:p>
              </w:tc>
              <w:tc>
                <w:tcPr>
                  <w:tcW w:w="1792" w:type="dxa"/>
                  <w:vAlign w:val="center"/>
                </w:tcPr>
                <w:p>
                  <w:pPr>
                    <w:jc w:val="center"/>
                    <w:rPr>
                      <w:bCs/>
                      <w:szCs w:val="21"/>
                    </w:rPr>
                  </w:pPr>
                  <w:r>
                    <w:rPr>
                      <w:bCs/>
                      <w:szCs w:val="21"/>
                    </w:rPr>
                    <w:t>0.</w:t>
                  </w:r>
                  <w:r>
                    <w:rPr>
                      <w:rFonts w:hint="eastAsia"/>
                      <w:bCs/>
                      <w:szCs w:val="21"/>
                    </w:rPr>
                    <w:t>8</w:t>
                  </w:r>
                  <w:r>
                    <w:rPr>
                      <w:bCs/>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926" w:type="dxa"/>
                  <w:vAlign w:val="center"/>
                </w:tcPr>
                <w:p>
                  <w:pPr>
                    <w:jc w:val="center"/>
                    <w:rPr>
                      <w:bCs/>
                      <w:szCs w:val="21"/>
                    </w:rPr>
                  </w:pPr>
                  <w:r>
                    <w:rPr>
                      <w:bCs/>
                      <w:szCs w:val="21"/>
                    </w:rPr>
                    <w:t>丙烷</w:t>
                  </w:r>
                </w:p>
              </w:tc>
              <w:tc>
                <w:tcPr>
                  <w:tcW w:w="1926" w:type="dxa"/>
                  <w:vAlign w:val="center"/>
                </w:tcPr>
                <w:p>
                  <w:pPr>
                    <w:jc w:val="center"/>
                    <w:rPr>
                      <w:bCs/>
                      <w:szCs w:val="21"/>
                    </w:rPr>
                  </w:pPr>
                  <w:r>
                    <w:rPr>
                      <w:bCs/>
                      <w:szCs w:val="21"/>
                    </w:rPr>
                    <w:t>＜0.01</w:t>
                  </w:r>
                </w:p>
              </w:tc>
              <w:tc>
                <w:tcPr>
                  <w:tcW w:w="2102" w:type="dxa"/>
                  <w:vAlign w:val="center"/>
                </w:tcPr>
                <w:p>
                  <w:pPr>
                    <w:jc w:val="center"/>
                    <w:rPr>
                      <w:bCs/>
                      <w:szCs w:val="21"/>
                    </w:rPr>
                  </w:pPr>
                  <w:r>
                    <w:rPr>
                      <w:bCs/>
                      <w:szCs w:val="21"/>
                    </w:rPr>
                    <w:t>异丁烷</w:t>
                  </w:r>
                </w:p>
              </w:tc>
              <w:tc>
                <w:tcPr>
                  <w:tcW w:w="1792" w:type="dxa"/>
                  <w:vAlign w:val="center"/>
                </w:tcPr>
                <w:p>
                  <w:pPr>
                    <w:jc w:val="center"/>
                    <w:rPr>
                      <w:bCs/>
                      <w:szCs w:val="21"/>
                    </w:rPr>
                  </w:pPr>
                  <w:r>
                    <w:rPr>
                      <w:bCs/>
                      <w:szCs w:val="21"/>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926" w:type="dxa"/>
                  <w:vAlign w:val="center"/>
                </w:tcPr>
                <w:p>
                  <w:pPr>
                    <w:jc w:val="center"/>
                    <w:rPr>
                      <w:bCs/>
                      <w:szCs w:val="21"/>
                    </w:rPr>
                  </w:pPr>
                  <w:r>
                    <w:rPr>
                      <w:bCs/>
                      <w:szCs w:val="21"/>
                    </w:rPr>
                    <w:t>正丁烷</w:t>
                  </w:r>
                </w:p>
              </w:tc>
              <w:tc>
                <w:tcPr>
                  <w:tcW w:w="1926" w:type="dxa"/>
                  <w:vAlign w:val="center"/>
                </w:tcPr>
                <w:p>
                  <w:pPr>
                    <w:jc w:val="center"/>
                    <w:rPr>
                      <w:bCs/>
                      <w:szCs w:val="21"/>
                    </w:rPr>
                  </w:pPr>
                  <w:r>
                    <w:rPr>
                      <w:bCs/>
                      <w:szCs w:val="21"/>
                    </w:rPr>
                    <w:t>＜0.01</w:t>
                  </w:r>
                </w:p>
              </w:tc>
              <w:tc>
                <w:tcPr>
                  <w:tcW w:w="2102" w:type="dxa"/>
                  <w:vAlign w:val="center"/>
                </w:tcPr>
                <w:p>
                  <w:pPr>
                    <w:jc w:val="center"/>
                    <w:rPr>
                      <w:bCs/>
                      <w:szCs w:val="21"/>
                    </w:rPr>
                  </w:pPr>
                  <w:r>
                    <w:rPr>
                      <w:bCs/>
                      <w:szCs w:val="21"/>
                    </w:rPr>
                    <w:t>异戊烷</w:t>
                  </w:r>
                </w:p>
              </w:tc>
              <w:tc>
                <w:tcPr>
                  <w:tcW w:w="1792" w:type="dxa"/>
                  <w:vAlign w:val="center"/>
                </w:tcPr>
                <w:p>
                  <w:pPr>
                    <w:jc w:val="center"/>
                    <w:rPr>
                      <w:bCs/>
                      <w:szCs w:val="21"/>
                    </w:rPr>
                  </w:pPr>
                  <w:r>
                    <w:rPr>
                      <w:bCs/>
                      <w:szCs w:val="21"/>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926" w:type="dxa"/>
                  <w:vAlign w:val="center"/>
                </w:tcPr>
                <w:p>
                  <w:pPr>
                    <w:jc w:val="center"/>
                    <w:rPr>
                      <w:bCs/>
                      <w:szCs w:val="21"/>
                    </w:rPr>
                  </w:pPr>
                  <w:r>
                    <w:rPr>
                      <w:bCs/>
                      <w:szCs w:val="21"/>
                    </w:rPr>
                    <w:t>正戊烷</w:t>
                  </w:r>
                </w:p>
              </w:tc>
              <w:tc>
                <w:tcPr>
                  <w:tcW w:w="1926" w:type="dxa"/>
                  <w:vAlign w:val="center"/>
                </w:tcPr>
                <w:p>
                  <w:pPr>
                    <w:jc w:val="center"/>
                    <w:rPr>
                      <w:bCs/>
                      <w:szCs w:val="21"/>
                    </w:rPr>
                  </w:pPr>
                  <w:r>
                    <w:rPr>
                      <w:bCs/>
                      <w:szCs w:val="21"/>
                    </w:rPr>
                    <w:t>＜0.01</w:t>
                  </w:r>
                </w:p>
              </w:tc>
              <w:tc>
                <w:tcPr>
                  <w:tcW w:w="2102" w:type="dxa"/>
                  <w:vAlign w:val="center"/>
                </w:tcPr>
                <w:p>
                  <w:pPr>
                    <w:jc w:val="center"/>
                    <w:rPr>
                      <w:bCs/>
                      <w:szCs w:val="21"/>
                    </w:rPr>
                  </w:pPr>
                  <w:r>
                    <w:rPr>
                      <w:bCs/>
                      <w:szCs w:val="21"/>
                    </w:rPr>
                    <w:t>氦He</w:t>
                  </w:r>
                </w:p>
              </w:tc>
              <w:tc>
                <w:tcPr>
                  <w:tcW w:w="1792" w:type="dxa"/>
                  <w:vAlign w:val="center"/>
                </w:tcPr>
                <w:p>
                  <w:pPr>
                    <w:jc w:val="center"/>
                    <w:rPr>
                      <w:bCs/>
                      <w:szCs w:val="21"/>
                    </w:rPr>
                  </w:pPr>
                  <w:r>
                    <w:rPr>
                      <w:bCs/>
                      <w:szCs w:val="21"/>
                    </w:rPr>
                    <w:t>0.0192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926" w:type="dxa"/>
                  <w:vAlign w:val="center"/>
                </w:tcPr>
                <w:p>
                  <w:pPr>
                    <w:jc w:val="center"/>
                    <w:rPr>
                      <w:bCs/>
                      <w:szCs w:val="21"/>
                    </w:rPr>
                  </w:pPr>
                  <w:r>
                    <w:rPr>
                      <w:bCs/>
                      <w:szCs w:val="21"/>
                    </w:rPr>
                    <w:t>硫化氢H</w:t>
                  </w:r>
                  <w:r>
                    <w:rPr>
                      <w:bCs/>
                      <w:szCs w:val="21"/>
                      <w:vertAlign w:val="subscript"/>
                    </w:rPr>
                    <w:t>2</w:t>
                  </w:r>
                  <w:r>
                    <w:rPr>
                      <w:bCs/>
                      <w:szCs w:val="21"/>
                    </w:rPr>
                    <w:t>S</w:t>
                  </w:r>
                </w:p>
              </w:tc>
              <w:tc>
                <w:tcPr>
                  <w:tcW w:w="1926" w:type="dxa"/>
                  <w:vAlign w:val="center"/>
                </w:tcPr>
                <w:p>
                  <w:pPr>
                    <w:jc w:val="center"/>
                    <w:rPr>
                      <w:bCs/>
                      <w:szCs w:val="21"/>
                    </w:rPr>
                  </w:pPr>
                  <w:r>
                    <w:rPr>
                      <w:bCs/>
                      <w:szCs w:val="21"/>
                    </w:rPr>
                    <w:t>＜0.01</w:t>
                  </w:r>
                </w:p>
              </w:tc>
              <w:tc>
                <w:tcPr>
                  <w:tcW w:w="2102" w:type="dxa"/>
                  <w:vAlign w:val="center"/>
                </w:tcPr>
                <w:p>
                  <w:pPr>
                    <w:jc w:val="center"/>
                    <w:rPr>
                      <w:bCs/>
                      <w:szCs w:val="21"/>
                    </w:rPr>
                  </w:pPr>
                  <w:r>
                    <w:rPr>
                      <w:bCs/>
                      <w:szCs w:val="21"/>
                    </w:rPr>
                    <w:t>氢H</w:t>
                  </w:r>
                  <w:r>
                    <w:rPr>
                      <w:bCs/>
                      <w:szCs w:val="21"/>
                      <w:vertAlign w:val="subscript"/>
                    </w:rPr>
                    <w:t>2</w:t>
                  </w:r>
                </w:p>
              </w:tc>
              <w:tc>
                <w:tcPr>
                  <w:tcW w:w="1792" w:type="dxa"/>
                  <w:vAlign w:val="center"/>
                </w:tcPr>
                <w:p>
                  <w:pPr>
                    <w:jc w:val="center"/>
                    <w:rPr>
                      <w:bCs/>
                      <w:szCs w:val="21"/>
                    </w:rPr>
                  </w:pPr>
                  <w:r>
                    <w:rPr>
                      <w:bCs/>
                      <w:szCs w:val="21"/>
                    </w:rPr>
                    <w:t>0.072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926" w:type="dxa"/>
                  <w:vAlign w:val="center"/>
                </w:tcPr>
                <w:p>
                  <w:pPr>
                    <w:jc w:val="center"/>
                    <w:rPr>
                      <w:bCs/>
                      <w:szCs w:val="21"/>
                    </w:rPr>
                  </w:pPr>
                  <w:r>
                    <w:rPr>
                      <w:bCs/>
                      <w:szCs w:val="21"/>
                    </w:rPr>
                    <w:t>己烷和更重组分</w:t>
                  </w:r>
                </w:p>
              </w:tc>
              <w:tc>
                <w:tcPr>
                  <w:tcW w:w="1926" w:type="dxa"/>
                  <w:vAlign w:val="center"/>
                </w:tcPr>
                <w:p>
                  <w:pPr>
                    <w:jc w:val="center"/>
                    <w:rPr>
                      <w:bCs/>
                      <w:szCs w:val="21"/>
                    </w:rPr>
                  </w:pPr>
                  <w:r>
                    <w:rPr>
                      <w:bCs/>
                      <w:szCs w:val="21"/>
                    </w:rPr>
                    <w:t>＜0.01</w:t>
                  </w:r>
                </w:p>
              </w:tc>
              <w:tc>
                <w:tcPr>
                  <w:tcW w:w="2102" w:type="dxa"/>
                  <w:vAlign w:val="center"/>
                </w:tcPr>
                <w:p>
                  <w:pPr>
                    <w:jc w:val="center"/>
                    <w:rPr>
                      <w:bCs/>
                      <w:szCs w:val="21"/>
                    </w:rPr>
                  </w:pPr>
                </w:p>
              </w:tc>
              <w:tc>
                <w:tcPr>
                  <w:tcW w:w="1792" w:type="dxa"/>
                  <w:vAlign w:val="center"/>
                </w:tcPr>
                <w:p>
                  <w:pPr>
                    <w:jc w:val="center"/>
                    <w:rPr>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746" w:type="dxa"/>
                  <w:gridSpan w:val="4"/>
                  <w:vAlign w:val="center"/>
                </w:tcPr>
                <w:p>
                  <w:pPr>
                    <w:jc w:val="center"/>
                    <w:rPr>
                      <w:bCs/>
                      <w:szCs w:val="21"/>
                    </w:rPr>
                  </w:pPr>
                  <w:r>
                    <w:rPr>
                      <w:bCs/>
                      <w:szCs w:val="21"/>
                    </w:rPr>
                    <w:t>气质特性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926" w:type="dxa"/>
                  <w:vAlign w:val="center"/>
                </w:tcPr>
                <w:p>
                  <w:pPr>
                    <w:jc w:val="center"/>
                    <w:rPr>
                      <w:bCs/>
                      <w:szCs w:val="21"/>
                    </w:rPr>
                  </w:pPr>
                  <w:r>
                    <w:rPr>
                      <w:bCs/>
                      <w:szCs w:val="21"/>
                    </w:rPr>
                    <w:t>压缩因子</w:t>
                  </w:r>
                </w:p>
              </w:tc>
              <w:tc>
                <w:tcPr>
                  <w:tcW w:w="1926" w:type="dxa"/>
                  <w:vAlign w:val="center"/>
                </w:tcPr>
                <w:p>
                  <w:pPr>
                    <w:jc w:val="center"/>
                    <w:rPr>
                      <w:bCs/>
                      <w:szCs w:val="21"/>
                    </w:rPr>
                  </w:pPr>
                  <w:r>
                    <w:rPr>
                      <w:bCs/>
                      <w:szCs w:val="21"/>
                    </w:rPr>
                    <w:t>0.9977</w:t>
                  </w:r>
                </w:p>
              </w:tc>
              <w:tc>
                <w:tcPr>
                  <w:tcW w:w="2102" w:type="dxa"/>
                  <w:vAlign w:val="center"/>
                </w:tcPr>
                <w:p>
                  <w:pPr>
                    <w:jc w:val="center"/>
                    <w:rPr>
                      <w:bCs/>
                      <w:szCs w:val="21"/>
                    </w:rPr>
                  </w:pPr>
                  <w:r>
                    <w:rPr>
                      <w:bCs/>
                      <w:szCs w:val="21"/>
                    </w:rPr>
                    <w:t>相对密度</w:t>
                  </w:r>
                </w:p>
              </w:tc>
              <w:tc>
                <w:tcPr>
                  <w:tcW w:w="1792" w:type="dxa"/>
                  <w:vAlign w:val="center"/>
                </w:tcPr>
                <w:p>
                  <w:pPr>
                    <w:jc w:val="center"/>
                    <w:rPr>
                      <w:bCs/>
                      <w:szCs w:val="21"/>
                    </w:rPr>
                  </w:pPr>
                  <w:r>
                    <w:rPr>
                      <w:bCs/>
                      <w:szCs w:val="21"/>
                    </w:rPr>
                    <w:t>0.6049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926" w:type="dxa"/>
                  <w:vAlign w:val="center"/>
                </w:tcPr>
                <w:p>
                  <w:pPr>
                    <w:jc w:val="center"/>
                    <w:rPr>
                      <w:bCs/>
                      <w:szCs w:val="21"/>
                    </w:rPr>
                  </w:pPr>
                  <w:r>
                    <w:rPr>
                      <w:bCs/>
                      <w:szCs w:val="21"/>
                    </w:rPr>
                    <w:t>高位发热量（MJ/m</w:t>
                  </w:r>
                  <w:r>
                    <w:rPr>
                      <w:bCs/>
                      <w:szCs w:val="21"/>
                      <w:vertAlign w:val="superscript"/>
                    </w:rPr>
                    <w:t>3</w:t>
                  </w:r>
                  <w:r>
                    <w:rPr>
                      <w:bCs/>
                      <w:szCs w:val="21"/>
                    </w:rPr>
                    <w:t>）</w:t>
                  </w:r>
                </w:p>
              </w:tc>
              <w:tc>
                <w:tcPr>
                  <w:tcW w:w="1926" w:type="dxa"/>
                  <w:vAlign w:val="center"/>
                </w:tcPr>
                <w:p>
                  <w:pPr>
                    <w:jc w:val="center"/>
                    <w:rPr>
                      <w:bCs/>
                      <w:szCs w:val="21"/>
                    </w:rPr>
                  </w:pPr>
                  <w:r>
                    <w:rPr>
                      <w:bCs/>
                      <w:szCs w:val="21"/>
                    </w:rPr>
                    <w:t>35.70</w:t>
                  </w:r>
                </w:p>
              </w:tc>
              <w:tc>
                <w:tcPr>
                  <w:tcW w:w="2102" w:type="dxa"/>
                  <w:vAlign w:val="center"/>
                </w:tcPr>
                <w:p>
                  <w:pPr>
                    <w:jc w:val="center"/>
                    <w:rPr>
                      <w:bCs/>
                      <w:szCs w:val="21"/>
                    </w:rPr>
                  </w:pPr>
                  <w:r>
                    <w:rPr>
                      <w:bCs/>
                      <w:szCs w:val="21"/>
                    </w:rPr>
                    <w:t>临界温度（K）</w:t>
                  </w:r>
                </w:p>
              </w:tc>
              <w:tc>
                <w:tcPr>
                  <w:tcW w:w="1792" w:type="dxa"/>
                  <w:vAlign w:val="center"/>
                </w:tcPr>
                <w:p>
                  <w:pPr>
                    <w:jc w:val="center"/>
                    <w:rPr>
                      <w:bCs/>
                      <w:szCs w:val="21"/>
                    </w:rPr>
                  </w:pPr>
                  <w:r>
                    <w:rPr>
                      <w:bCs/>
                      <w:szCs w:val="21"/>
                    </w:rPr>
                    <w:t>204.6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926" w:type="dxa"/>
                  <w:vAlign w:val="center"/>
                </w:tcPr>
                <w:p>
                  <w:pPr>
                    <w:jc w:val="center"/>
                    <w:rPr>
                      <w:bCs/>
                      <w:szCs w:val="21"/>
                    </w:rPr>
                  </w:pPr>
                  <w:r>
                    <w:rPr>
                      <w:bCs/>
                      <w:szCs w:val="21"/>
                    </w:rPr>
                    <w:t>低位热值（MJ/m</w:t>
                  </w:r>
                  <w:r>
                    <w:rPr>
                      <w:bCs/>
                      <w:szCs w:val="21"/>
                      <w:vertAlign w:val="superscript"/>
                    </w:rPr>
                    <w:t>3</w:t>
                  </w:r>
                  <w:r>
                    <w:rPr>
                      <w:bCs/>
                      <w:szCs w:val="21"/>
                    </w:rPr>
                    <w:t>）</w:t>
                  </w:r>
                </w:p>
              </w:tc>
              <w:tc>
                <w:tcPr>
                  <w:tcW w:w="1926" w:type="dxa"/>
                  <w:vAlign w:val="center"/>
                </w:tcPr>
                <w:p>
                  <w:pPr>
                    <w:jc w:val="center"/>
                    <w:rPr>
                      <w:bCs/>
                      <w:szCs w:val="21"/>
                    </w:rPr>
                  </w:pPr>
                  <w:r>
                    <w:rPr>
                      <w:bCs/>
                      <w:szCs w:val="21"/>
                    </w:rPr>
                    <w:t>32.17</w:t>
                  </w:r>
                </w:p>
              </w:tc>
              <w:tc>
                <w:tcPr>
                  <w:tcW w:w="2102" w:type="dxa"/>
                  <w:vAlign w:val="center"/>
                </w:tcPr>
                <w:p>
                  <w:pPr>
                    <w:jc w:val="center"/>
                    <w:rPr>
                      <w:bCs/>
                      <w:szCs w:val="21"/>
                    </w:rPr>
                  </w:pPr>
                  <w:r>
                    <w:rPr>
                      <w:bCs/>
                      <w:szCs w:val="21"/>
                    </w:rPr>
                    <w:t>临界压力（MPa）</w:t>
                  </w:r>
                </w:p>
              </w:tc>
              <w:tc>
                <w:tcPr>
                  <w:tcW w:w="1792" w:type="dxa"/>
                  <w:vAlign w:val="center"/>
                </w:tcPr>
                <w:p>
                  <w:pPr>
                    <w:jc w:val="center"/>
                    <w:rPr>
                      <w:bCs/>
                      <w:szCs w:val="21"/>
                    </w:rPr>
                  </w:pPr>
                  <w:r>
                    <w:rPr>
                      <w:bCs/>
                      <w:szCs w:val="21"/>
                    </w:rPr>
                    <w:t>4.944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926" w:type="dxa"/>
                  <w:vAlign w:val="center"/>
                </w:tcPr>
                <w:p>
                  <w:pPr>
                    <w:jc w:val="center"/>
                    <w:rPr>
                      <w:bCs/>
                      <w:szCs w:val="21"/>
                    </w:rPr>
                  </w:pPr>
                  <w:r>
                    <w:rPr>
                      <w:bCs/>
                      <w:szCs w:val="21"/>
                    </w:rPr>
                    <w:t>硫化氢H</w:t>
                  </w:r>
                  <w:r>
                    <w:rPr>
                      <w:bCs/>
                      <w:szCs w:val="21"/>
                      <w:vertAlign w:val="subscript"/>
                    </w:rPr>
                    <w:t>2</w:t>
                  </w:r>
                  <w:r>
                    <w:rPr>
                      <w:bCs/>
                      <w:szCs w:val="21"/>
                    </w:rPr>
                    <w:t>S（g/m</w:t>
                  </w:r>
                  <w:r>
                    <w:rPr>
                      <w:bCs/>
                      <w:szCs w:val="21"/>
                      <w:vertAlign w:val="superscript"/>
                    </w:rPr>
                    <w:t>3</w:t>
                  </w:r>
                  <w:r>
                    <w:rPr>
                      <w:bCs/>
                      <w:szCs w:val="21"/>
                    </w:rPr>
                    <w:t>）</w:t>
                  </w:r>
                </w:p>
              </w:tc>
              <w:tc>
                <w:tcPr>
                  <w:tcW w:w="1926" w:type="dxa"/>
                  <w:vAlign w:val="center"/>
                </w:tcPr>
                <w:p>
                  <w:pPr>
                    <w:jc w:val="center"/>
                    <w:rPr>
                      <w:bCs/>
                      <w:szCs w:val="21"/>
                    </w:rPr>
                  </w:pPr>
                  <w:r>
                    <w:rPr>
                      <w:bCs/>
                      <w:szCs w:val="21"/>
                    </w:rPr>
                    <w:t>/</w:t>
                  </w:r>
                </w:p>
              </w:tc>
              <w:tc>
                <w:tcPr>
                  <w:tcW w:w="2102" w:type="dxa"/>
                  <w:vAlign w:val="center"/>
                </w:tcPr>
                <w:p>
                  <w:pPr>
                    <w:jc w:val="center"/>
                    <w:rPr>
                      <w:bCs/>
                      <w:szCs w:val="21"/>
                    </w:rPr>
                  </w:pPr>
                </w:p>
              </w:tc>
              <w:tc>
                <w:tcPr>
                  <w:tcW w:w="1792" w:type="dxa"/>
                  <w:vAlign w:val="center"/>
                </w:tcPr>
                <w:p>
                  <w:pPr>
                    <w:jc w:val="center"/>
                    <w:rPr>
                      <w:bCs/>
                      <w:szCs w:val="21"/>
                    </w:rPr>
                  </w:pPr>
                </w:p>
              </w:tc>
            </w:tr>
            <w:bookmarkEnd w:id="9"/>
          </w:tbl>
          <w:p>
            <w:pPr>
              <w:spacing w:line="360" w:lineRule="auto"/>
              <w:rPr>
                <w:b/>
                <w:szCs w:val="21"/>
              </w:rPr>
            </w:pPr>
          </w:p>
          <w:p>
            <w:pPr>
              <w:pStyle w:val="36"/>
              <w:numPr>
                <w:ilvl w:val="1"/>
                <w:numId w:val="4"/>
              </w:numPr>
              <w:spacing w:before="0" w:beforeAutospacing="0" w:after="0" w:afterAutospacing="0" w:line="360" w:lineRule="auto"/>
              <w:rPr>
                <w:rFonts w:ascii="Times New Roman" w:hAnsi="Times New Roman"/>
                <w:b/>
                <w:sz w:val="21"/>
                <w:szCs w:val="21"/>
              </w:rPr>
            </w:pPr>
            <w:r>
              <w:rPr>
                <w:rFonts w:ascii="Times New Roman" w:hAnsi="Times New Roman"/>
                <w:b/>
                <w:sz w:val="21"/>
                <w:szCs w:val="21"/>
              </w:rPr>
              <w:t>项目组成</w:t>
            </w:r>
          </w:p>
          <w:p>
            <w:pPr>
              <w:spacing w:line="360" w:lineRule="auto"/>
              <w:ind w:firstLine="420" w:firstLineChars="200"/>
              <w:rPr>
                <w:kern w:val="0"/>
                <w:szCs w:val="21"/>
                <w:lang w:bidi="ar"/>
              </w:rPr>
            </w:pPr>
            <w:r>
              <w:rPr>
                <w:kern w:val="0"/>
                <w:szCs w:val="21"/>
                <w:lang w:bidi="ar"/>
              </w:rPr>
              <w:t>根据项目的工程特点，可将本项目实施分为钻前工程、钻井工程以及压裂试气工程。工程不涉及运营期进行油气的采输生产问题，因此不对运营期工程进行分析。</w:t>
            </w:r>
          </w:p>
          <w:p>
            <w:pPr>
              <w:spacing w:line="360" w:lineRule="auto"/>
              <w:ind w:firstLine="420" w:firstLineChars="200"/>
              <w:rPr>
                <w:bCs/>
                <w:szCs w:val="21"/>
              </w:rPr>
            </w:pPr>
            <w:bookmarkStart w:id="10" w:name="_Hlk80691108"/>
            <w:r>
              <w:rPr>
                <w:bCs/>
                <w:szCs w:val="21"/>
              </w:rPr>
              <w:t>（1）钻前工程</w:t>
            </w:r>
          </w:p>
          <w:p>
            <w:pPr>
              <w:spacing w:line="360" w:lineRule="auto"/>
              <w:ind w:firstLine="420" w:firstLineChars="200"/>
              <w:rPr>
                <w:bCs/>
                <w:szCs w:val="21"/>
              </w:rPr>
            </w:pPr>
            <w:r>
              <w:rPr>
                <w:bCs/>
                <w:szCs w:val="21"/>
              </w:rPr>
              <w:t>钻前工程包括新建井场、清洁化操作平台、进场道路，新建应急池、放喷坑等主体工程以及钻井办公、生活区活动板房、钻井设备基础等工程。主要工程内容和工程量见</w:t>
            </w:r>
            <w:r>
              <w:rPr>
                <w:rFonts w:hint="eastAsia"/>
                <w:bCs/>
                <w:szCs w:val="21"/>
              </w:rPr>
              <w:t>下表</w:t>
            </w:r>
            <w:r>
              <w:rPr>
                <w:bCs/>
                <w:szCs w:val="21"/>
              </w:rPr>
              <w:t>。</w:t>
            </w:r>
          </w:p>
          <w:p>
            <w:pPr>
              <w:pStyle w:val="19"/>
              <w:numPr>
                <w:ilvl w:val="0"/>
                <w:numId w:val="5"/>
              </w:numPr>
              <w:tabs>
                <w:tab w:val="left" w:pos="0"/>
                <w:tab w:val="left" w:pos="833"/>
              </w:tabs>
              <w:spacing w:before="0" w:after="0" w:line="360" w:lineRule="auto"/>
              <w:ind w:left="0" w:right="0" w:firstLine="0"/>
              <w:jc w:val="center"/>
              <w:rPr>
                <w:b/>
                <w:bCs/>
                <w:sz w:val="21"/>
                <w:szCs w:val="21"/>
              </w:rPr>
            </w:pPr>
            <w:r>
              <w:rPr>
                <w:b/>
                <w:bCs/>
                <w:sz w:val="21"/>
                <w:szCs w:val="21"/>
              </w:rPr>
              <w:t>钻前工程项目组成及主要环境问题一览表</w:t>
            </w:r>
          </w:p>
          <w:tbl>
            <w:tblPr>
              <w:tblStyle w:val="42"/>
              <w:tblW w:w="78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3"/>
              <w:gridCol w:w="5655"/>
              <w:gridCol w:w="12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blHeader/>
                <w:jc w:val="center"/>
              </w:trPr>
              <w:tc>
                <w:tcPr>
                  <w:tcW w:w="953" w:type="dxa"/>
                  <w:vAlign w:val="center"/>
                </w:tcPr>
                <w:p>
                  <w:pPr>
                    <w:jc w:val="center"/>
                    <w:rPr>
                      <w:kern w:val="28"/>
                      <w:szCs w:val="21"/>
                    </w:rPr>
                  </w:pPr>
                  <w:bookmarkStart w:id="11" w:name="_Hlk86168280"/>
                  <w:r>
                    <w:rPr>
                      <w:kern w:val="28"/>
                      <w:szCs w:val="21"/>
                    </w:rPr>
                    <w:t>建设内容</w:t>
                  </w:r>
                </w:p>
              </w:tc>
              <w:tc>
                <w:tcPr>
                  <w:tcW w:w="5655" w:type="dxa"/>
                  <w:vAlign w:val="center"/>
                </w:tcPr>
                <w:p>
                  <w:pPr>
                    <w:jc w:val="center"/>
                    <w:rPr>
                      <w:kern w:val="28"/>
                      <w:szCs w:val="21"/>
                    </w:rPr>
                  </w:pPr>
                  <w:r>
                    <w:rPr>
                      <w:kern w:val="28"/>
                      <w:szCs w:val="21"/>
                    </w:rPr>
                    <w:t>建设规模</w:t>
                  </w:r>
                </w:p>
              </w:tc>
              <w:tc>
                <w:tcPr>
                  <w:tcW w:w="1259" w:type="dxa"/>
                  <w:vAlign w:val="center"/>
                </w:tcPr>
                <w:p>
                  <w:pPr>
                    <w:jc w:val="center"/>
                    <w:rPr>
                      <w:kern w:val="28"/>
                      <w:szCs w:val="21"/>
                    </w:rPr>
                  </w:pPr>
                  <w:r>
                    <w:rPr>
                      <w:kern w:val="28"/>
                      <w:szCs w:val="21"/>
                    </w:rPr>
                    <w:t>可能产生的环境影响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953" w:type="dxa"/>
                  <w:vAlign w:val="center"/>
                </w:tcPr>
                <w:p>
                  <w:pPr>
                    <w:jc w:val="center"/>
                    <w:rPr>
                      <w:kern w:val="28"/>
                      <w:szCs w:val="21"/>
                    </w:rPr>
                  </w:pPr>
                  <w:r>
                    <w:rPr>
                      <w:kern w:val="28"/>
                      <w:szCs w:val="21"/>
                    </w:rPr>
                    <w:t>场地平整</w:t>
                  </w:r>
                </w:p>
              </w:tc>
              <w:tc>
                <w:tcPr>
                  <w:tcW w:w="5655" w:type="dxa"/>
                  <w:vAlign w:val="center"/>
                </w:tcPr>
                <w:p>
                  <w:pPr>
                    <w:pStyle w:val="19"/>
                    <w:tabs>
                      <w:tab w:val="left" w:pos="0"/>
                      <w:tab w:val="left" w:pos="833"/>
                    </w:tabs>
                    <w:spacing w:before="0" w:after="0" w:line="240" w:lineRule="auto"/>
                    <w:ind w:right="0"/>
                    <w:rPr>
                      <w:sz w:val="21"/>
                      <w:szCs w:val="21"/>
                    </w:rPr>
                  </w:pPr>
                  <w:r>
                    <w:rPr>
                      <w:sz w:val="21"/>
                      <w:szCs w:val="21"/>
                    </w:rPr>
                    <w:t>临时占地</w:t>
                  </w:r>
                  <w:r>
                    <w:rPr>
                      <w:color w:val="FF0000"/>
                      <w:sz w:val="21"/>
                      <w:szCs w:val="21"/>
                    </w:rPr>
                    <w:t>31593</w:t>
                  </w:r>
                  <w:r>
                    <w:rPr>
                      <w:sz w:val="21"/>
                      <w:szCs w:val="21"/>
                    </w:rPr>
                    <w:t>m</w:t>
                  </w:r>
                  <w:r>
                    <w:rPr>
                      <w:sz w:val="21"/>
                      <w:szCs w:val="21"/>
                      <w:vertAlign w:val="superscript"/>
                    </w:rPr>
                    <w:t>2</w:t>
                  </w:r>
                  <w:r>
                    <w:rPr>
                      <w:sz w:val="21"/>
                      <w:szCs w:val="21"/>
                    </w:rPr>
                    <w:t>，新建井场</w:t>
                  </w:r>
                  <w:r>
                    <w:rPr>
                      <w:rFonts w:hint="eastAsia"/>
                      <w:sz w:val="21"/>
                      <w:szCs w:val="21"/>
                    </w:rPr>
                    <w:t>6875</w:t>
                  </w:r>
                  <w:r>
                    <w:rPr>
                      <w:sz w:val="21"/>
                      <w:szCs w:val="21"/>
                    </w:rPr>
                    <w:t>m</w:t>
                  </w:r>
                  <w:r>
                    <w:rPr>
                      <w:sz w:val="21"/>
                      <w:szCs w:val="21"/>
                      <w:vertAlign w:val="superscript"/>
                    </w:rPr>
                    <w:t>2</w:t>
                  </w:r>
                  <w:r>
                    <w:rPr>
                      <w:sz w:val="21"/>
                      <w:szCs w:val="21"/>
                    </w:rPr>
                    <w:t>，井场规格</w:t>
                  </w:r>
                  <w:r>
                    <w:rPr>
                      <w:rFonts w:hint="eastAsia"/>
                      <w:sz w:val="21"/>
                      <w:szCs w:val="21"/>
                    </w:rPr>
                    <w:t>125</w:t>
                  </w:r>
                  <w:r>
                    <w:rPr>
                      <w:sz w:val="21"/>
                      <w:szCs w:val="21"/>
                    </w:rPr>
                    <w:t>×</w:t>
                  </w:r>
                  <w:r>
                    <w:rPr>
                      <w:rFonts w:hint="eastAsia"/>
                      <w:sz w:val="21"/>
                      <w:szCs w:val="21"/>
                    </w:rPr>
                    <w:t>55</w:t>
                  </w:r>
                  <w:r>
                    <w:rPr>
                      <w:sz w:val="21"/>
                      <w:szCs w:val="21"/>
                    </w:rPr>
                    <w:t>m。井架基础下部采用C25钢筋混凝土筏板基础，上部为C25片（卵）石砼；面层为30cm厚C25碎石砼。ZJ</w:t>
                  </w:r>
                  <w:r>
                    <w:rPr>
                      <w:rFonts w:hint="eastAsia"/>
                      <w:sz w:val="21"/>
                      <w:szCs w:val="21"/>
                    </w:rPr>
                    <w:t>50型</w:t>
                  </w:r>
                  <w:r>
                    <w:rPr>
                      <w:sz w:val="21"/>
                      <w:szCs w:val="21"/>
                    </w:rPr>
                    <w:t>钻机配套的机房基础、泥浆泵基础、循环系统基础、发电房基础、工具房基础等井场内设备基础下部为20cm厚片石基层＋10cm厚C15混凝土垫层＋20cm厚C25钢筋混凝土面层，均进行了防渗处理。</w:t>
                  </w:r>
                </w:p>
              </w:tc>
              <w:tc>
                <w:tcPr>
                  <w:tcW w:w="1259" w:type="dxa"/>
                  <w:vMerge w:val="restart"/>
                  <w:vAlign w:val="center"/>
                </w:tcPr>
                <w:p>
                  <w:pPr>
                    <w:jc w:val="center"/>
                    <w:rPr>
                      <w:kern w:val="28"/>
                      <w:szCs w:val="21"/>
                    </w:rPr>
                  </w:pPr>
                  <w:r>
                    <w:rPr>
                      <w:kern w:val="28"/>
                      <w:szCs w:val="21"/>
                    </w:rPr>
                    <w:t>临时占地，改变土地利用现状，破坏植被，改变自然地形地貌，可能导致水土流失，施工扬尘、噪声、固废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953" w:type="dxa"/>
                  <w:vAlign w:val="center"/>
                </w:tcPr>
                <w:p>
                  <w:pPr>
                    <w:jc w:val="center"/>
                    <w:rPr>
                      <w:kern w:val="28"/>
                      <w:szCs w:val="21"/>
                    </w:rPr>
                  </w:pPr>
                  <w:r>
                    <w:rPr>
                      <w:kern w:val="28"/>
                      <w:szCs w:val="21"/>
                    </w:rPr>
                    <w:t>方井</w:t>
                  </w:r>
                </w:p>
              </w:tc>
              <w:tc>
                <w:tcPr>
                  <w:tcW w:w="5655" w:type="dxa"/>
                  <w:vAlign w:val="center"/>
                </w:tcPr>
                <w:p>
                  <w:pPr>
                    <w:pStyle w:val="19"/>
                    <w:tabs>
                      <w:tab w:val="left" w:pos="0"/>
                      <w:tab w:val="left" w:pos="833"/>
                    </w:tabs>
                    <w:spacing w:before="0" w:after="0" w:line="240" w:lineRule="auto"/>
                    <w:ind w:right="0"/>
                    <w:rPr>
                      <w:sz w:val="21"/>
                      <w:szCs w:val="21"/>
                    </w:rPr>
                  </w:pPr>
                  <w:r>
                    <w:rPr>
                      <w:sz w:val="21"/>
                      <w:szCs w:val="21"/>
                    </w:rPr>
                    <w:t>井口方井为4×4×4m，重点防渗处理。</w:t>
                  </w:r>
                </w:p>
              </w:tc>
              <w:tc>
                <w:tcPr>
                  <w:tcW w:w="1259" w:type="dxa"/>
                  <w:vMerge w:val="continue"/>
                  <w:vAlign w:val="center"/>
                </w:tcPr>
                <w:p>
                  <w:pPr>
                    <w:jc w:val="center"/>
                    <w:rPr>
                      <w:kern w:val="28"/>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953" w:type="dxa"/>
                  <w:vAlign w:val="center"/>
                </w:tcPr>
                <w:p>
                  <w:pPr>
                    <w:jc w:val="center"/>
                    <w:rPr>
                      <w:kern w:val="28"/>
                      <w:szCs w:val="21"/>
                    </w:rPr>
                  </w:pPr>
                  <w:r>
                    <w:rPr>
                      <w:kern w:val="28"/>
                      <w:szCs w:val="21"/>
                    </w:rPr>
                    <w:t>设备、设施基础</w:t>
                  </w:r>
                </w:p>
              </w:tc>
              <w:tc>
                <w:tcPr>
                  <w:tcW w:w="5655" w:type="dxa"/>
                  <w:vAlign w:val="center"/>
                </w:tcPr>
                <w:p>
                  <w:pPr>
                    <w:pStyle w:val="19"/>
                    <w:tabs>
                      <w:tab w:val="left" w:pos="0"/>
                      <w:tab w:val="left" w:pos="833"/>
                    </w:tabs>
                    <w:spacing w:before="0" w:after="0" w:line="240" w:lineRule="auto"/>
                    <w:ind w:right="0"/>
                    <w:rPr>
                      <w:sz w:val="21"/>
                      <w:szCs w:val="21"/>
                    </w:rPr>
                  </w:pPr>
                  <w:r>
                    <w:rPr>
                      <w:sz w:val="21"/>
                      <w:szCs w:val="21"/>
                    </w:rPr>
                    <w:t>井架基础以可塑粉质黏土层为持力层。以C25钢筋混凝土基础，重点防渗处理。</w:t>
                  </w:r>
                </w:p>
              </w:tc>
              <w:tc>
                <w:tcPr>
                  <w:tcW w:w="1259" w:type="dxa"/>
                  <w:vMerge w:val="continue"/>
                  <w:vAlign w:val="center"/>
                </w:tcPr>
                <w:p>
                  <w:pPr>
                    <w:jc w:val="center"/>
                    <w:rPr>
                      <w:kern w:val="28"/>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953" w:type="dxa"/>
                  <w:vAlign w:val="center"/>
                </w:tcPr>
                <w:p>
                  <w:pPr>
                    <w:jc w:val="center"/>
                    <w:rPr>
                      <w:kern w:val="28"/>
                      <w:szCs w:val="21"/>
                    </w:rPr>
                  </w:pPr>
                  <w:r>
                    <w:rPr>
                      <w:kern w:val="28"/>
                      <w:szCs w:val="21"/>
                    </w:rPr>
                    <w:t>应急池</w:t>
                  </w:r>
                </w:p>
              </w:tc>
              <w:tc>
                <w:tcPr>
                  <w:tcW w:w="5655" w:type="dxa"/>
                  <w:vAlign w:val="center"/>
                </w:tcPr>
                <w:p>
                  <w:pPr>
                    <w:pStyle w:val="19"/>
                    <w:tabs>
                      <w:tab w:val="left" w:pos="0"/>
                      <w:tab w:val="left" w:pos="833"/>
                    </w:tabs>
                    <w:spacing w:before="0" w:after="0" w:line="240" w:lineRule="auto"/>
                    <w:ind w:right="0"/>
                    <w:rPr>
                      <w:sz w:val="21"/>
                      <w:szCs w:val="21"/>
                    </w:rPr>
                  </w:pPr>
                  <w:r>
                    <w:rPr>
                      <w:sz w:val="21"/>
                      <w:szCs w:val="21"/>
                    </w:rPr>
                    <w:t>位于井场外北侧，共</w:t>
                  </w:r>
                  <w:r>
                    <w:rPr>
                      <w:rFonts w:hint="eastAsia"/>
                      <w:sz w:val="21"/>
                      <w:szCs w:val="21"/>
                    </w:rPr>
                    <w:t>1</w:t>
                  </w:r>
                  <w:r>
                    <w:rPr>
                      <w:sz w:val="21"/>
                      <w:szCs w:val="21"/>
                    </w:rPr>
                    <w:t>格，容积为</w:t>
                  </w:r>
                  <w:r>
                    <w:rPr>
                      <w:rFonts w:hint="eastAsia"/>
                      <w:sz w:val="21"/>
                      <w:szCs w:val="21"/>
                    </w:rPr>
                    <w:t>5</w:t>
                  </w:r>
                  <w:r>
                    <w:rPr>
                      <w:sz w:val="21"/>
                      <w:szCs w:val="21"/>
                    </w:rPr>
                    <w:t>00m</w:t>
                  </w:r>
                  <w:r>
                    <w:rPr>
                      <w:sz w:val="21"/>
                      <w:szCs w:val="21"/>
                      <w:vertAlign w:val="superscript"/>
                    </w:rPr>
                    <w:t>3</w:t>
                  </w:r>
                  <w:r>
                    <w:rPr>
                      <w:sz w:val="21"/>
                      <w:szCs w:val="21"/>
                    </w:rPr>
                    <w:t>，剥离的表土堆存于耕植土堆放场，其余土石方在井场内</w:t>
                  </w:r>
                  <w:r>
                    <w:rPr>
                      <w:color w:val="FF0000"/>
                      <w:sz w:val="21"/>
                      <w:szCs w:val="21"/>
                    </w:rPr>
                    <w:t>作</w:t>
                  </w:r>
                  <w:r>
                    <w:rPr>
                      <w:sz w:val="21"/>
                      <w:szCs w:val="21"/>
                    </w:rPr>
                    <w:t>为填方。并在池壁四周设置钢质护栏，池内重点防渗处理。</w:t>
                  </w:r>
                </w:p>
              </w:tc>
              <w:tc>
                <w:tcPr>
                  <w:tcW w:w="1259" w:type="dxa"/>
                  <w:vMerge w:val="continue"/>
                  <w:vAlign w:val="center"/>
                </w:tcPr>
                <w:p>
                  <w:pPr>
                    <w:jc w:val="center"/>
                    <w:rPr>
                      <w:kern w:val="28"/>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953" w:type="dxa"/>
                  <w:vAlign w:val="center"/>
                </w:tcPr>
                <w:p>
                  <w:pPr>
                    <w:jc w:val="center"/>
                    <w:rPr>
                      <w:kern w:val="28"/>
                      <w:szCs w:val="21"/>
                    </w:rPr>
                  </w:pPr>
                  <w:r>
                    <w:rPr>
                      <w:kern w:val="28"/>
                      <w:szCs w:val="21"/>
                    </w:rPr>
                    <w:t>放喷池</w:t>
                  </w:r>
                </w:p>
              </w:tc>
              <w:tc>
                <w:tcPr>
                  <w:tcW w:w="5655" w:type="dxa"/>
                  <w:vAlign w:val="center"/>
                </w:tcPr>
                <w:p>
                  <w:pPr>
                    <w:pStyle w:val="19"/>
                    <w:tabs>
                      <w:tab w:val="left" w:pos="0"/>
                      <w:tab w:val="left" w:pos="833"/>
                    </w:tabs>
                    <w:spacing w:before="0" w:after="0" w:line="240" w:lineRule="auto"/>
                    <w:ind w:right="0"/>
                    <w:rPr>
                      <w:sz w:val="21"/>
                      <w:szCs w:val="21"/>
                    </w:rPr>
                  </w:pPr>
                  <w:r>
                    <w:rPr>
                      <w:sz w:val="21"/>
                      <w:szCs w:val="21"/>
                    </w:rPr>
                    <w:t>共</w:t>
                  </w:r>
                  <w:r>
                    <w:rPr>
                      <w:rFonts w:hint="eastAsia"/>
                      <w:sz w:val="21"/>
                      <w:szCs w:val="21"/>
                    </w:rPr>
                    <w:t>1</w:t>
                  </w:r>
                  <w:r>
                    <w:rPr>
                      <w:sz w:val="21"/>
                      <w:szCs w:val="21"/>
                    </w:rPr>
                    <w:t>个，均位于井场</w:t>
                  </w:r>
                  <w:r>
                    <w:rPr>
                      <w:rFonts w:hint="eastAsia"/>
                      <w:sz w:val="21"/>
                      <w:szCs w:val="21"/>
                    </w:rPr>
                    <w:t>西北</w:t>
                  </w:r>
                  <w:r>
                    <w:rPr>
                      <w:sz w:val="21"/>
                      <w:szCs w:val="21"/>
                    </w:rPr>
                    <w:t>侧，放喷坑为A类放喷坑（7m*14m），用于测试放喷，配10m</w:t>
                  </w:r>
                  <w:r>
                    <w:rPr>
                      <w:sz w:val="21"/>
                      <w:szCs w:val="21"/>
                      <w:vertAlign w:val="superscript"/>
                    </w:rPr>
                    <w:t>3</w:t>
                  </w:r>
                  <w:r>
                    <w:rPr>
                      <w:sz w:val="21"/>
                      <w:szCs w:val="21"/>
                    </w:rPr>
                    <w:t>集酸池一座，池内重点防渗。</w:t>
                  </w:r>
                </w:p>
              </w:tc>
              <w:tc>
                <w:tcPr>
                  <w:tcW w:w="1259" w:type="dxa"/>
                  <w:vMerge w:val="continue"/>
                  <w:vAlign w:val="center"/>
                </w:tcPr>
                <w:p>
                  <w:pPr>
                    <w:jc w:val="center"/>
                    <w:rPr>
                      <w:kern w:val="28"/>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953" w:type="dxa"/>
                  <w:vAlign w:val="center"/>
                </w:tcPr>
                <w:p>
                  <w:pPr>
                    <w:jc w:val="center"/>
                    <w:rPr>
                      <w:kern w:val="28"/>
                      <w:szCs w:val="21"/>
                    </w:rPr>
                  </w:pPr>
                  <w:r>
                    <w:rPr>
                      <w:kern w:val="28"/>
                      <w:szCs w:val="21"/>
                    </w:rPr>
                    <w:t>隔油池</w:t>
                  </w:r>
                </w:p>
              </w:tc>
              <w:tc>
                <w:tcPr>
                  <w:tcW w:w="5655" w:type="dxa"/>
                  <w:vAlign w:val="center"/>
                </w:tcPr>
                <w:p>
                  <w:pPr>
                    <w:pStyle w:val="19"/>
                    <w:tabs>
                      <w:tab w:val="left" w:pos="0"/>
                      <w:tab w:val="left" w:pos="833"/>
                    </w:tabs>
                    <w:spacing w:before="0" w:after="0" w:line="240" w:lineRule="auto"/>
                    <w:ind w:right="0"/>
                    <w:rPr>
                      <w:sz w:val="21"/>
                      <w:szCs w:val="21"/>
                    </w:rPr>
                  </w:pPr>
                  <w:r>
                    <w:rPr>
                      <w:sz w:val="21"/>
                      <w:szCs w:val="21"/>
                    </w:rPr>
                    <w:t>井场四角处各设一个5m</w:t>
                  </w:r>
                  <w:r>
                    <w:rPr>
                      <w:sz w:val="21"/>
                      <w:szCs w:val="21"/>
                      <w:vertAlign w:val="superscript"/>
                    </w:rPr>
                    <w:t>3</w:t>
                  </w:r>
                  <w:r>
                    <w:rPr>
                      <w:sz w:val="21"/>
                      <w:szCs w:val="21"/>
                    </w:rPr>
                    <w:t>隔油池；在厨房、浴室附近各设置一处10m</w:t>
                  </w:r>
                  <w:r>
                    <w:rPr>
                      <w:sz w:val="21"/>
                      <w:szCs w:val="21"/>
                      <w:vertAlign w:val="superscript"/>
                    </w:rPr>
                    <w:t>3</w:t>
                  </w:r>
                  <w:r>
                    <w:rPr>
                      <w:sz w:val="21"/>
                      <w:szCs w:val="21"/>
                    </w:rPr>
                    <w:t>的污水隔油池，共6个。对隔油池顶面做防雨水措施。</w:t>
                  </w:r>
                </w:p>
              </w:tc>
              <w:tc>
                <w:tcPr>
                  <w:tcW w:w="1259" w:type="dxa"/>
                  <w:vMerge w:val="continue"/>
                  <w:vAlign w:val="center"/>
                </w:tcPr>
                <w:p>
                  <w:pPr>
                    <w:jc w:val="center"/>
                    <w:rPr>
                      <w:kern w:val="28"/>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953" w:type="dxa"/>
                  <w:vAlign w:val="center"/>
                </w:tcPr>
                <w:p>
                  <w:pPr>
                    <w:jc w:val="center"/>
                    <w:rPr>
                      <w:kern w:val="28"/>
                      <w:szCs w:val="21"/>
                    </w:rPr>
                  </w:pPr>
                  <w:r>
                    <w:rPr>
                      <w:kern w:val="28"/>
                      <w:szCs w:val="21"/>
                    </w:rPr>
                    <w:t>生活区活动板房</w:t>
                  </w:r>
                </w:p>
              </w:tc>
              <w:tc>
                <w:tcPr>
                  <w:tcW w:w="5655" w:type="dxa"/>
                  <w:vAlign w:val="center"/>
                </w:tcPr>
                <w:p>
                  <w:pPr>
                    <w:pStyle w:val="19"/>
                    <w:tabs>
                      <w:tab w:val="left" w:pos="0"/>
                      <w:tab w:val="left" w:pos="833"/>
                    </w:tabs>
                    <w:spacing w:before="0" w:after="0" w:line="240" w:lineRule="auto"/>
                    <w:ind w:right="0"/>
                    <w:rPr>
                      <w:sz w:val="21"/>
                      <w:szCs w:val="21"/>
                    </w:rPr>
                  </w:pPr>
                  <w:r>
                    <w:rPr>
                      <w:sz w:val="21"/>
                      <w:szCs w:val="21"/>
                    </w:rPr>
                    <w:t>板房现场吊装。共新建</w:t>
                  </w:r>
                  <w:r>
                    <w:rPr>
                      <w:rFonts w:hint="eastAsia"/>
                      <w:sz w:val="21"/>
                      <w:szCs w:val="21"/>
                    </w:rPr>
                    <w:t>1</w:t>
                  </w:r>
                  <w:r>
                    <w:rPr>
                      <w:sz w:val="21"/>
                      <w:szCs w:val="21"/>
                    </w:rPr>
                    <w:t>套生活区，位于井场</w:t>
                  </w:r>
                  <w:r>
                    <w:rPr>
                      <w:rFonts w:hint="eastAsia"/>
                      <w:sz w:val="21"/>
                      <w:szCs w:val="21"/>
                    </w:rPr>
                    <w:t>东南</w:t>
                  </w:r>
                  <w:r>
                    <w:rPr>
                      <w:sz w:val="21"/>
                      <w:szCs w:val="21"/>
                    </w:rPr>
                    <w:t>侧，距离井场约</w:t>
                  </w:r>
                  <w:r>
                    <w:rPr>
                      <w:rFonts w:hint="eastAsia"/>
                      <w:sz w:val="21"/>
                      <w:szCs w:val="21"/>
                    </w:rPr>
                    <w:t>43</w:t>
                  </w:r>
                  <w:r>
                    <w:rPr>
                      <w:sz w:val="21"/>
                      <w:szCs w:val="21"/>
                    </w:rPr>
                    <w:t>m，生活区设置1座厕所。</w:t>
                  </w:r>
                </w:p>
              </w:tc>
              <w:tc>
                <w:tcPr>
                  <w:tcW w:w="1259" w:type="dxa"/>
                  <w:vMerge w:val="continue"/>
                  <w:vAlign w:val="center"/>
                </w:tcPr>
                <w:p>
                  <w:pPr>
                    <w:jc w:val="center"/>
                    <w:rPr>
                      <w:kern w:val="28"/>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953" w:type="dxa"/>
                  <w:vAlign w:val="center"/>
                </w:tcPr>
                <w:p>
                  <w:pPr>
                    <w:jc w:val="center"/>
                    <w:rPr>
                      <w:kern w:val="28"/>
                      <w:szCs w:val="21"/>
                    </w:rPr>
                  </w:pPr>
                  <w:r>
                    <w:rPr>
                      <w:kern w:val="28"/>
                      <w:szCs w:val="21"/>
                    </w:rPr>
                    <w:t>耕植土堆放区</w:t>
                  </w:r>
                </w:p>
              </w:tc>
              <w:tc>
                <w:tcPr>
                  <w:tcW w:w="5655" w:type="dxa"/>
                  <w:vAlign w:val="center"/>
                </w:tcPr>
                <w:p>
                  <w:pPr>
                    <w:pStyle w:val="19"/>
                    <w:tabs>
                      <w:tab w:val="left" w:pos="0"/>
                      <w:tab w:val="left" w:pos="833"/>
                    </w:tabs>
                    <w:spacing w:before="0" w:after="0" w:line="240" w:lineRule="auto"/>
                    <w:ind w:right="0"/>
                    <w:rPr>
                      <w:sz w:val="21"/>
                      <w:szCs w:val="21"/>
                    </w:rPr>
                  </w:pPr>
                  <w:r>
                    <w:rPr>
                      <w:sz w:val="21"/>
                      <w:szCs w:val="21"/>
                    </w:rPr>
                    <w:t>位于井场西侧，占地面积共为4.5亩，用于临时堆存剥离的表土，用于临时占地复垦时的覆土；堆存期间采用彩条布遮盖，减少风蚀和水土流失。</w:t>
                  </w:r>
                </w:p>
              </w:tc>
              <w:tc>
                <w:tcPr>
                  <w:tcW w:w="1259" w:type="dxa"/>
                  <w:vMerge w:val="continue"/>
                  <w:vAlign w:val="center"/>
                </w:tcPr>
                <w:p>
                  <w:pPr>
                    <w:jc w:val="center"/>
                    <w:rPr>
                      <w:kern w:val="28"/>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953" w:type="dxa"/>
                  <w:vAlign w:val="center"/>
                </w:tcPr>
                <w:p>
                  <w:pPr>
                    <w:jc w:val="center"/>
                    <w:rPr>
                      <w:kern w:val="28"/>
                      <w:szCs w:val="21"/>
                    </w:rPr>
                  </w:pPr>
                  <w:r>
                    <w:rPr>
                      <w:kern w:val="28"/>
                      <w:szCs w:val="21"/>
                    </w:rPr>
                    <w:t>场外清水沟</w:t>
                  </w:r>
                </w:p>
              </w:tc>
              <w:tc>
                <w:tcPr>
                  <w:tcW w:w="5655" w:type="dxa"/>
                  <w:vAlign w:val="center"/>
                </w:tcPr>
                <w:p>
                  <w:pPr>
                    <w:pStyle w:val="19"/>
                    <w:tabs>
                      <w:tab w:val="left" w:pos="0"/>
                      <w:tab w:val="left" w:pos="833"/>
                    </w:tabs>
                    <w:spacing w:before="0" w:after="0" w:line="240" w:lineRule="auto"/>
                    <w:ind w:right="0"/>
                    <w:rPr>
                      <w:sz w:val="21"/>
                      <w:szCs w:val="21"/>
                    </w:rPr>
                  </w:pPr>
                  <w:r>
                    <w:rPr>
                      <w:sz w:val="21"/>
                      <w:szCs w:val="21"/>
                    </w:rPr>
                    <w:t>场外四周修筑雨水沟总长350m，采用20cm厚C15水泥砂浆抹面。</w:t>
                  </w:r>
                </w:p>
              </w:tc>
              <w:tc>
                <w:tcPr>
                  <w:tcW w:w="1259" w:type="dxa"/>
                  <w:vMerge w:val="continue"/>
                  <w:vAlign w:val="center"/>
                </w:tcPr>
                <w:p>
                  <w:pPr>
                    <w:jc w:val="center"/>
                    <w:rPr>
                      <w:kern w:val="28"/>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953" w:type="dxa"/>
                  <w:vAlign w:val="center"/>
                </w:tcPr>
                <w:p>
                  <w:pPr>
                    <w:jc w:val="center"/>
                    <w:rPr>
                      <w:kern w:val="28"/>
                      <w:szCs w:val="21"/>
                    </w:rPr>
                  </w:pPr>
                  <w:r>
                    <w:rPr>
                      <w:kern w:val="28"/>
                      <w:szCs w:val="21"/>
                    </w:rPr>
                    <w:t>场内清水沟</w:t>
                  </w:r>
                </w:p>
              </w:tc>
              <w:tc>
                <w:tcPr>
                  <w:tcW w:w="5655" w:type="dxa"/>
                  <w:vAlign w:val="center"/>
                </w:tcPr>
                <w:p>
                  <w:pPr>
                    <w:pStyle w:val="19"/>
                    <w:tabs>
                      <w:tab w:val="left" w:pos="0"/>
                      <w:tab w:val="left" w:pos="833"/>
                    </w:tabs>
                    <w:spacing w:before="0" w:after="0" w:line="240" w:lineRule="auto"/>
                    <w:ind w:right="0"/>
                    <w:rPr>
                      <w:sz w:val="21"/>
                      <w:szCs w:val="21"/>
                    </w:rPr>
                  </w:pPr>
                  <w:r>
                    <w:rPr>
                      <w:sz w:val="21"/>
                      <w:szCs w:val="21"/>
                    </w:rPr>
                    <w:t>井场内排污沟总长296m，采用C15水泥砂浆抹面。</w:t>
                  </w:r>
                </w:p>
              </w:tc>
              <w:tc>
                <w:tcPr>
                  <w:tcW w:w="1259" w:type="dxa"/>
                  <w:vMerge w:val="continue"/>
                  <w:vAlign w:val="center"/>
                </w:tcPr>
                <w:p>
                  <w:pPr>
                    <w:jc w:val="center"/>
                    <w:rPr>
                      <w:kern w:val="28"/>
                      <w:szCs w:val="21"/>
                    </w:rPr>
                  </w:pPr>
                </w:p>
              </w:tc>
            </w:tr>
            <w:bookmarkEnd w:id="11"/>
          </w:tbl>
          <w:p>
            <w:pPr>
              <w:spacing w:line="360" w:lineRule="auto"/>
              <w:ind w:firstLine="420" w:firstLineChars="200"/>
              <w:rPr>
                <w:bCs/>
                <w:szCs w:val="21"/>
              </w:rPr>
            </w:pPr>
          </w:p>
          <w:p>
            <w:pPr>
              <w:spacing w:line="360" w:lineRule="auto"/>
              <w:ind w:firstLine="420" w:firstLineChars="200"/>
              <w:rPr>
                <w:bCs/>
                <w:szCs w:val="21"/>
              </w:rPr>
            </w:pPr>
            <w:r>
              <w:rPr>
                <w:bCs/>
                <w:szCs w:val="21"/>
              </w:rPr>
              <w:t>（</w:t>
            </w:r>
            <w:r>
              <w:rPr>
                <w:rFonts w:hint="eastAsia"/>
                <w:bCs/>
                <w:szCs w:val="21"/>
              </w:rPr>
              <w:t>2</w:t>
            </w:r>
            <w:r>
              <w:rPr>
                <w:bCs/>
                <w:szCs w:val="21"/>
              </w:rPr>
              <w:t>）钻井工程</w:t>
            </w:r>
          </w:p>
          <w:p>
            <w:pPr>
              <w:spacing w:line="360" w:lineRule="auto"/>
              <w:ind w:firstLine="420" w:firstLineChars="200"/>
              <w:rPr>
                <w:bCs/>
                <w:szCs w:val="21"/>
              </w:rPr>
            </w:pPr>
            <w:r>
              <w:rPr>
                <w:bCs/>
                <w:szCs w:val="21"/>
              </w:rPr>
              <w:t>钻井工程主要包括利用井场钻井作业。主要工程内容和工程量见下表。</w:t>
            </w:r>
          </w:p>
          <w:p>
            <w:pPr>
              <w:spacing w:line="360" w:lineRule="auto"/>
              <w:ind w:firstLine="420" w:firstLineChars="200"/>
              <w:rPr>
                <w:bCs/>
                <w:szCs w:val="21"/>
              </w:rPr>
            </w:pPr>
          </w:p>
          <w:p>
            <w:pPr>
              <w:spacing w:line="360" w:lineRule="auto"/>
              <w:ind w:firstLine="420" w:firstLineChars="200"/>
              <w:rPr>
                <w:bCs/>
                <w:szCs w:val="21"/>
              </w:rPr>
            </w:pPr>
          </w:p>
          <w:p>
            <w:pPr>
              <w:pStyle w:val="19"/>
              <w:numPr>
                <w:ilvl w:val="0"/>
                <w:numId w:val="5"/>
              </w:numPr>
              <w:tabs>
                <w:tab w:val="left" w:pos="0"/>
                <w:tab w:val="left" w:pos="833"/>
              </w:tabs>
              <w:spacing w:before="0" w:after="0" w:line="360" w:lineRule="auto"/>
              <w:ind w:left="0" w:right="0" w:firstLine="0"/>
              <w:jc w:val="center"/>
              <w:rPr>
                <w:b/>
                <w:bCs/>
                <w:sz w:val="21"/>
                <w:szCs w:val="21"/>
              </w:rPr>
            </w:pPr>
            <w:r>
              <w:rPr>
                <w:b/>
                <w:bCs/>
                <w:sz w:val="21"/>
                <w:szCs w:val="21"/>
              </w:rPr>
              <w:t>项目组成及主要环境影响</w:t>
            </w:r>
          </w:p>
          <w:tbl>
            <w:tblPr>
              <w:tblStyle w:val="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9"/>
              <w:gridCol w:w="850"/>
              <w:gridCol w:w="4962"/>
              <w:gridCol w:w="13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599" w:type="dxa"/>
                  <w:vAlign w:val="center"/>
                </w:tcPr>
                <w:p>
                  <w:pPr>
                    <w:jc w:val="center"/>
                    <w:rPr>
                      <w:kern w:val="28"/>
                      <w:szCs w:val="21"/>
                    </w:rPr>
                  </w:pPr>
                  <w:bookmarkStart w:id="12" w:name="_Hlk69130929"/>
                  <w:r>
                    <w:rPr>
                      <w:kern w:val="28"/>
                      <w:szCs w:val="21"/>
                    </w:rPr>
                    <w:t>名称</w:t>
                  </w:r>
                </w:p>
              </w:tc>
              <w:tc>
                <w:tcPr>
                  <w:tcW w:w="850" w:type="dxa"/>
                  <w:vAlign w:val="center"/>
                </w:tcPr>
                <w:p>
                  <w:pPr>
                    <w:jc w:val="center"/>
                    <w:rPr>
                      <w:kern w:val="28"/>
                      <w:szCs w:val="21"/>
                    </w:rPr>
                  </w:pPr>
                  <w:r>
                    <w:rPr>
                      <w:kern w:val="28"/>
                      <w:szCs w:val="21"/>
                    </w:rPr>
                    <w:t>建设内容</w:t>
                  </w:r>
                </w:p>
              </w:tc>
              <w:tc>
                <w:tcPr>
                  <w:tcW w:w="4962" w:type="dxa"/>
                  <w:vAlign w:val="center"/>
                </w:tcPr>
                <w:p>
                  <w:pPr>
                    <w:jc w:val="center"/>
                    <w:rPr>
                      <w:kern w:val="28"/>
                      <w:szCs w:val="21"/>
                    </w:rPr>
                  </w:pPr>
                  <w:r>
                    <w:rPr>
                      <w:kern w:val="28"/>
                      <w:szCs w:val="21"/>
                    </w:rPr>
                    <w:t>建设规模</w:t>
                  </w:r>
                </w:p>
              </w:tc>
              <w:tc>
                <w:tcPr>
                  <w:tcW w:w="1343" w:type="dxa"/>
                  <w:vAlign w:val="center"/>
                </w:tcPr>
                <w:p>
                  <w:pPr>
                    <w:jc w:val="center"/>
                    <w:rPr>
                      <w:kern w:val="28"/>
                      <w:szCs w:val="21"/>
                    </w:rPr>
                  </w:pPr>
                  <w:r>
                    <w:rPr>
                      <w:kern w:val="28"/>
                      <w:szCs w:val="21"/>
                    </w:rPr>
                    <w:t>可能产生的环境影响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jc w:val="center"/>
              </w:trPr>
              <w:tc>
                <w:tcPr>
                  <w:tcW w:w="599" w:type="dxa"/>
                  <w:vMerge w:val="restart"/>
                  <w:vAlign w:val="center"/>
                </w:tcPr>
                <w:p>
                  <w:pPr>
                    <w:jc w:val="center"/>
                    <w:rPr>
                      <w:kern w:val="28"/>
                      <w:szCs w:val="21"/>
                    </w:rPr>
                  </w:pPr>
                  <w:r>
                    <w:rPr>
                      <w:kern w:val="28"/>
                      <w:szCs w:val="21"/>
                    </w:rPr>
                    <w:t>主体工程</w:t>
                  </w:r>
                </w:p>
              </w:tc>
              <w:tc>
                <w:tcPr>
                  <w:tcW w:w="850" w:type="dxa"/>
                  <w:tcBorders>
                    <w:bottom w:val="single" w:color="auto" w:sz="4" w:space="0"/>
                  </w:tcBorders>
                  <w:vAlign w:val="center"/>
                </w:tcPr>
                <w:p>
                  <w:pPr>
                    <w:pStyle w:val="25"/>
                    <w:tabs>
                      <w:tab w:val="left" w:pos="2321"/>
                    </w:tabs>
                    <w:overflowPunct w:val="0"/>
                    <w:autoSpaceDE w:val="0"/>
                    <w:spacing w:after="0" w:line="240" w:lineRule="auto"/>
                    <w:ind w:left="0" w:leftChars="0"/>
                    <w:jc w:val="center"/>
                    <w:rPr>
                      <w:kern w:val="28"/>
                      <w:szCs w:val="21"/>
                    </w:rPr>
                  </w:pPr>
                  <w:r>
                    <w:rPr>
                      <w:kern w:val="28"/>
                      <w:szCs w:val="21"/>
                    </w:rPr>
                    <w:t>钻井工程</w:t>
                  </w:r>
                </w:p>
              </w:tc>
              <w:tc>
                <w:tcPr>
                  <w:tcW w:w="4962" w:type="dxa"/>
                  <w:vAlign w:val="center"/>
                </w:tcPr>
                <w:p>
                  <w:pPr>
                    <w:pStyle w:val="25"/>
                    <w:tabs>
                      <w:tab w:val="left" w:pos="2321"/>
                    </w:tabs>
                    <w:overflowPunct w:val="0"/>
                    <w:autoSpaceDE w:val="0"/>
                    <w:spacing w:after="0" w:line="240" w:lineRule="auto"/>
                    <w:ind w:left="0" w:leftChars="0"/>
                    <w:rPr>
                      <w:szCs w:val="21"/>
                    </w:rPr>
                  </w:pPr>
                  <w:r>
                    <w:rPr>
                      <w:kern w:val="28"/>
                      <w:szCs w:val="21"/>
                    </w:rPr>
                    <w:t>平安101井为定向井，设计井深4087m，</w:t>
                  </w:r>
                  <w:r>
                    <w:rPr>
                      <w:szCs w:val="21"/>
                    </w:rPr>
                    <w:t>完钻层位为</w:t>
                  </w:r>
                  <w:r>
                    <w:rPr>
                      <w:rFonts w:hint="eastAsia"/>
                      <w:szCs w:val="21"/>
                    </w:rPr>
                    <w:t>侏罗系</w:t>
                  </w:r>
                  <w:r>
                    <w:rPr>
                      <w:szCs w:val="21"/>
                    </w:rPr>
                    <w:t>凉高山组</w:t>
                  </w:r>
                  <w:r>
                    <w:rPr>
                      <w:kern w:val="28"/>
                      <w:szCs w:val="21"/>
                    </w:rPr>
                    <w:t>。钻井采用</w:t>
                  </w:r>
                  <w:r>
                    <w:rPr>
                      <w:szCs w:val="21"/>
                    </w:rPr>
                    <w:t>ZJ50型</w:t>
                  </w:r>
                  <w:r>
                    <w:rPr>
                      <w:kern w:val="28"/>
                      <w:szCs w:val="21"/>
                    </w:rPr>
                    <w:t>钻机，导管段采用清水钻井液，一开、二开、三开段采用水基聚合物钻井液（不使用钾聚磺钻井液）。</w:t>
                  </w:r>
                </w:p>
              </w:tc>
              <w:tc>
                <w:tcPr>
                  <w:tcW w:w="1343" w:type="dxa"/>
                  <w:vAlign w:val="center"/>
                </w:tcPr>
                <w:p>
                  <w:pPr>
                    <w:pStyle w:val="25"/>
                    <w:tabs>
                      <w:tab w:val="left" w:pos="2321"/>
                    </w:tabs>
                    <w:overflowPunct w:val="0"/>
                    <w:autoSpaceDE w:val="0"/>
                    <w:spacing w:after="0" w:line="240" w:lineRule="auto"/>
                    <w:ind w:left="0" w:leftChars="0"/>
                    <w:jc w:val="center"/>
                    <w:rPr>
                      <w:kern w:val="28"/>
                      <w:szCs w:val="21"/>
                    </w:rPr>
                  </w:pPr>
                  <w:r>
                    <w:rPr>
                      <w:kern w:val="28"/>
                      <w:szCs w:val="21"/>
                    </w:rPr>
                    <w:t>生产废水、固废、设备噪声、废气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99" w:type="dxa"/>
                  <w:vMerge w:val="continue"/>
                  <w:vAlign w:val="center"/>
                </w:tcPr>
                <w:p>
                  <w:pPr>
                    <w:widowControl/>
                    <w:jc w:val="center"/>
                    <w:rPr>
                      <w:kern w:val="28"/>
                      <w:szCs w:val="21"/>
                    </w:rPr>
                  </w:pPr>
                </w:p>
              </w:tc>
              <w:tc>
                <w:tcPr>
                  <w:tcW w:w="850" w:type="dxa"/>
                  <w:vAlign w:val="center"/>
                </w:tcPr>
                <w:p>
                  <w:pPr>
                    <w:jc w:val="center"/>
                    <w:rPr>
                      <w:kern w:val="28"/>
                      <w:szCs w:val="21"/>
                    </w:rPr>
                  </w:pPr>
                  <w:r>
                    <w:rPr>
                      <w:kern w:val="28"/>
                      <w:szCs w:val="21"/>
                    </w:rPr>
                    <w:t>测井、取心、录井</w:t>
                  </w:r>
                </w:p>
              </w:tc>
              <w:tc>
                <w:tcPr>
                  <w:tcW w:w="4962" w:type="dxa"/>
                  <w:vAlign w:val="center"/>
                </w:tcPr>
                <w:p>
                  <w:pPr>
                    <w:pStyle w:val="25"/>
                    <w:tabs>
                      <w:tab w:val="left" w:pos="2321"/>
                    </w:tabs>
                    <w:overflowPunct w:val="0"/>
                    <w:autoSpaceDE w:val="0"/>
                    <w:spacing w:after="0" w:line="240" w:lineRule="auto"/>
                    <w:ind w:left="0" w:leftChars="0"/>
                    <w:rPr>
                      <w:kern w:val="28"/>
                      <w:szCs w:val="21"/>
                    </w:rPr>
                  </w:pPr>
                  <w:r>
                    <w:rPr>
                      <w:kern w:val="28"/>
                      <w:szCs w:val="21"/>
                    </w:rPr>
                    <w:t>测井、取心、录井主要为取样分析地质等情况，对可能的油、气层进行的中途测试。</w:t>
                  </w:r>
                </w:p>
              </w:tc>
              <w:tc>
                <w:tcPr>
                  <w:tcW w:w="1343" w:type="dxa"/>
                  <w:vAlign w:val="center"/>
                </w:tcPr>
                <w:p>
                  <w:pPr>
                    <w:jc w:val="center"/>
                    <w:rPr>
                      <w:kern w:val="28"/>
                      <w:szCs w:val="21"/>
                    </w:rPr>
                  </w:pPr>
                  <w:r>
                    <w:rPr>
                      <w:kern w:val="28"/>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99" w:type="dxa"/>
                  <w:vMerge w:val="continue"/>
                  <w:vAlign w:val="center"/>
                </w:tcPr>
                <w:p>
                  <w:pPr>
                    <w:widowControl/>
                    <w:jc w:val="center"/>
                    <w:rPr>
                      <w:kern w:val="28"/>
                      <w:szCs w:val="21"/>
                    </w:rPr>
                  </w:pPr>
                </w:p>
              </w:tc>
              <w:tc>
                <w:tcPr>
                  <w:tcW w:w="850" w:type="dxa"/>
                  <w:vAlign w:val="center"/>
                </w:tcPr>
                <w:p>
                  <w:pPr>
                    <w:jc w:val="center"/>
                    <w:rPr>
                      <w:kern w:val="28"/>
                      <w:szCs w:val="21"/>
                    </w:rPr>
                  </w:pPr>
                  <w:r>
                    <w:rPr>
                      <w:kern w:val="28"/>
                      <w:szCs w:val="21"/>
                    </w:rPr>
                    <w:t>固井作业</w:t>
                  </w:r>
                </w:p>
              </w:tc>
              <w:tc>
                <w:tcPr>
                  <w:tcW w:w="4962" w:type="dxa"/>
                  <w:vAlign w:val="center"/>
                </w:tcPr>
                <w:p>
                  <w:pPr>
                    <w:pStyle w:val="25"/>
                    <w:tabs>
                      <w:tab w:val="left" w:pos="2321"/>
                    </w:tabs>
                    <w:overflowPunct w:val="0"/>
                    <w:autoSpaceDE w:val="0"/>
                    <w:spacing w:after="0" w:line="240" w:lineRule="auto"/>
                    <w:ind w:left="0" w:leftChars="0"/>
                    <w:rPr>
                      <w:kern w:val="28"/>
                      <w:szCs w:val="21"/>
                    </w:rPr>
                  </w:pPr>
                  <w:r>
                    <w:rPr>
                      <w:kern w:val="28"/>
                      <w:szCs w:val="21"/>
                    </w:rPr>
                    <w:t>全井段施套管保护+水泥固井。</w:t>
                  </w:r>
                </w:p>
              </w:tc>
              <w:tc>
                <w:tcPr>
                  <w:tcW w:w="1343" w:type="dxa"/>
                  <w:vAlign w:val="center"/>
                </w:tcPr>
                <w:p>
                  <w:pPr>
                    <w:jc w:val="center"/>
                    <w:rPr>
                      <w:kern w:val="28"/>
                      <w:szCs w:val="21"/>
                    </w:rPr>
                  </w:pPr>
                  <w:r>
                    <w:rPr>
                      <w:kern w:val="28"/>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99" w:type="dxa"/>
                  <w:vMerge w:val="restart"/>
                  <w:vAlign w:val="center"/>
                </w:tcPr>
                <w:p>
                  <w:pPr>
                    <w:jc w:val="center"/>
                    <w:rPr>
                      <w:kern w:val="28"/>
                      <w:szCs w:val="21"/>
                    </w:rPr>
                  </w:pPr>
                  <w:r>
                    <w:rPr>
                      <w:kern w:val="28"/>
                      <w:szCs w:val="21"/>
                    </w:rPr>
                    <w:t>辅助工程</w:t>
                  </w:r>
                </w:p>
              </w:tc>
              <w:tc>
                <w:tcPr>
                  <w:tcW w:w="850" w:type="dxa"/>
                  <w:vAlign w:val="center"/>
                </w:tcPr>
                <w:p>
                  <w:pPr>
                    <w:jc w:val="center"/>
                    <w:rPr>
                      <w:kern w:val="0"/>
                      <w:szCs w:val="21"/>
                    </w:rPr>
                  </w:pPr>
                  <w:r>
                    <w:rPr>
                      <w:kern w:val="0"/>
                      <w:szCs w:val="21"/>
                    </w:rPr>
                    <w:t>泥浆循环系统</w:t>
                  </w:r>
                </w:p>
              </w:tc>
              <w:tc>
                <w:tcPr>
                  <w:tcW w:w="4962" w:type="dxa"/>
                  <w:vAlign w:val="center"/>
                </w:tcPr>
                <w:p>
                  <w:pPr>
                    <w:rPr>
                      <w:kern w:val="0"/>
                      <w:szCs w:val="21"/>
                    </w:rPr>
                  </w:pPr>
                  <w:r>
                    <w:rPr>
                      <w:kern w:val="0"/>
                      <w:szCs w:val="21"/>
                    </w:rPr>
                    <w:t>共1套泥浆循环系统，含振动筛、除砂器、离心机、液气分离器、除泥除砂一体机、除气器等装置及循环罐组成。</w:t>
                  </w:r>
                </w:p>
              </w:tc>
              <w:tc>
                <w:tcPr>
                  <w:tcW w:w="1343" w:type="dxa"/>
                  <w:vAlign w:val="center"/>
                </w:tcPr>
                <w:p>
                  <w:pPr>
                    <w:jc w:val="center"/>
                    <w:rPr>
                      <w:kern w:val="28"/>
                      <w:szCs w:val="21"/>
                    </w:rPr>
                  </w:pPr>
                  <w:r>
                    <w:rPr>
                      <w:kern w:val="28"/>
                      <w:szCs w:val="21"/>
                    </w:rPr>
                    <w:t>泥浆跑冒滴漏污染土壤、地下水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99" w:type="dxa"/>
                  <w:vMerge w:val="continue"/>
                  <w:vAlign w:val="center"/>
                </w:tcPr>
                <w:p>
                  <w:pPr>
                    <w:jc w:val="center"/>
                    <w:rPr>
                      <w:kern w:val="28"/>
                      <w:szCs w:val="21"/>
                    </w:rPr>
                  </w:pPr>
                </w:p>
              </w:tc>
              <w:tc>
                <w:tcPr>
                  <w:tcW w:w="850" w:type="dxa"/>
                  <w:vMerge w:val="restart"/>
                  <w:vAlign w:val="center"/>
                </w:tcPr>
                <w:p>
                  <w:pPr>
                    <w:jc w:val="center"/>
                    <w:rPr>
                      <w:kern w:val="28"/>
                      <w:szCs w:val="21"/>
                    </w:rPr>
                  </w:pPr>
                  <w:r>
                    <w:rPr>
                      <w:kern w:val="28"/>
                      <w:szCs w:val="21"/>
                    </w:rPr>
                    <w:t>清洁生产操作平台</w:t>
                  </w:r>
                </w:p>
              </w:tc>
              <w:tc>
                <w:tcPr>
                  <w:tcW w:w="4962" w:type="dxa"/>
                  <w:vAlign w:val="center"/>
                </w:tcPr>
                <w:p>
                  <w:pPr>
                    <w:jc w:val="left"/>
                    <w:rPr>
                      <w:kern w:val="0"/>
                      <w:szCs w:val="21"/>
                    </w:rPr>
                  </w:pPr>
                  <w:r>
                    <w:rPr>
                      <w:kern w:val="0"/>
                      <w:szCs w:val="21"/>
                    </w:rPr>
                    <w:t>废水预处理区：主要有4个40m</w:t>
                  </w:r>
                  <w:r>
                    <w:rPr>
                      <w:kern w:val="0"/>
                      <w:szCs w:val="21"/>
                      <w:vertAlign w:val="superscript"/>
                    </w:rPr>
                    <w:t>3</w:t>
                  </w:r>
                  <w:r>
                    <w:rPr>
                      <w:kern w:val="0"/>
                      <w:szCs w:val="21"/>
                    </w:rPr>
                    <w:t>的污水罐组成，其中隔油罐1个、沉淀罐1个、回用罐1个及废水罐1个。</w:t>
                  </w:r>
                </w:p>
              </w:tc>
              <w:tc>
                <w:tcPr>
                  <w:tcW w:w="1343" w:type="dxa"/>
                  <w:vMerge w:val="restart"/>
                  <w:vAlign w:val="center"/>
                </w:tcPr>
                <w:p>
                  <w:pPr>
                    <w:jc w:val="center"/>
                    <w:rPr>
                      <w:kern w:val="0"/>
                      <w:szCs w:val="21"/>
                    </w:rPr>
                  </w:pPr>
                  <w:r>
                    <w:rPr>
                      <w:kern w:val="0"/>
                      <w:szCs w:val="21"/>
                    </w:rPr>
                    <w:t>泄漏污染土壤、地下水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99" w:type="dxa"/>
                  <w:vMerge w:val="continue"/>
                  <w:vAlign w:val="center"/>
                </w:tcPr>
                <w:p>
                  <w:pPr>
                    <w:jc w:val="center"/>
                    <w:rPr>
                      <w:kern w:val="28"/>
                      <w:szCs w:val="21"/>
                    </w:rPr>
                  </w:pPr>
                </w:p>
              </w:tc>
              <w:tc>
                <w:tcPr>
                  <w:tcW w:w="850" w:type="dxa"/>
                  <w:vMerge w:val="continue"/>
                  <w:vAlign w:val="center"/>
                </w:tcPr>
                <w:p>
                  <w:pPr>
                    <w:widowControl/>
                    <w:jc w:val="center"/>
                    <w:rPr>
                      <w:kern w:val="28"/>
                      <w:szCs w:val="21"/>
                    </w:rPr>
                  </w:pPr>
                </w:p>
              </w:tc>
              <w:tc>
                <w:tcPr>
                  <w:tcW w:w="4962" w:type="dxa"/>
                  <w:vAlign w:val="center"/>
                </w:tcPr>
                <w:p>
                  <w:pPr>
                    <w:jc w:val="left"/>
                    <w:rPr>
                      <w:kern w:val="0"/>
                      <w:szCs w:val="21"/>
                    </w:rPr>
                  </w:pPr>
                  <w:r>
                    <w:rPr>
                      <w:kern w:val="0"/>
                      <w:szCs w:val="21"/>
                    </w:rPr>
                    <w:t>岩屑收集罐由4个20m</w:t>
                  </w:r>
                  <w:r>
                    <w:rPr>
                      <w:kern w:val="0"/>
                      <w:szCs w:val="21"/>
                      <w:vertAlign w:val="superscript"/>
                    </w:rPr>
                    <w:t>3</w:t>
                  </w:r>
                  <w:r>
                    <w:rPr>
                      <w:kern w:val="0"/>
                      <w:szCs w:val="21"/>
                    </w:rPr>
                    <w:t>的岩屑罐+15个2m</w:t>
                  </w:r>
                  <w:r>
                    <w:rPr>
                      <w:kern w:val="0"/>
                      <w:szCs w:val="21"/>
                      <w:vertAlign w:val="superscript"/>
                    </w:rPr>
                    <w:t>3</w:t>
                  </w:r>
                  <w:r>
                    <w:rPr>
                      <w:kern w:val="0"/>
                      <w:szCs w:val="21"/>
                    </w:rPr>
                    <w:t>的岩屑罐组成。</w:t>
                  </w:r>
                </w:p>
              </w:tc>
              <w:tc>
                <w:tcPr>
                  <w:tcW w:w="1343" w:type="dxa"/>
                  <w:vMerge w:val="continue"/>
                  <w:vAlign w:val="center"/>
                </w:tcPr>
                <w:p>
                  <w:pPr>
                    <w:widowControl/>
                    <w:jc w:val="center"/>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99" w:type="dxa"/>
                  <w:vMerge w:val="continue"/>
                  <w:vAlign w:val="center"/>
                </w:tcPr>
                <w:p>
                  <w:pPr>
                    <w:jc w:val="center"/>
                    <w:rPr>
                      <w:kern w:val="28"/>
                      <w:szCs w:val="21"/>
                    </w:rPr>
                  </w:pPr>
                </w:p>
              </w:tc>
              <w:tc>
                <w:tcPr>
                  <w:tcW w:w="850" w:type="dxa"/>
                  <w:vMerge w:val="continue"/>
                  <w:vAlign w:val="center"/>
                </w:tcPr>
                <w:p>
                  <w:pPr>
                    <w:widowControl/>
                    <w:jc w:val="center"/>
                    <w:rPr>
                      <w:kern w:val="28"/>
                      <w:szCs w:val="21"/>
                    </w:rPr>
                  </w:pPr>
                </w:p>
              </w:tc>
              <w:tc>
                <w:tcPr>
                  <w:tcW w:w="4962" w:type="dxa"/>
                  <w:vAlign w:val="center"/>
                </w:tcPr>
                <w:p>
                  <w:pPr>
                    <w:jc w:val="left"/>
                    <w:rPr>
                      <w:kern w:val="0"/>
                      <w:szCs w:val="21"/>
                    </w:rPr>
                  </w:pPr>
                  <w:r>
                    <w:rPr>
                      <w:kern w:val="0"/>
                      <w:szCs w:val="21"/>
                    </w:rPr>
                    <w:t>化学品存放区：</w:t>
                  </w:r>
                  <w:r>
                    <w:rPr>
                      <w:szCs w:val="21"/>
                    </w:rPr>
                    <w:t>主要摆放水处理药剂等。</w:t>
                  </w:r>
                </w:p>
              </w:tc>
              <w:tc>
                <w:tcPr>
                  <w:tcW w:w="1343" w:type="dxa"/>
                  <w:vMerge w:val="continue"/>
                  <w:vAlign w:val="center"/>
                </w:tcPr>
                <w:p>
                  <w:pPr>
                    <w:widowControl/>
                    <w:jc w:val="center"/>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99" w:type="dxa"/>
                  <w:vMerge w:val="continue"/>
                  <w:vAlign w:val="center"/>
                </w:tcPr>
                <w:p>
                  <w:pPr>
                    <w:widowControl/>
                    <w:jc w:val="center"/>
                    <w:rPr>
                      <w:kern w:val="28"/>
                      <w:szCs w:val="21"/>
                    </w:rPr>
                  </w:pPr>
                </w:p>
              </w:tc>
              <w:tc>
                <w:tcPr>
                  <w:tcW w:w="850" w:type="dxa"/>
                  <w:vAlign w:val="center"/>
                </w:tcPr>
                <w:p>
                  <w:pPr>
                    <w:jc w:val="center"/>
                    <w:rPr>
                      <w:kern w:val="0"/>
                      <w:szCs w:val="21"/>
                    </w:rPr>
                  </w:pPr>
                  <w:r>
                    <w:rPr>
                      <w:kern w:val="0"/>
                      <w:szCs w:val="21"/>
                    </w:rPr>
                    <w:t>放喷池及放喷管线</w:t>
                  </w:r>
                </w:p>
              </w:tc>
              <w:tc>
                <w:tcPr>
                  <w:tcW w:w="4962" w:type="dxa"/>
                  <w:vAlign w:val="center"/>
                </w:tcPr>
                <w:p>
                  <w:pPr>
                    <w:rPr>
                      <w:kern w:val="28"/>
                      <w:szCs w:val="21"/>
                    </w:rPr>
                  </w:pPr>
                  <w:r>
                    <w:rPr>
                      <w:rFonts w:hint="eastAsia"/>
                      <w:kern w:val="0"/>
                      <w:szCs w:val="21"/>
                      <w:lang w:bidi="ar"/>
                    </w:rPr>
                    <w:t>新建</w:t>
                  </w:r>
                  <w:r>
                    <w:rPr>
                      <w:kern w:val="0"/>
                      <w:szCs w:val="21"/>
                      <w:lang w:bidi="ar"/>
                    </w:rPr>
                    <w:t>A类放喷池</w:t>
                  </w:r>
                  <w:r>
                    <w:rPr>
                      <w:rFonts w:hint="eastAsia"/>
                      <w:kern w:val="0"/>
                      <w:szCs w:val="21"/>
                      <w:lang w:bidi="ar"/>
                    </w:rPr>
                    <w:t>1</w:t>
                  </w:r>
                  <w:r>
                    <w:rPr>
                      <w:kern w:val="0"/>
                      <w:szCs w:val="21"/>
                      <w:lang w:bidi="ar"/>
                    </w:rPr>
                    <w:t>座，放喷池位于平台</w:t>
                  </w:r>
                  <w:r>
                    <w:rPr>
                      <w:rFonts w:hint="eastAsia"/>
                      <w:kern w:val="0"/>
                      <w:szCs w:val="21"/>
                      <w:lang w:bidi="ar"/>
                    </w:rPr>
                    <w:t>西北侧</w:t>
                  </w:r>
                  <w:r>
                    <w:rPr>
                      <w:kern w:val="0"/>
                      <w:szCs w:val="21"/>
                      <w:lang w:bidi="ar"/>
                    </w:rPr>
                    <w:t>，</w:t>
                  </w:r>
                  <w:r>
                    <w:rPr>
                      <w:rFonts w:hint="eastAsia"/>
                      <w:kern w:val="0"/>
                      <w:szCs w:val="21"/>
                      <w:lang w:bidi="ar"/>
                    </w:rPr>
                    <w:t>放喷池外</w:t>
                  </w:r>
                  <w:r>
                    <w:rPr>
                      <w:kern w:val="0"/>
                      <w:szCs w:val="21"/>
                      <w:lang w:bidi="ar"/>
                    </w:rPr>
                    <w:t>配10m</w:t>
                  </w:r>
                  <w:r>
                    <w:rPr>
                      <w:kern w:val="0"/>
                      <w:szCs w:val="21"/>
                      <w:vertAlign w:val="superscript"/>
                      <w:lang w:bidi="ar"/>
                    </w:rPr>
                    <w:t>3</w:t>
                  </w:r>
                  <w:r>
                    <w:rPr>
                      <w:kern w:val="0"/>
                      <w:szCs w:val="21"/>
                      <w:lang w:bidi="ar"/>
                    </w:rPr>
                    <w:t>集酸坑1座</w:t>
                  </w:r>
                  <w:r>
                    <w:rPr>
                      <w:kern w:val="28"/>
                      <w:szCs w:val="21"/>
                    </w:rPr>
                    <w:t>。</w:t>
                  </w:r>
                </w:p>
              </w:tc>
              <w:tc>
                <w:tcPr>
                  <w:tcW w:w="1343" w:type="dxa"/>
                  <w:vAlign w:val="center"/>
                </w:tcPr>
                <w:p>
                  <w:pPr>
                    <w:jc w:val="center"/>
                    <w:rPr>
                      <w:kern w:val="28"/>
                      <w:szCs w:val="21"/>
                    </w:rPr>
                  </w:pPr>
                  <w:r>
                    <w:rPr>
                      <w:kern w:val="0"/>
                      <w:szCs w:val="21"/>
                    </w:rPr>
                    <w:t>放喷废气、燃烧热辐射。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99" w:type="dxa"/>
                  <w:vMerge w:val="continue"/>
                  <w:vAlign w:val="center"/>
                </w:tcPr>
                <w:p>
                  <w:pPr>
                    <w:widowControl/>
                    <w:jc w:val="center"/>
                    <w:rPr>
                      <w:kern w:val="28"/>
                      <w:szCs w:val="21"/>
                    </w:rPr>
                  </w:pPr>
                </w:p>
              </w:tc>
              <w:tc>
                <w:tcPr>
                  <w:tcW w:w="850" w:type="dxa"/>
                  <w:vAlign w:val="center"/>
                </w:tcPr>
                <w:p>
                  <w:pPr>
                    <w:jc w:val="center"/>
                    <w:rPr>
                      <w:kern w:val="0"/>
                      <w:szCs w:val="21"/>
                    </w:rPr>
                  </w:pPr>
                  <w:r>
                    <w:rPr>
                      <w:kern w:val="0"/>
                      <w:szCs w:val="21"/>
                    </w:rPr>
                    <w:t>放喷点火系统</w:t>
                  </w:r>
                </w:p>
              </w:tc>
              <w:tc>
                <w:tcPr>
                  <w:tcW w:w="4962" w:type="dxa"/>
                  <w:vAlign w:val="center"/>
                </w:tcPr>
                <w:p>
                  <w:pPr>
                    <w:rPr>
                      <w:kern w:val="0"/>
                      <w:szCs w:val="21"/>
                    </w:rPr>
                  </w:pPr>
                  <w:r>
                    <w:rPr>
                      <w:rFonts w:hint="eastAsia"/>
                      <w:kern w:val="0"/>
                      <w:szCs w:val="21"/>
                    </w:rPr>
                    <w:t>放喷池配备</w:t>
                  </w:r>
                  <w:r>
                    <w:rPr>
                      <w:kern w:val="0"/>
                      <w:szCs w:val="21"/>
                    </w:rPr>
                    <w:t>自动、手动点火装置各1套。</w:t>
                  </w:r>
                </w:p>
              </w:tc>
              <w:tc>
                <w:tcPr>
                  <w:tcW w:w="1343" w:type="dxa"/>
                  <w:vAlign w:val="center"/>
                </w:tcPr>
                <w:p>
                  <w:pPr>
                    <w:jc w:val="center"/>
                    <w:rPr>
                      <w:kern w:val="28"/>
                      <w:szCs w:val="21"/>
                    </w:rPr>
                  </w:pPr>
                  <w:r>
                    <w:rPr>
                      <w:kern w:val="28"/>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99" w:type="dxa"/>
                  <w:vMerge w:val="continue"/>
                  <w:vAlign w:val="center"/>
                </w:tcPr>
                <w:p>
                  <w:pPr>
                    <w:widowControl/>
                    <w:jc w:val="center"/>
                    <w:rPr>
                      <w:kern w:val="28"/>
                      <w:szCs w:val="21"/>
                    </w:rPr>
                  </w:pPr>
                </w:p>
              </w:tc>
              <w:tc>
                <w:tcPr>
                  <w:tcW w:w="850" w:type="dxa"/>
                  <w:vAlign w:val="center"/>
                </w:tcPr>
                <w:p>
                  <w:pPr>
                    <w:jc w:val="center"/>
                    <w:rPr>
                      <w:szCs w:val="21"/>
                      <w:lang w:bidi="ar"/>
                    </w:rPr>
                  </w:pPr>
                  <w:r>
                    <w:rPr>
                      <w:kern w:val="0"/>
                      <w:szCs w:val="21"/>
                      <w:lang w:bidi="ar"/>
                    </w:rPr>
                    <w:t>生活垃圾箱</w:t>
                  </w:r>
                </w:p>
              </w:tc>
              <w:tc>
                <w:tcPr>
                  <w:tcW w:w="4962" w:type="dxa"/>
                  <w:vAlign w:val="center"/>
                </w:tcPr>
                <w:p>
                  <w:pPr>
                    <w:rPr>
                      <w:kern w:val="0"/>
                      <w:szCs w:val="21"/>
                    </w:rPr>
                  </w:pPr>
                  <w:r>
                    <w:rPr>
                      <w:szCs w:val="21"/>
                      <w:lang w:bidi="ar"/>
                    </w:rPr>
                    <w:t>井场区域和生活区各设1个。</w:t>
                  </w:r>
                </w:p>
              </w:tc>
              <w:tc>
                <w:tcPr>
                  <w:tcW w:w="1343" w:type="dxa"/>
                  <w:vMerge w:val="restart"/>
                  <w:vAlign w:val="center"/>
                </w:tcPr>
                <w:p>
                  <w:pPr>
                    <w:jc w:val="center"/>
                    <w:rPr>
                      <w:kern w:val="0"/>
                      <w:szCs w:val="21"/>
                    </w:rPr>
                  </w:pPr>
                  <w:r>
                    <w:rPr>
                      <w:kern w:val="0"/>
                      <w:szCs w:val="21"/>
                    </w:rPr>
                    <w:t>渗漏污染土壤、地下水环境。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99" w:type="dxa"/>
                  <w:vMerge w:val="continue"/>
                  <w:vAlign w:val="center"/>
                </w:tcPr>
                <w:p>
                  <w:pPr>
                    <w:widowControl/>
                    <w:jc w:val="center"/>
                    <w:rPr>
                      <w:kern w:val="28"/>
                      <w:szCs w:val="21"/>
                    </w:rPr>
                  </w:pPr>
                </w:p>
              </w:tc>
              <w:tc>
                <w:tcPr>
                  <w:tcW w:w="850" w:type="dxa"/>
                  <w:vAlign w:val="center"/>
                </w:tcPr>
                <w:p>
                  <w:pPr>
                    <w:widowControl/>
                    <w:jc w:val="center"/>
                    <w:rPr>
                      <w:kern w:val="0"/>
                      <w:szCs w:val="21"/>
                      <w:lang w:bidi="ar"/>
                    </w:rPr>
                  </w:pPr>
                  <w:r>
                    <w:rPr>
                      <w:kern w:val="0"/>
                      <w:szCs w:val="21"/>
                      <w:lang w:bidi="ar"/>
                    </w:rPr>
                    <w:t>生活区隔油池</w:t>
                  </w:r>
                </w:p>
              </w:tc>
              <w:tc>
                <w:tcPr>
                  <w:tcW w:w="4962" w:type="dxa"/>
                  <w:vAlign w:val="center"/>
                </w:tcPr>
                <w:p>
                  <w:pPr>
                    <w:rPr>
                      <w:szCs w:val="21"/>
                      <w:lang w:bidi="ar"/>
                    </w:rPr>
                  </w:pPr>
                  <w:r>
                    <w:rPr>
                      <w:kern w:val="0"/>
                      <w:szCs w:val="21"/>
                    </w:rPr>
                    <w:t>厨房废水经10m</w:t>
                  </w:r>
                  <w:r>
                    <w:rPr>
                      <w:kern w:val="0"/>
                      <w:szCs w:val="21"/>
                      <w:vertAlign w:val="superscript"/>
                    </w:rPr>
                    <w:t>3</w:t>
                  </w:r>
                  <w:r>
                    <w:rPr>
                      <w:kern w:val="0"/>
                      <w:szCs w:val="21"/>
                    </w:rPr>
                    <w:t>的污水隔油池处理后同生活废水处置。</w:t>
                  </w:r>
                </w:p>
              </w:tc>
              <w:tc>
                <w:tcPr>
                  <w:tcW w:w="1343" w:type="dxa"/>
                  <w:vMerge w:val="continue"/>
                  <w:vAlign w:val="center"/>
                </w:tcPr>
                <w:p>
                  <w:pPr>
                    <w:jc w:val="center"/>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99" w:type="dxa"/>
                  <w:vMerge w:val="restart"/>
                  <w:vAlign w:val="center"/>
                </w:tcPr>
                <w:p>
                  <w:pPr>
                    <w:jc w:val="center"/>
                    <w:rPr>
                      <w:kern w:val="28"/>
                      <w:szCs w:val="21"/>
                    </w:rPr>
                  </w:pPr>
                  <w:r>
                    <w:rPr>
                      <w:kern w:val="28"/>
                      <w:szCs w:val="21"/>
                    </w:rPr>
                    <w:t>公用工程</w:t>
                  </w:r>
                </w:p>
              </w:tc>
              <w:tc>
                <w:tcPr>
                  <w:tcW w:w="850" w:type="dxa"/>
                  <w:vAlign w:val="center"/>
                </w:tcPr>
                <w:p>
                  <w:pPr>
                    <w:jc w:val="center"/>
                    <w:rPr>
                      <w:kern w:val="28"/>
                      <w:szCs w:val="21"/>
                    </w:rPr>
                  </w:pPr>
                  <w:r>
                    <w:rPr>
                      <w:kern w:val="28"/>
                      <w:szCs w:val="21"/>
                    </w:rPr>
                    <w:t>给水</w:t>
                  </w:r>
                </w:p>
              </w:tc>
              <w:tc>
                <w:tcPr>
                  <w:tcW w:w="4962" w:type="dxa"/>
                  <w:vAlign w:val="center"/>
                </w:tcPr>
                <w:p>
                  <w:pPr>
                    <w:rPr>
                      <w:kern w:val="28"/>
                      <w:szCs w:val="21"/>
                    </w:rPr>
                  </w:pPr>
                  <w:r>
                    <w:rPr>
                      <w:kern w:val="28"/>
                      <w:szCs w:val="21"/>
                    </w:rPr>
                    <w:t>①生产用水：采用清洁化生产处理水作为生产用水，不足部分采用运水车从当地自来水管网取水。</w:t>
                  </w:r>
                </w:p>
                <w:p>
                  <w:pPr>
                    <w:rPr>
                      <w:kern w:val="28"/>
                      <w:szCs w:val="21"/>
                    </w:rPr>
                  </w:pPr>
                  <w:r>
                    <w:rPr>
                      <w:kern w:val="28"/>
                      <w:szCs w:val="21"/>
                    </w:rPr>
                    <w:t>②生活用水：车辆拉运桶装水至场地。</w:t>
                  </w:r>
                </w:p>
              </w:tc>
              <w:tc>
                <w:tcPr>
                  <w:tcW w:w="1343" w:type="dxa"/>
                  <w:vAlign w:val="center"/>
                </w:tcPr>
                <w:p>
                  <w:pPr>
                    <w:jc w:val="center"/>
                    <w:rPr>
                      <w:kern w:val="28"/>
                      <w:szCs w:val="21"/>
                    </w:rPr>
                  </w:pPr>
                  <w:r>
                    <w:rPr>
                      <w:kern w:val="28"/>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99" w:type="dxa"/>
                  <w:vMerge w:val="continue"/>
                  <w:vAlign w:val="center"/>
                </w:tcPr>
                <w:p>
                  <w:pPr>
                    <w:jc w:val="center"/>
                    <w:rPr>
                      <w:kern w:val="28"/>
                      <w:szCs w:val="21"/>
                    </w:rPr>
                  </w:pPr>
                </w:p>
              </w:tc>
              <w:tc>
                <w:tcPr>
                  <w:tcW w:w="850" w:type="dxa"/>
                  <w:vAlign w:val="center"/>
                </w:tcPr>
                <w:p>
                  <w:pPr>
                    <w:jc w:val="center"/>
                    <w:rPr>
                      <w:kern w:val="28"/>
                      <w:szCs w:val="21"/>
                    </w:rPr>
                  </w:pPr>
                  <w:r>
                    <w:rPr>
                      <w:kern w:val="28"/>
                      <w:szCs w:val="21"/>
                    </w:rPr>
                    <w:t>场外排水</w:t>
                  </w:r>
                </w:p>
              </w:tc>
              <w:tc>
                <w:tcPr>
                  <w:tcW w:w="4962" w:type="dxa"/>
                  <w:vAlign w:val="center"/>
                </w:tcPr>
                <w:p>
                  <w:pPr>
                    <w:rPr>
                      <w:kern w:val="28"/>
                      <w:szCs w:val="21"/>
                    </w:rPr>
                  </w:pPr>
                  <w:r>
                    <w:rPr>
                      <w:kern w:val="28"/>
                      <w:szCs w:val="21"/>
                    </w:rPr>
                    <w:t>已建场外排水沟，排水沟总长350m。</w:t>
                  </w:r>
                </w:p>
              </w:tc>
              <w:tc>
                <w:tcPr>
                  <w:tcW w:w="1343" w:type="dxa"/>
                  <w:vAlign w:val="center"/>
                </w:tcPr>
                <w:p>
                  <w:pPr>
                    <w:jc w:val="center"/>
                    <w:rPr>
                      <w:kern w:val="28"/>
                      <w:szCs w:val="21"/>
                    </w:rPr>
                  </w:pPr>
                  <w:r>
                    <w:rPr>
                      <w:kern w:val="28"/>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99" w:type="dxa"/>
                  <w:vMerge w:val="continue"/>
                  <w:vAlign w:val="center"/>
                </w:tcPr>
                <w:p>
                  <w:pPr>
                    <w:widowControl/>
                    <w:jc w:val="center"/>
                    <w:rPr>
                      <w:kern w:val="28"/>
                      <w:szCs w:val="21"/>
                    </w:rPr>
                  </w:pPr>
                </w:p>
              </w:tc>
              <w:tc>
                <w:tcPr>
                  <w:tcW w:w="850" w:type="dxa"/>
                  <w:vMerge w:val="restart"/>
                  <w:vAlign w:val="center"/>
                </w:tcPr>
                <w:p>
                  <w:pPr>
                    <w:jc w:val="center"/>
                    <w:rPr>
                      <w:kern w:val="28"/>
                      <w:szCs w:val="21"/>
                    </w:rPr>
                  </w:pPr>
                  <w:r>
                    <w:rPr>
                      <w:kern w:val="28"/>
                      <w:szCs w:val="21"/>
                    </w:rPr>
                    <w:t>场内排水</w:t>
                  </w:r>
                </w:p>
              </w:tc>
              <w:tc>
                <w:tcPr>
                  <w:tcW w:w="4962" w:type="dxa"/>
                  <w:vAlign w:val="center"/>
                </w:tcPr>
                <w:p>
                  <w:pPr>
                    <w:jc w:val="left"/>
                    <w:rPr>
                      <w:kern w:val="0"/>
                      <w:szCs w:val="21"/>
                      <w:lang w:bidi="ar"/>
                    </w:rPr>
                  </w:pPr>
                  <w:r>
                    <w:rPr>
                      <w:kern w:val="0"/>
                      <w:szCs w:val="21"/>
                      <w:lang w:bidi="ar"/>
                    </w:rPr>
                    <w:t>场内已建清水沟400mm宽×300mm深，总长296m。</w:t>
                  </w:r>
                </w:p>
              </w:tc>
              <w:tc>
                <w:tcPr>
                  <w:tcW w:w="1343" w:type="dxa"/>
                  <w:vMerge w:val="restart"/>
                  <w:vAlign w:val="center"/>
                </w:tcPr>
                <w:p>
                  <w:pPr>
                    <w:jc w:val="center"/>
                    <w:rPr>
                      <w:kern w:val="28"/>
                      <w:szCs w:val="21"/>
                    </w:rPr>
                  </w:pPr>
                  <w:r>
                    <w:rPr>
                      <w:kern w:val="0"/>
                      <w:szCs w:val="21"/>
                    </w:rPr>
                    <w:t>渗漏污染土壤、地下水环境。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99" w:type="dxa"/>
                  <w:vMerge w:val="continue"/>
                  <w:vAlign w:val="center"/>
                </w:tcPr>
                <w:p>
                  <w:pPr>
                    <w:widowControl/>
                    <w:jc w:val="center"/>
                    <w:rPr>
                      <w:kern w:val="28"/>
                      <w:szCs w:val="21"/>
                    </w:rPr>
                  </w:pPr>
                </w:p>
              </w:tc>
              <w:tc>
                <w:tcPr>
                  <w:tcW w:w="850" w:type="dxa"/>
                  <w:vMerge w:val="continue"/>
                  <w:vAlign w:val="center"/>
                </w:tcPr>
                <w:p>
                  <w:pPr>
                    <w:jc w:val="center"/>
                    <w:rPr>
                      <w:kern w:val="28"/>
                      <w:szCs w:val="21"/>
                    </w:rPr>
                  </w:pPr>
                </w:p>
              </w:tc>
              <w:tc>
                <w:tcPr>
                  <w:tcW w:w="4962" w:type="dxa"/>
                  <w:vAlign w:val="center"/>
                </w:tcPr>
                <w:p>
                  <w:pPr>
                    <w:rPr>
                      <w:kern w:val="0"/>
                      <w:szCs w:val="21"/>
                      <w:lang w:bidi="ar"/>
                    </w:rPr>
                  </w:pPr>
                  <w:r>
                    <w:rPr>
                      <w:kern w:val="0"/>
                      <w:szCs w:val="21"/>
                      <w:lang w:bidi="ar"/>
                    </w:rPr>
                    <w:t>井场清洁区雨水通过排水沟和隔油池处理后排入自然水系。</w:t>
                  </w:r>
                </w:p>
              </w:tc>
              <w:tc>
                <w:tcPr>
                  <w:tcW w:w="1343" w:type="dxa"/>
                  <w:vMerge w:val="continue"/>
                  <w:vAlign w:val="center"/>
                </w:tcPr>
                <w:p>
                  <w:pPr>
                    <w:jc w:val="center"/>
                    <w:rPr>
                      <w:kern w:val="28"/>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99" w:type="dxa"/>
                  <w:vMerge w:val="continue"/>
                  <w:vAlign w:val="center"/>
                </w:tcPr>
                <w:p>
                  <w:pPr>
                    <w:widowControl/>
                    <w:jc w:val="center"/>
                    <w:rPr>
                      <w:kern w:val="28"/>
                      <w:szCs w:val="21"/>
                    </w:rPr>
                  </w:pPr>
                </w:p>
              </w:tc>
              <w:tc>
                <w:tcPr>
                  <w:tcW w:w="850" w:type="dxa"/>
                  <w:vMerge w:val="continue"/>
                  <w:vAlign w:val="center"/>
                </w:tcPr>
                <w:p>
                  <w:pPr>
                    <w:jc w:val="center"/>
                    <w:rPr>
                      <w:kern w:val="28"/>
                      <w:szCs w:val="21"/>
                    </w:rPr>
                  </w:pPr>
                </w:p>
              </w:tc>
              <w:tc>
                <w:tcPr>
                  <w:tcW w:w="4962" w:type="dxa"/>
                  <w:vAlign w:val="center"/>
                </w:tcPr>
                <w:p>
                  <w:pPr>
                    <w:jc w:val="left"/>
                    <w:rPr>
                      <w:kern w:val="0"/>
                      <w:szCs w:val="21"/>
                      <w:lang w:bidi="ar"/>
                    </w:rPr>
                  </w:pPr>
                  <w:r>
                    <w:rPr>
                      <w:kern w:val="0"/>
                      <w:szCs w:val="21"/>
                      <w:lang w:bidi="ar"/>
                    </w:rPr>
                    <w:t>井场四周已建设4座B型隔油池，场内产污区雨水经场内排水沟汇入隔油池，经油水分离后油品回收，分离后废水泵入</w:t>
                  </w:r>
                  <w:r>
                    <w:rPr>
                      <w:kern w:val="28"/>
                      <w:szCs w:val="21"/>
                    </w:rPr>
                    <w:t>清洁生产操作平台</w:t>
                  </w:r>
                  <w:r>
                    <w:rPr>
                      <w:kern w:val="0"/>
                      <w:szCs w:val="21"/>
                    </w:rPr>
                    <w:t>废水罐</w:t>
                  </w:r>
                  <w:r>
                    <w:rPr>
                      <w:kern w:val="28"/>
                      <w:szCs w:val="21"/>
                    </w:rPr>
                    <w:t>处理回用</w:t>
                  </w:r>
                  <w:r>
                    <w:rPr>
                      <w:kern w:val="0"/>
                      <w:szCs w:val="21"/>
                      <w:lang w:bidi="ar"/>
                    </w:rPr>
                    <w:t>。</w:t>
                  </w:r>
                </w:p>
              </w:tc>
              <w:tc>
                <w:tcPr>
                  <w:tcW w:w="1343" w:type="dxa"/>
                  <w:vMerge w:val="continue"/>
                  <w:vAlign w:val="center"/>
                </w:tcPr>
                <w:p>
                  <w:pPr>
                    <w:jc w:val="center"/>
                    <w:rPr>
                      <w:kern w:val="28"/>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99" w:type="dxa"/>
                  <w:vMerge w:val="continue"/>
                  <w:vAlign w:val="center"/>
                </w:tcPr>
                <w:p>
                  <w:pPr>
                    <w:widowControl/>
                    <w:jc w:val="center"/>
                    <w:rPr>
                      <w:kern w:val="28"/>
                      <w:szCs w:val="21"/>
                    </w:rPr>
                  </w:pPr>
                </w:p>
              </w:tc>
              <w:tc>
                <w:tcPr>
                  <w:tcW w:w="850" w:type="dxa"/>
                  <w:vMerge w:val="continue"/>
                  <w:vAlign w:val="center"/>
                </w:tcPr>
                <w:p>
                  <w:pPr>
                    <w:widowControl/>
                    <w:jc w:val="center"/>
                    <w:rPr>
                      <w:kern w:val="28"/>
                      <w:szCs w:val="21"/>
                    </w:rPr>
                  </w:pPr>
                </w:p>
              </w:tc>
              <w:tc>
                <w:tcPr>
                  <w:tcW w:w="4962" w:type="dxa"/>
                  <w:vAlign w:val="center"/>
                </w:tcPr>
                <w:p>
                  <w:pPr>
                    <w:jc w:val="left"/>
                    <w:rPr>
                      <w:kern w:val="0"/>
                      <w:szCs w:val="21"/>
                    </w:rPr>
                  </w:pPr>
                  <w:r>
                    <w:rPr>
                      <w:kern w:val="28"/>
                      <w:szCs w:val="21"/>
                    </w:rPr>
                    <w:t>生活污水经旱厕收集后由吸污车拉运至北山镇污水处理厂处理后排放。</w:t>
                  </w:r>
                  <w:r>
                    <w:rPr>
                      <w:kern w:val="0"/>
                      <w:szCs w:val="21"/>
                    </w:rPr>
                    <w:t>厨房废水隔油1座处理后同生活污水处置</w:t>
                  </w:r>
                  <w:r>
                    <w:rPr>
                      <w:kern w:val="28"/>
                      <w:szCs w:val="21"/>
                    </w:rPr>
                    <w:t>。</w:t>
                  </w:r>
                </w:p>
              </w:tc>
              <w:tc>
                <w:tcPr>
                  <w:tcW w:w="1343" w:type="dxa"/>
                  <w:vMerge w:val="continue"/>
                  <w:vAlign w:val="center"/>
                </w:tcPr>
                <w:p>
                  <w:pPr>
                    <w:jc w:val="center"/>
                    <w:rPr>
                      <w:kern w:val="28"/>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99" w:type="dxa"/>
                  <w:vMerge w:val="continue"/>
                  <w:vAlign w:val="center"/>
                </w:tcPr>
                <w:p>
                  <w:pPr>
                    <w:widowControl/>
                    <w:jc w:val="center"/>
                    <w:rPr>
                      <w:kern w:val="28"/>
                      <w:szCs w:val="21"/>
                    </w:rPr>
                  </w:pPr>
                </w:p>
              </w:tc>
              <w:tc>
                <w:tcPr>
                  <w:tcW w:w="850" w:type="dxa"/>
                  <w:vMerge w:val="continue"/>
                  <w:vAlign w:val="center"/>
                </w:tcPr>
                <w:p>
                  <w:pPr>
                    <w:widowControl/>
                    <w:jc w:val="center"/>
                    <w:rPr>
                      <w:kern w:val="28"/>
                      <w:szCs w:val="21"/>
                    </w:rPr>
                  </w:pPr>
                </w:p>
              </w:tc>
              <w:tc>
                <w:tcPr>
                  <w:tcW w:w="4962" w:type="dxa"/>
                  <w:vAlign w:val="center"/>
                </w:tcPr>
                <w:p>
                  <w:pPr>
                    <w:rPr>
                      <w:kern w:val="28"/>
                      <w:szCs w:val="21"/>
                    </w:rPr>
                  </w:pPr>
                  <w:r>
                    <w:rPr>
                      <w:kern w:val="28"/>
                      <w:szCs w:val="21"/>
                    </w:rPr>
                    <w:t>钻井废水、试气废水经现场预处理后拟交由</w:t>
                  </w:r>
                  <w:r>
                    <w:rPr>
                      <w:kern w:val="0"/>
                      <w:szCs w:val="21"/>
                      <w:lang w:bidi="ar"/>
                    </w:rPr>
                    <w:t>四川瑞利生物科技有限公司</w:t>
                  </w:r>
                  <w:r>
                    <w:rPr>
                      <w:kern w:val="28"/>
                      <w:szCs w:val="21"/>
                    </w:rPr>
                    <w:t>处理后排放。</w:t>
                  </w:r>
                </w:p>
              </w:tc>
              <w:tc>
                <w:tcPr>
                  <w:tcW w:w="1343" w:type="dxa"/>
                  <w:vMerge w:val="continue"/>
                  <w:vAlign w:val="center"/>
                </w:tcPr>
                <w:p>
                  <w:pPr>
                    <w:widowControl/>
                    <w:jc w:val="center"/>
                    <w:rPr>
                      <w:kern w:val="28"/>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99" w:type="dxa"/>
                  <w:vMerge w:val="continue"/>
                  <w:vAlign w:val="center"/>
                </w:tcPr>
                <w:p>
                  <w:pPr>
                    <w:widowControl/>
                    <w:jc w:val="center"/>
                    <w:rPr>
                      <w:kern w:val="28"/>
                      <w:szCs w:val="21"/>
                    </w:rPr>
                  </w:pPr>
                </w:p>
              </w:tc>
              <w:tc>
                <w:tcPr>
                  <w:tcW w:w="850" w:type="dxa"/>
                  <w:vAlign w:val="center"/>
                </w:tcPr>
                <w:p>
                  <w:pPr>
                    <w:jc w:val="center"/>
                    <w:rPr>
                      <w:kern w:val="28"/>
                      <w:szCs w:val="21"/>
                    </w:rPr>
                  </w:pPr>
                  <w:r>
                    <w:rPr>
                      <w:kern w:val="28"/>
                      <w:szCs w:val="21"/>
                    </w:rPr>
                    <w:t>供电</w:t>
                  </w:r>
                </w:p>
              </w:tc>
              <w:tc>
                <w:tcPr>
                  <w:tcW w:w="4962" w:type="dxa"/>
                  <w:vAlign w:val="center"/>
                </w:tcPr>
                <w:p>
                  <w:pPr>
                    <w:rPr>
                      <w:kern w:val="0"/>
                      <w:szCs w:val="21"/>
                    </w:rPr>
                  </w:pPr>
                  <w:r>
                    <w:rPr>
                      <w:kern w:val="0"/>
                      <w:szCs w:val="21"/>
                    </w:rPr>
                    <w:t>采用周边10kV高压电网供电，1台4000kVA电力变压器。其他周边220kv电线供电，备用980kW功率SR4发电机3台，CAT3406发电机组2台。</w:t>
                  </w:r>
                </w:p>
              </w:tc>
              <w:tc>
                <w:tcPr>
                  <w:tcW w:w="1343" w:type="dxa"/>
                  <w:vAlign w:val="center"/>
                </w:tcPr>
                <w:p>
                  <w:pPr>
                    <w:jc w:val="center"/>
                    <w:rPr>
                      <w:kern w:val="0"/>
                      <w:szCs w:val="21"/>
                    </w:rPr>
                  </w:pPr>
                  <w:r>
                    <w:rPr>
                      <w:kern w:val="0"/>
                      <w:szCs w:val="21"/>
                    </w:rPr>
                    <w:t>噪声</w:t>
                  </w:r>
                  <w:r>
                    <w:rPr>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99" w:type="dxa"/>
                  <w:vMerge w:val="restart"/>
                  <w:vAlign w:val="center"/>
                </w:tcPr>
                <w:p>
                  <w:pPr>
                    <w:widowControl/>
                    <w:jc w:val="center"/>
                    <w:rPr>
                      <w:kern w:val="28"/>
                      <w:szCs w:val="21"/>
                    </w:rPr>
                  </w:pPr>
                  <w:r>
                    <w:rPr>
                      <w:kern w:val="28"/>
                      <w:szCs w:val="21"/>
                    </w:rPr>
                    <w:t>仓储</w:t>
                  </w:r>
                </w:p>
                <w:p>
                  <w:pPr>
                    <w:widowControl/>
                    <w:jc w:val="center"/>
                    <w:rPr>
                      <w:kern w:val="28"/>
                      <w:szCs w:val="21"/>
                    </w:rPr>
                  </w:pPr>
                  <w:r>
                    <w:rPr>
                      <w:kern w:val="28"/>
                      <w:szCs w:val="21"/>
                    </w:rPr>
                    <w:t>工程</w:t>
                  </w:r>
                </w:p>
              </w:tc>
              <w:tc>
                <w:tcPr>
                  <w:tcW w:w="850" w:type="dxa"/>
                  <w:vAlign w:val="center"/>
                </w:tcPr>
                <w:p>
                  <w:pPr>
                    <w:jc w:val="center"/>
                    <w:rPr>
                      <w:kern w:val="28"/>
                      <w:szCs w:val="21"/>
                    </w:rPr>
                  </w:pPr>
                  <w:r>
                    <w:rPr>
                      <w:kern w:val="0"/>
                      <w:szCs w:val="21"/>
                    </w:rPr>
                    <w:t>柴油罐区</w:t>
                  </w:r>
                </w:p>
              </w:tc>
              <w:tc>
                <w:tcPr>
                  <w:tcW w:w="4962" w:type="dxa"/>
                  <w:vAlign w:val="center"/>
                </w:tcPr>
                <w:p>
                  <w:pPr>
                    <w:rPr>
                      <w:kern w:val="0"/>
                      <w:szCs w:val="21"/>
                    </w:rPr>
                  </w:pPr>
                  <w:r>
                    <w:rPr>
                      <w:kern w:val="0"/>
                      <w:szCs w:val="21"/>
                    </w:rPr>
                    <w:t>共设1个罐区，罐区占地30m</w:t>
                  </w:r>
                  <w:r>
                    <w:rPr>
                      <w:kern w:val="0"/>
                      <w:szCs w:val="21"/>
                      <w:vertAlign w:val="superscript"/>
                    </w:rPr>
                    <w:t>2</w:t>
                  </w:r>
                  <w:r>
                    <w:rPr>
                      <w:kern w:val="0"/>
                      <w:szCs w:val="21"/>
                    </w:rPr>
                    <w:t>，</w:t>
                  </w:r>
                  <w:r>
                    <w:rPr>
                      <w:rFonts w:hint="eastAsia"/>
                      <w:kern w:val="0"/>
                      <w:szCs w:val="21"/>
                    </w:rPr>
                    <w:t>1</w:t>
                  </w:r>
                  <w:r>
                    <w:rPr>
                      <w:kern w:val="0"/>
                      <w:szCs w:val="21"/>
                    </w:rPr>
                    <w:t>个柴油罐，容积为20m</w:t>
                  </w:r>
                  <w:r>
                    <w:rPr>
                      <w:kern w:val="0"/>
                      <w:szCs w:val="21"/>
                      <w:vertAlign w:val="superscript"/>
                    </w:rPr>
                    <w:t>3</w:t>
                  </w:r>
                  <w:r>
                    <w:rPr>
                      <w:kern w:val="0"/>
                      <w:szCs w:val="21"/>
                    </w:rPr>
                    <w:t>，最大储存量为10t。地面硬化，铺设防渗膜并设围堰。</w:t>
                  </w:r>
                </w:p>
              </w:tc>
              <w:tc>
                <w:tcPr>
                  <w:tcW w:w="1343" w:type="dxa"/>
                  <w:vAlign w:val="center"/>
                </w:tcPr>
                <w:p>
                  <w:pPr>
                    <w:jc w:val="center"/>
                    <w:rPr>
                      <w:kern w:val="28"/>
                      <w:szCs w:val="21"/>
                    </w:rPr>
                  </w:pPr>
                  <w:r>
                    <w:rPr>
                      <w:kern w:val="0"/>
                      <w:szCs w:val="21"/>
                    </w:rPr>
                    <w:t>泄漏污染、火灾爆炸环境风险影响。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99" w:type="dxa"/>
                  <w:vMerge w:val="continue"/>
                  <w:vAlign w:val="center"/>
                </w:tcPr>
                <w:p>
                  <w:pPr>
                    <w:widowControl/>
                    <w:jc w:val="center"/>
                    <w:rPr>
                      <w:kern w:val="28"/>
                      <w:szCs w:val="21"/>
                    </w:rPr>
                  </w:pPr>
                </w:p>
              </w:tc>
              <w:tc>
                <w:tcPr>
                  <w:tcW w:w="850" w:type="dxa"/>
                  <w:vAlign w:val="center"/>
                </w:tcPr>
                <w:p>
                  <w:pPr>
                    <w:jc w:val="center"/>
                    <w:rPr>
                      <w:kern w:val="28"/>
                      <w:szCs w:val="21"/>
                    </w:rPr>
                  </w:pPr>
                  <w:r>
                    <w:rPr>
                      <w:kern w:val="0"/>
                      <w:szCs w:val="21"/>
                    </w:rPr>
                    <w:t>泥浆储备罐</w:t>
                  </w:r>
                </w:p>
              </w:tc>
              <w:tc>
                <w:tcPr>
                  <w:tcW w:w="4962" w:type="dxa"/>
                  <w:vAlign w:val="center"/>
                </w:tcPr>
                <w:p>
                  <w:pPr>
                    <w:rPr>
                      <w:kern w:val="28"/>
                      <w:szCs w:val="21"/>
                    </w:rPr>
                  </w:pPr>
                  <w:r>
                    <w:rPr>
                      <w:kern w:val="0"/>
                      <w:szCs w:val="21"/>
                    </w:rPr>
                    <w:t>共设1个罐区，罐区储罐6个，容积40m</w:t>
                  </w:r>
                  <w:r>
                    <w:rPr>
                      <w:kern w:val="0"/>
                      <w:szCs w:val="21"/>
                      <w:vertAlign w:val="superscript"/>
                    </w:rPr>
                    <w:t>3</w:t>
                  </w:r>
                  <w:r>
                    <w:rPr>
                      <w:kern w:val="0"/>
                      <w:szCs w:val="21"/>
                    </w:rPr>
                    <w:t>。</w:t>
                  </w:r>
                </w:p>
              </w:tc>
              <w:tc>
                <w:tcPr>
                  <w:tcW w:w="1343" w:type="dxa"/>
                  <w:vMerge w:val="restart"/>
                  <w:vAlign w:val="center"/>
                </w:tcPr>
                <w:p>
                  <w:pPr>
                    <w:jc w:val="center"/>
                    <w:rPr>
                      <w:kern w:val="28"/>
                      <w:szCs w:val="21"/>
                    </w:rPr>
                  </w:pPr>
                  <w:r>
                    <w:rPr>
                      <w:kern w:val="0"/>
                      <w:szCs w:val="21"/>
                    </w:rPr>
                    <w:t>临时占用土地，</w:t>
                  </w:r>
                  <w:r>
                    <w:rPr>
                      <w:szCs w:val="21"/>
                      <w:lang w:bidi="ar"/>
                    </w:rPr>
                    <w:t>地表植被破坏、水土流失。</w:t>
                  </w:r>
                  <w:r>
                    <w:rPr>
                      <w:kern w:val="0"/>
                      <w:szCs w:val="21"/>
                    </w:rPr>
                    <w:t>泄漏污染。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99" w:type="dxa"/>
                  <w:vMerge w:val="continue"/>
                  <w:vAlign w:val="center"/>
                </w:tcPr>
                <w:p>
                  <w:pPr>
                    <w:widowControl/>
                    <w:jc w:val="center"/>
                    <w:rPr>
                      <w:kern w:val="28"/>
                      <w:szCs w:val="21"/>
                    </w:rPr>
                  </w:pPr>
                </w:p>
              </w:tc>
              <w:tc>
                <w:tcPr>
                  <w:tcW w:w="850" w:type="dxa"/>
                  <w:vAlign w:val="center"/>
                </w:tcPr>
                <w:p>
                  <w:pPr>
                    <w:jc w:val="center"/>
                    <w:rPr>
                      <w:kern w:val="0"/>
                      <w:szCs w:val="21"/>
                    </w:rPr>
                  </w:pPr>
                  <w:r>
                    <w:rPr>
                      <w:kern w:val="0"/>
                      <w:szCs w:val="21"/>
                    </w:rPr>
                    <w:t>酸化液储藏罐</w:t>
                  </w:r>
                </w:p>
              </w:tc>
              <w:tc>
                <w:tcPr>
                  <w:tcW w:w="4962" w:type="dxa"/>
                  <w:vAlign w:val="center"/>
                </w:tcPr>
                <w:p>
                  <w:pPr>
                    <w:rPr>
                      <w:kern w:val="0"/>
                      <w:szCs w:val="21"/>
                    </w:rPr>
                  </w:pPr>
                  <w:r>
                    <w:rPr>
                      <w:szCs w:val="21"/>
                    </w:rPr>
                    <w:t>2个50m</w:t>
                  </w:r>
                  <w:r>
                    <w:rPr>
                      <w:szCs w:val="21"/>
                      <w:vertAlign w:val="superscript"/>
                    </w:rPr>
                    <w:t>3</w:t>
                  </w:r>
                  <w:r>
                    <w:rPr>
                      <w:kern w:val="0"/>
                      <w:szCs w:val="21"/>
                    </w:rPr>
                    <w:t>玻璃钢罐，酸化前三天运至现场暂存。</w:t>
                  </w:r>
                </w:p>
              </w:tc>
              <w:tc>
                <w:tcPr>
                  <w:tcW w:w="1343" w:type="dxa"/>
                  <w:vMerge w:val="continue"/>
                  <w:vAlign w:val="center"/>
                </w:tcPr>
                <w:p>
                  <w:pPr>
                    <w:jc w:val="center"/>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99" w:type="dxa"/>
                  <w:vMerge w:val="restart"/>
                  <w:vAlign w:val="center"/>
                </w:tcPr>
                <w:p>
                  <w:pPr>
                    <w:widowControl/>
                    <w:jc w:val="center"/>
                    <w:rPr>
                      <w:kern w:val="28"/>
                      <w:szCs w:val="21"/>
                    </w:rPr>
                  </w:pPr>
                  <w:r>
                    <w:rPr>
                      <w:kern w:val="28"/>
                      <w:szCs w:val="21"/>
                    </w:rPr>
                    <w:t>环保工程</w:t>
                  </w:r>
                </w:p>
              </w:tc>
              <w:tc>
                <w:tcPr>
                  <w:tcW w:w="850" w:type="dxa"/>
                  <w:vMerge w:val="restart"/>
                  <w:vAlign w:val="center"/>
                </w:tcPr>
                <w:p>
                  <w:pPr>
                    <w:jc w:val="center"/>
                    <w:rPr>
                      <w:kern w:val="0"/>
                      <w:szCs w:val="21"/>
                    </w:rPr>
                  </w:pPr>
                  <w:r>
                    <w:rPr>
                      <w:kern w:val="0"/>
                      <w:szCs w:val="21"/>
                    </w:rPr>
                    <w:t>废水处置</w:t>
                  </w:r>
                </w:p>
              </w:tc>
              <w:tc>
                <w:tcPr>
                  <w:tcW w:w="4962" w:type="dxa"/>
                  <w:vAlign w:val="center"/>
                </w:tcPr>
                <w:p>
                  <w:pPr>
                    <w:rPr>
                      <w:kern w:val="28"/>
                      <w:szCs w:val="21"/>
                    </w:rPr>
                  </w:pPr>
                  <w:r>
                    <w:rPr>
                      <w:kern w:val="28"/>
                      <w:szCs w:val="21"/>
                    </w:rPr>
                    <w:t>应急池位于平台北侧，容积为500m</w:t>
                  </w:r>
                  <w:r>
                    <w:rPr>
                      <w:kern w:val="28"/>
                      <w:szCs w:val="21"/>
                      <w:vertAlign w:val="superscript"/>
                    </w:rPr>
                    <w:t>3</w:t>
                  </w:r>
                  <w:r>
                    <w:rPr>
                      <w:kern w:val="28"/>
                      <w:szCs w:val="21"/>
                    </w:rPr>
                    <w:t>，为钢筋混凝土结构，事故状态下作为应急使用，完钻后作为废水临时储存设施。</w:t>
                  </w:r>
                </w:p>
              </w:tc>
              <w:tc>
                <w:tcPr>
                  <w:tcW w:w="1343" w:type="dxa"/>
                  <w:vMerge w:val="restart"/>
                  <w:vAlign w:val="center"/>
                </w:tcPr>
                <w:p>
                  <w:pPr>
                    <w:jc w:val="center"/>
                    <w:rPr>
                      <w:kern w:val="28"/>
                      <w:szCs w:val="21"/>
                    </w:rPr>
                  </w:pPr>
                  <w:r>
                    <w:rPr>
                      <w:kern w:val="0"/>
                      <w:szCs w:val="21"/>
                    </w:rPr>
                    <w:t>渗漏污染土壤、地下水、地表水环境。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99" w:type="dxa"/>
                  <w:vMerge w:val="continue"/>
                  <w:vAlign w:val="center"/>
                </w:tcPr>
                <w:p>
                  <w:pPr>
                    <w:widowControl/>
                    <w:jc w:val="center"/>
                    <w:rPr>
                      <w:kern w:val="28"/>
                      <w:szCs w:val="21"/>
                    </w:rPr>
                  </w:pPr>
                </w:p>
              </w:tc>
              <w:tc>
                <w:tcPr>
                  <w:tcW w:w="850" w:type="dxa"/>
                  <w:vMerge w:val="continue"/>
                  <w:vAlign w:val="center"/>
                </w:tcPr>
                <w:p>
                  <w:pPr>
                    <w:jc w:val="center"/>
                    <w:rPr>
                      <w:kern w:val="0"/>
                      <w:szCs w:val="21"/>
                    </w:rPr>
                  </w:pPr>
                </w:p>
              </w:tc>
              <w:tc>
                <w:tcPr>
                  <w:tcW w:w="4962" w:type="dxa"/>
                  <w:vAlign w:val="center"/>
                </w:tcPr>
                <w:p>
                  <w:pPr>
                    <w:rPr>
                      <w:kern w:val="28"/>
                      <w:szCs w:val="21"/>
                    </w:rPr>
                  </w:pPr>
                  <w:r>
                    <w:rPr>
                      <w:kern w:val="28"/>
                      <w:szCs w:val="21"/>
                    </w:rPr>
                    <w:t>井场内外实施清污分流措施，场外雨水由排水沟收集沉淀后外排，场内产污区雨水经截流沟进入隔油池，油水分离后进入集水坑，泵入清洁生产操作平台废水罐处理回用，不能回用时暂存应急池由罐车拉运至四川瑞利生物科技有限公司污水处理厂处理。</w:t>
                  </w:r>
                </w:p>
              </w:tc>
              <w:tc>
                <w:tcPr>
                  <w:tcW w:w="1343" w:type="dxa"/>
                  <w:vMerge w:val="continue"/>
                  <w:vAlign w:val="center"/>
                </w:tcPr>
                <w:p>
                  <w:pPr>
                    <w:jc w:val="center"/>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99" w:type="dxa"/>
                  <w:vMerge w:val="continue"/>
                  <w:vAlign w:val="center"/>
                </w:tcPr>
                <w:p>
                  <w:pPr>
                    <w:widowControl/>
                    <w:jc w:val="center"/>
                    <w:rPr>
                      <w:kern w:val="28"/>
                      <w:szCs w:val="21"/>
                    </w:rPr>
                  </w:pPr>
                </w:p>
              </w:tc>
              <w:tc>
                <w:tcPr>
                  <w:tcW w:w="850" w:type="dxa"/>
                  <w:vMerge w:val="continue"/>
                  <w:vAlign w:val="center"/>
                </w:tcPr>
                <w:p>
                  <w:pPr>
                    <w:jc w:val="center"/>
                    <w:rPr>
                      <w:kern w:val="0"/>
                      <w:szCs w:val="21"/>
                    </w:rPr>
                  </w:pPr>
                </w:p>
              </w:tc>
              <w:tc>
                <w:tcPr>
                  <w:tcW w:w="4962" w:type="dxa"/>
                  <w:vAlign w:val="center"/>
                </w:tcPr>
                <w:p>
                  <w:pPr>
                    <w:rPr>
                      <w:kern w:val="28"/>
                      <w:szCs w:val="21"/>
                    </w:rPr>
                  </w:pPr>
                  <w:bookmarkStart w:id="13" w:name="_Hlk103759908"/>
                  <w:r>
                    <w:rPr>
                      <w:kern w:val="0"/>
                      <w:szCs w:val="21"/>
                    </w:rPr>
                    <w:t>钻井废水全部回用于钻井补充泥浆的配置，完钻阶段钻井废水暂存在清洁生产操作平台的废水罐内，回用于压裂作业用水，洗井废水经清洁生产操作平台的废水罐中沉淀处理后临时储存应急池，用于配制压裂液，不能回用时送四川瑞利生物科技有限公司污水处理厂处理，压裂废水经预处理由</w:t>
                  </w:r>
                  <w:bookmarkStart w:id="14" w:name="_Hlk103760921"/>
                  <w:r>
                    <w:rPr>
                      <w:kern w:val="0"/>
                      <w:szCs w:val="21"/>
                    </w:rPr>
                    <w:t>应急池暂存后，通过罐车拟交由四川瑞利生物科技有限公司污水处理厂处理</w:t>
                  </w:r>
                  <w:bookmarkEnd w:id="13"/>
                  <w:bookmarkEnd w:id="14"/>
                  <w:r>
                    <w:rPr>
                      <w:kern w:val="28"/>
                      <w:szCs w:val="21"/>
                    </w:rPr>
                    <w:t>。</w:t>
                  </w:r>
                </w:p>
              </w:tc>
              <w:tc>
                <w:tcPr>
                  <w:tcW w:w="1343" w:type="dxa"/>
                  <w:vMerge w:val="continue"/>
                  <w:vAlign w:val="center"/>
                </w:tcPr>
                <w:p>
                  <w:pPr>
                    <w:jc w:val="center"/>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99" w:type="dxa"/>
                  <w:vMerge w:val="continue"/>
                  <w:vAlign w:val="center"/>
                </w:tcPr>
                <w:p>
                  <w:pPr>
                    <w:widowControl/>
                    <w:jc w:val="center"/>
                    <w:rPr>
                      <w:kern w:val="28"/>
                      <w:szCs w:val="21"/>
                    </w:rPr>
                  </w:pPr>
                </w:p>
              </w:tc>
              <w:tc>
                <w:tcPr>
                  <w:tcW w:w="850" w:type="dxa"/>
                  <w:vMerge w:val="continue"/>
                  <w:vAlign w:val="center"/>
                </w:tcPr>
                <w:p>
                  <w:pPr>
                    <w:jc w:val="center"/>
                    <w:rPr>
                      <w:kern w:val="0"/>
                      <w:szCs w:val="21"/>
                    </w:rPr>
                  </w:pPr>
                </w:p>
              </w:tc>
              <w:tc>
                <w:tcPr>
                  <w:tcW w:w="4962" w:type="dxa"/>
                  <w:vAlign w:val="center"/>
                </w:tcPr>
                <w:p>
                  <w:pPr>
                    <w:rPr>
                      <w:kern w:val="0"/>
                      <w:szCs w:val="21"/>
                    </w:rPr>
                  </w:pPr>
                  <w:bookmarkStart w:id="15" w:name="_Hlk103759992"/>
                  <w:r>
                    <w:rPr>
                      <w:kern w:val="0"/>
                      <w:szCs w:val="21"/>
                    </w:rPr>
                    <w:t>生活污水经旱厕收集后由吸污车运至北山镇污水处理厂处理后排放</w:t>
                  </w:r>
                  <w:bookmarkEnd w:id="15"/>
                  <w:r>
                    <w:rPr>
                      <w:kern w:val="0"/>
                      <w:szCs w:val="21"/>
                    </w:rPr>
                    <w:t>。</w:t>
                  </w:r>
                </w:p>
              </w:tc>
              <w:tc>
                <w:tcPr>
                  <w:tcW w:w="1343" w:type="dxa"/>
                  <w:vMerge w:val="continue"/>
                  <w:vAlign w:val="center"/>
                </w:tcPr>
                <w:p>
                  <w:pPr>
                    <w:jc w:val="center"/>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99" w:type="dxa"/>
                  <w:vMerge w:val="continue"/>
                  <w:vAlign w:val="center"/>
                </w:tcPr>
                <w:p>
                  <w:pPr>
                    <w:widowControl/>
                    <w:jc w:val="center"/>
                    <w:rPr>
                      <w:kern w:val="28"/>
                      <w:szCs w:val="21"/>
                    </w:rPr>
                  </w:pPr>
                </w:p>
              </w:tc>
              <w:tc>
                <w:tcPr>
                  <w:tcW w:w="850" w:type="dxa"/>
                  <w:vMerge w:val="restart"/>
                  <w:vAlign w:val="center"/>
                </w:tcPr>
                <w:p>
                  <w:pPr>
                    <w:jc w:val="center"/>
                    <w:rPr>
                      <w:szCs w:val="21"/>
                    </w:rPr>
                  </w:pPr>
                  <w:r>
                    <w:rPr>
                      <w:szCs w:val="21"/>
                    </w:rPr>
                    <w:t>废气处置</w:t>
                  </w:r>
                </w:p>
              </w:tc>
              <w:tc>
                <w:tcPr>
                  <w:tcW w:w="4962" w:type="dxa"/>
                  <w:vAlign w:val="center"/>
                </w:tcPr>
                <w:p>
                  <w:pPr>
                    <w:widowControl/>
                    <w:rPr>
                      <w:kern w:val="0"/>
                      <w:szCs w:val="21"/>
                    </w:rPr>
                  </w:pPr>
                  <w:r>
                    <w:rPr>
                      <w:kern w:val="0"/>
                      <w:szCs w:val="21"/>
                    </w:rPr>
                    <w:t>柴油机经自带尾气处理系统后经过自带排气筒排放。</w:t>
                  </w:r>
                </w:p>
              </w:tc>
              <w:tc>
                <w:tcPr>
                  <w:tcW w:w="1343" w:type="dxa"/>
                  <w:vAlign w:val="center"/>
                </w:tcPr>
                <w:p>
                  <w:pPr>
                    <w:jc w:val="center"/>
                    <w:rPr>
                      <w:kern w:val="0"/>
                      <w:szCs w:val="21"/>
                    </w:rPr>
                  </w:pPr>
                  <w:r>
                    <w:rPr>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99" w:type="dxa"/>
                  <w:vMerge w:val="continue"/>
                  <w:vAlign w:val="center"/>
                </w:tcPr>
                <w:p>
                  <w:pPr>
                    <w:widowControl/>
                    <w:jc w:val="center"/>
                    <w:rPr>
                      <w:kern w:val="28"/>
                      <w:szCs w:val="21"/>
                    </w:rPr>
                  </w:pPr>
                </w:p>
              </w:tc>
              <w:tc>
                <w:tcPr>
                  <w:tcW w:w="850" w:type="dxa"/>
                  <w:vMerge w:val="continue"/>
                  <w:vAlign w:val="center"/>
                </w:tcPr>
                <w:p>
                  <w:pPr>
                    <w:jc w:val="center"/>
                    <w:rPr>
                      <w:szCs w:val="21"/>
                    </w:rPr>
                  </w:pPr>
                </w:p>
              </w:tc>
              <w:tc>
                <w:tcPr>
                  <w:tcW w:w="4962" w:type="dxa"/>
                  <w:vAlign w:val="center"/>
                </w:tcPr>
                <w:p>
                  <w:pPr>
                    <w:widowControl/>
                    <w:rPr>
                      <w:kern w:val="0"/>
                      <w:szCs w:val="21"/>
                    </w:rPr>
                  </w:pPr>
                  <w:r>
                    <w:rPr>
                      <w:kern w:val="0"/>
                      <w:szCs w:val="21"/>
                    </w:rPr>
                    <w:t>测试放喷和事故放喷废气经放喷管线外输至放喷池燃烧处理。</w:t>
                  </w:r>
                </w:p>
              </w:tc>
              <w:tc>
                <w:tcPr>
                  <w:tcW w:w="1343" w:type="dxa"/>
                  <w:vAlign w:val="center"/>
                </w:tcPr>
                <w:p>
                  <w:pPr>
                    <w:jc w:val="center"/>
                    <w:rPr>
                      <w:kern w:val="0"/>
                      <w:szCs w:val="21"/>
                    </w:rPr>
                  </w:pPr>
                  <w:r>
                    <w:rPr>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99" w:type="dxa"/>
                  <w:vMerge w:val="continue"/>
                  <w:vAlign w:val="center"/>
                </w:tcPr>
                <w:p>
                  <w:pPr>
                    <w:widowControl/>
                    <w:jc w:val="center"/>
                    <w:rPr>
                      <w:kern w:val="28"/>
                      <w:szCs w:val="21"/>
                    </w:rPr>
                  </w:pPr>
                </w:p>
              </w:tc>
              <w:tc>
                <w:tcPr>
                  <w:tcW w:w="850" w:type="dxa"/>
                  <w:vMerge w:val="restart"/>
                  <w:vAlign w:val="center"/>
                </w:tcPr>
                <w:p>
                  <w:pPr>
                    <w:jc w:val="center"/>
                    <w:rPr>
                      <w:szCs w:val="21"/>
                    </w:rPr>
                  </w:pPr>
                  <w:r>
                    <w:rPr>
                      <w:szCs w:val="21"/>
                    </w:rPr>
                    <w:t>固废处置</w:t>
                  </w:r>
                </w:p>
              </w:tc>
              <w:tc>
                <w:tcPr>
                  <w:tcW w:w="4962" w:type="dxa"/>
                  <w:vAlign w:val="center"/>
                </w:tcPr>
                <w:p>
                  <w:pPr>
                    <w:widowControl/>
                    <w:rPr>
                      <w:kern w:val="0"/>
                      <w:szCs w:val="21"/>
                    </w:rPr>
                  </w:pPr>
                  <w:bookmarkStart w:id="16" w:name="_Hlk103761166"/>
                  <w:r>
                    <w:rPr>
                      <w:kern w:val="0"/>
                      <w:szCs w:val="21"/>
                    </w:rPr>
                    <w:t>导管段产生的清水岩屑，一开</w:t>
                  </w:r>
                  <w:r>
                    <w:rPr>
                      <w:rFonts w:hint="eastAsia"/>
                      <w:kern w:val="0"/>
                      <w:szCs w:val="21"/>
                    </w:rPr>
                    <w:t>~</w:t>
                  </w:r>
                  <w:r>
                    <w:rPr>
                      <w:kern w:val="0"/>
                      <w:szCs w:val="21"/>
                    </w:rPr>
                    <w:t>三开段产生的水基岩屑由岩屑收集罐进行收集暂存岩屑暂存区，钻井废弃泥浆由循环罐收集后暂存于清洁生产操作平台内，按照《达州市生态环境局办公室关于进一步加强固体废物污染防治工作的通知》（达市环办发〔2021〕24 号）要求就近交由相关资质单位处置。</w:t>
                  </w:r>
                  <w:bookmarkEnd w:id="16"/>
                </w:p>
              </w:tc>
              <w:tc>
                <w:tcPr>
                  <w:tcW w:w="1343" w:type="dxa"/>
                  <w:vAlign w:val="center"/>
                </w:tcPr>
                <w:p>
                  <w:pPr>
                    <w:jc w:val="center"/>
                    <w:rPr>
                      <w:kern w:val="0"/>
                      <w:szCs w:val="21"/>
                    </w:rPr>
                  </w:pPr>
                  <w:r>
                    <w:rPr>
                      <w:kern w:val="0"/>
                      <w:szCs w:val="21"/>
                    </w:rPr>
                    <w:t>临时占用土地，</w:t>
                  </w:r>
                  <w:r>
                    <w:rPr>
                      <w:szCs w:val="21"/>
                      <w:lang w:bidi="ar"/>
                    </w:rPr>
                    <w:t>地表植被破坏、水土流失，</w:t>
                  </w:r>
                  <w:r>
                    <w:rPr>
                      <w:kern w:val="0"/>
                      <w:szCs w:val="21"/>
                    </w:rPr>
                    <w:t>泄漏污染。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99" w:type="dxa"/>
                  <w:vMerge w:val="continue"/>
                  <w:vAlign w:val="center"/>
                </w:tcPr>
                <w:p>
                  <w:pPr>
                    <w:widowControl/>
                    <w:jc w:val="center"/>
                    <w:rPr>
                      <w:kern w:val="28"/>
                      <w:szCs w:val="21"/>
                    </w:rPr>
                  </w:pPr>
                </w:p>
              </w:tc>
              <w:tc>
                <w:tcPr>
                  <w:tcW w:w="850" w:type="dxa"/>
                  <w:vMerge w:val="continue"/>
                  <w:vAlign w:val="center"/>
                </w:tcPr>
                <w:p>
                  <w:pPr>
                    <w:jc w:val="center"/>
                    <w:rPr>
                      <w:szCs w:val="21"/>
                    </w:rPr>
                  </w:pPr>
                </w:p>
              </w:tc>
              <w:tc>
                <w:tcPr>
                  <w:tcW w:w="4962" w:type="dxa"/>
                  <w:vAlign w:val="center"/>
                </w:tcPr>
                <w:p>
                  <w:pPr>
                    <w:widowControl/>
                    <w:rPr>
                      <w:kern w:val="0"/>
                      <w:szCs w:val="21"/>
                    </w:rPr>
                  </w:pPr>
                  <w:r>
                    <w:rPr>
                      <w:kern w:val="0"/>
                      <w:szCs w:val="21"/>
                    </w:rPr>
                    <w:t>井场区域和生活区各设1个垃圾箱，完工后外运北山镇环卫集中收集卫生填埋处置。废包装材料量较少，收集后全部回收利用。</w:t>
                  </w:r>
                </w:p>
              </w:tc>
              <w:tc>
                <w:tcPr>
                  <w:tcW w:w="1343" w:type="dxa"/>
                  <w:vAlign w:val="center"/>
                </w:tcPr>
                <w:p>
                  <w:pPr>
                    <w:jc w:val="center"/>
                    <w:rPr>
                      <w:kern w:val="0"/>
                      <w:szCs w:val="21"/>
                    </w:rPr>
                  </w:pPr>
                  <w:r>
                    <w:rPr>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99" w:type="dxa"/>
                  <w:vMerge w:val="continue"/>
                  <w:vAlign w:val="center"/>
                </w:tcPr>
                <w:p>
                  <w:pPr>
                    <w:widowControl/>
                    <w:jc w:val="center"/>
                    <w:rPr>
                      <w:kern w:val="28"/>
                      <w:szCs w:val="21"/>
                    </w:rPr>
                  </w:pPr>
                </w:p>
              </w:tc>
              <w:tc>
                <w:tcPr>
                  <w:tcW w:w="850" w:type="dxa"/>
                  <w:vMerge w:val="continue"/>
                  <w:vAlign w:val="center"/>
                </w:tcPr>
                <w:p>
                  <w:pPr>
                    <w:jc w:val="center"/>
                    <w:rPr>
                      <w:szCs w:val="21"/>
                    </w:rPr>
                  </w:pPr>
                </w:p>
              </w:tc>
              <w:tc>
                <w:tcPr>
                  <w:tcW w:w="4962" w:type="dxa"/>
                  <w:vAlign w:val="center"/>
                </w:tcPr>
                <w:p>
                  <w:pPr>
                    <w:widowControl/>
                    <w:jc w:val="left"/>
                    <w:rPr>
                      <w:kern w:val="0"/>
                      <w:szCs w:val="21"/>
                    </w:rPr>
                  </w:pPr>
                  <w:r>
                    <w:rPr>
                      <w:kern w:val="0"/>
                      <w:szCs w:val="21"/>
                    </w:rPr>
                    <w:t>钻井产生的废油由回收桶收集，贮存于清洁生产操作平台内，储存能力为1m</w:t>
                  </w:r>
                  <w:r>
                    <w:rPr>
                      <w:kern w:val="0"/>
                      <w:szCs w:val="21"/>
                      <w:vertAlign w:val="superscript"/>
                    </w:rPr>
                    <w:t>3</w:t>
                  </w:r>
                  <w:r>
                    <w:rPr>
                      <w:kern w:val="0"/>
                      <w:szCs w:val="21"/>
                    </w:rPr>
                    <w:t>，采取防扬散、防流失、防渗漏或者其他防止污染环境的措施，设置围堰或托盘，完钻后交由有资质的单位处置</w:t>
                  </w:r>
                </w:p>
              </w:tc>
              <w:tc>
                <w:tcPr>
                  <w:tcW w:w="1343" w:type="dxa"/>
                  <w:vAlign w:val="center"/>
                </w:tcPr>
                <w:p>
                  <w:pPr>
                    <w:jc w:val="center"/>
                    <w:rPr>
                      <w:kern w:val="0"/>
                      <w:szCs w:val="21"/>
                    </w:rPr>
                  </w:pPr>
                  <w:r>
                    <w:rPr>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99" w:type="dxa"/>
                  <w:vMerge w:val="continue"/>
                  <w:vAlign w:val="center"/>
                </w:tcPr>
                <w:p>
                  <w:pPr>
                    <w:widowControl/>
                    <w:jc w:val="center"/>
                    <w:rPr>
                      <w:kern w:val="28"/>
                      <w:szCs w:val="21"/>
                    </w:rPr>
                  </w:pPr>
                </w:p>
              </w:tc>
              <w:tc>
                <w:tcPr>
                  <w:tcW w:w="850" w:type="dxa"/>
                  <w:vAlign w:val="center"/>
                </w:tcPr>
                <w:p>
                  <w:pPr>
                    <w:jc w:val="center"/>
                    <w:rPr>
                      <w:szCs w:val="21"/>
                    </w:rPr>
                  </w:pPr>
                  <w:r>
                    <w:rPr>
                      <w:szCs w:val="21"/>
                    </w:rPr>
                    <w:t>噪声</w:t>
                  </w:r>
                </w:p>
              </w:tc>
              <w:tc>
                <w:tcPr>
                  <w:tcW w:w="4962" w:type="dxa"/>
                  <w:vAlign w:val="center"/>
                </w:tcPr>
                <w:p>
                  <w:pPr>
                    <w:widowControl/>
                    <w:jc w:val="left"/>
                    <w:rPr>
                      <w:kern w:val="0"/>
                      <w:szCs w:val="21"/>
                    </w:rPr>
                  </w:pPr>
                  <w:r>
                    <w:rPr>
                      <w:kern w:val="0"/>
                      <w:szCs w:val="21"/>
                    </w:rPr>
                    <w:t>噪声设备设置基础减震，同时备用发机组、空气压缩机、泥浆泵设置在房屋内进行隔声减小影响。</w:t>
                  </w:r>
                </w:p>
              </w:tc>
              <w:tc>
                <w:tcPr>
                  <w:tcW w:w="1343" w:type="dxa"/>
                  <w:vAlign w:val="center"/>
                </w:tcPr>
                <w:p>
                  <w:pPr>
                    <w:jc w:val="center"/>
                    <w:rPr>
                      <w:kern w:val="0"/>
                      <w:szCs w:val="21"/>
                    </w:rPr>
                  </w:pPr>
                  <w:r>
                    <w:rPr>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599" w:type="dxa"/>
                  <w:vMerge w:val="continue"/>
                  <w:vAlign w:val="center"/>
                </w:tcPr>
                <w:p>
                  <w:pPr>
                    <w:widowControl/>
                    <w:jc w:val="center"/>
                    <w:rPr>
                      <w:kern w:val="28"/>
                      <w:szCs w:val="21"/>
                    </w:rPr>
                  </w:pPr>
                </w:p>
              </w:tc>
              <w:tc>
                <w:tcPr>
                  <w:tcW w:w="850" w:type="dxa"/>
                  <w:vAlign w:val="center"/>
                </w:tcPr>
                <w:p>
                  <w:pPr>
                    <w:jc w:val="center"/>
                    <w:rPr>
                      <w:szCs w:val="21"/>
                    </w:rPr>
                  </w:pPr>
                  <w:r>
                    <w:rPr>
                      <w:szCs w:val="21"/>
                    </w:rPr>
                    <w:t>生态恢复</w:t>
                  </w:r>
                </w:p>
              </w:tc>
              <w:tc>
                <w:tcPr>
                  <w:tcW w:w="4962" w:type="dxa"/>
                  <w:vAlign w:val="center"/>
                </w:tcPr>
                <w:p>
                  <w:pPr>
                    <w:widowControl/>
                    <w:jc w:val="left"/>
                    <w:rPr>
                      <w:kern w:val="0"/>
                      <w:szCs w:val="21"/>
                    </w:rPr>
                  </w:pPr>
                  <w:r>
                    <w:rPr>
                      <w:kern w:val="0"/>
                      <w:szCs w:val="21"/>
                    </w:rPr>
                    <w:t>对热辐射破坏的植被进行补偿。</w:t>
                  </w:r>
                </w:p>
              </w:tc>
              <w:tc>
                <w:tcPr>
                  <w:tcW w:w="1343" w:type="dxa"/>
                  <w:vAlign w:val="center"/>
                </w:tcPr>
                <w:p>
                  <w:pPr>
                    <w:jc w:val="center"/>
                    <w:rPr>
                      <w:kern w:val="0"/>
                      <w:szCs w:val="21"/>
                    </w:rPr>
                  </w:pPr>
                  <w:r>
                    <w:rPr>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99" w:type="dxa"/>
                  <w:vMerge w:val="continue"/>
                  <w:vAlign w:val="center"/>
                </w:tcPr>
                <w:p>
                  <w:pPr>
                    <w:widowControl/>
                    <w:jc w:val="center"/>
                    <w:rPr>
                      <w:kern w:val="28"/>
                      <w:szCs w:val="21"/>
                    </w:rPr>
                  </w:pPr>
                </w:p>
              </w:tc>
              <w:tc>
                <w:tcPr>
                  <w:tcW w:w="850" w:type="dxa"/>
                  <w:vAlign w:val="center"/>
                </w:tcPr>
                <w:p>
                  <w:pPr>
                    <w:jc w:val="center"/>
                    <w:rPr>
                      <w:szCs w:val="21"/>
                    </w:rPr>
                  </w:pPr>
                  <w:r>
                    <w:rPr>
                      <w:szCs w:val="21"/>
                    </w:rPr>
                    <w:t>挡水墙</w:t>
                  </w:r>
                </w:p>
              </w:tc>
              <w:tc>
                <w:tcPr>
                  <w:tcW w:w="4962" w:type="dxa"/>
                  <w:vAlign w:val="center"/>
                </w:tcPr>
                <w:p>
                  <w:pPr>
                    <w:widowControl/>
                    <w:jc w:val="left"/>
                    <w:rPr>
                      <w:kern w:val="0"/>
                      <w:szCs w:val="21"/>
                    </w:rPr>
                  </w:pPr>
                  <w:r>
                    <w:rPr>
                      <w:kern w:val="0"/>
                      <w:szCs w:val="21"/>
                    </w:rPr>
                    <w:t>场内设备基础外设置0.2m高挡水墙，循环系统外设0.6m高挡水墙。</w:t>
                  </w:r>
                </w:p>
              </w:tc>
              <w:tc>
                <w:tcPr>
                  <w:tcW w:w="1343" w:type="dxa"/>
                  <w:vAlign w:val="center"/>
                </w:tcPr>
                <w:p>
                  <w:pPr>
                    <w:jc w:val="center"/>
                    <w:rPr>
                      <w:kern w:val="0"/>
                      <w:szCs w:val="21"/>
                    </w:rPr>
                  </w:pPr>
                  <w:r>
                    <w:rPr>
                      <w:kern w:val="0"/>
                      <w:szCs w:val="21"/>
                    </w:rPr>
                    <w:t>渗漏污染土壤、地下水、地表水环境。</w:t>
                  </w:r>
                </w:p>
              </w:tc>
            </w:tr>
            <w:bookmarkEnd w:id="12"/>
          </w:tbl>
          <w:p>
            <w:pPr>
              <w:spacing w:line="360" w:lineRule="auto"/>
              <w:rPr>
                <w:szCs w:val="21"/>
              </w:rPr>
            </w:pPr>
          </w:p>
          <w:p>
            <w:pPr>
              <w:spacing w:line="360" w:lineRule="auto"/>
              <w:ind w:firstLine="420" w:firstLineChars="200"/>
              <w:rPr>
                <w:szCs w:val="21"/>
              </w:rPr>
            </w:pPr>
            <w:r>
              <w:rPr>
                <w:szCs w:val="21"/>
              </w:rPr>
              <w:t>（</w:t>
            </w:r>
            <w:r>
              <w:rPr>
                <w:rFonts w:hint="eastAsia"/>
                <w:szCs w:val="21"/>
              </w:rPr>
              <w:t>3</w:t>
            </w:r>
            <w:r>
              <w:rPr>
                <w:szCs w:val="21"/>
              </w:rPr>
              <w:t>）压裂测试工程</w:t>
            </w:r>
          </w:p>
          <w:p>
            <w:pPr>
              <w:spacing w:line="360" w:lineRule="auto"/>
              <w:ind w:firstLine="420" w:firstLineChars="200"/>
              <w:rPr>
                <w:szCs w:val="21"/>
              </w:rPr>
            </w:pPr>
            <w:r>
              <w:rPr>
                <w:szCs w:val="21"/>
              </w:rPr>
              <w:t>当钻井钻至目的层后，对气井进行压裂测试，以取得该井施工段流体性质、测试产能、地层压力等详细工程资料。压裂测试包括洗井、射孔（最后一次固井后）、酸化压裂、装采气树及防喷器等、测试放喷等过程。</w:t>
            </w:r>
          </w:p>
          <w:p>
            <w:pPr>
              <w:spacing w:line="360" w:lineRule="auto"/>
              <w:ind w:firstLine="420" w:firstLineChars="200"/>
              <w:rPr>
                <w:szCs w:val="21"/>
              </w:rPr>
            </w:pPr>
            <w:r>
              <w:rPr>
                <w:szCs w:val="21"/>
              </w:rPr>
              <w:t>本项目压裂测试工程主要包括酸化及测试放喷等，其中酸化为前置液酸压，随即进行测试喷，经放喷测试定产后搬迁撤离设备等，视测试情况确定后续开发或封井撤场处理。主要工程内容和项目组成详见下表。</w:t>
            </w:r>
          </w:p>
          <w:p>
            <w:pPr>
              <w:pStyle w:val="19"/>
              <w:numPr>
                <w:ilvl w:val="0"/>
                <w:numId w:val="5"/>
              </w:numPr>
              <w:tabs>
                <w:tab w:val="left" w:pos="0"/>
                <w:tab w:val="left" w:pos="833"/>
              </w:tabs>
              <w:spacing w:before="0" w:after="0" w:line="360" w:lineRule="auto"/>
              <w:ind w:left="0" w:right="0" w:firstLine="0"/>
              <w:jc w:val="center"/>
              <w:rPr>
                <w:b/>
                <w:sz w:val="21"/>
                <w:szCs w:val="21"/>
              </w:rPr>
            </w:pPr>
            <w:r>
              <w:rPr>
                <w:b/>
                <w:sz w:val="21"/>
                <w:szCs w:val="21"/>
              </w:rPr>
              <w:t>压裂测试工程项目组成及主要环境问题一览表</w:t>
            </w:r>
          </w:p>
          <w:tbl>
            <w:tblPr>
              <w:tblStyle w:val="42"/>
              <w:tblW w:w="79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040"/>
              <w:gridCol w:w="4523"/>
              <w:gridCol w:w="14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854" w:type="dxa"/>
                  <w:vAlign w:val="center"/>
                </w:tcPr>
                <w:p>
                  <w:pPr>
                    <w:jc w:val="center"/>
                    <w:rPr>
                      <w:kern w:val="28"/>
                      <w:szCs w:val="21"/>
                    </w:rPr>
                  </w:pPr>
                  <w:r>
                    <w:rPr>
                      <w:kern w:val="28"/>
                      <w:szCs w:val="21"/>
                    </w:rPr>
                    <w:t>工程分类</w:t>
                  </w:r>
                </w:p>
              </w:tc>
              <w:tc>
                <w:tcPr>
                  <w:tcW w:w="1040" w:type="dxa"/>
                  <w:vAlign w:val="center"/>
                </w:tcPr>
                <w:p>
                  <w:pPr>
                    <w:jc w:val="center"/>
                    <w:rPr>
                      <w:kern w:val="28"/>
                      <w:szCs w:val="21"/>
                    </w:rPr>
                  </w:pPr>
                  <w:r>
                    <w:rPr>
                      <w:kern w:val="28"/>
                      <w:szCs w:val="21"/>
                    </w:rPr>
                    <w:t>建设内容</w:t>
                  </w:r>
                </w:p>
              </w:tc>
              <w:tc>
                <w:tcPr>
                  <w:tcW w:w="4523" w:type="dxa"/>
                  <w:vAlign w:val="center"/>
                </w:tcPr>
                <w:p>
                  <w:pPr>
                    <w:jc w:val="center"/>
                    <w:rPr>
                      <w:kern w:val="28"/>
                      <w:szCs w:val="21"/>
                    </w:rPr>
                  </w:pPr>
                  <w:r>
                    <w:rPr>
                      <w:kern w:val="28"/>
                      <w:szCs w:val="21"/>
                    </w:rPr>
                    <w:t>建设规模</w:t>
                  </w:r>
                </w:p>
              </w:tc>
              <w:tc>
                <w:tcPr>
                  <w:tcW w:w="1494" w:type="dxa"/>
                  <w:vAlign w:val="center"/>
                </w:tcPr>
                <w:p>
                  <w:pPr>
                    <w:jc w:val="center"/>
                    <w:rPr>
                      <w:kern w:val="28"/>
                      <w:szCs w:val="21"/>
                    </w:rPr>
                  </w:pPr>
                  <w:r>
                    <w:rPr>
                      <w:kern w:val="28"/>
                      <w:szCs w:val="21"/>
                    </w:rPr>
                    <w:t>可能产生的环境影响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54" w:type="dxa"/>
                  <w:vMerge w:val="restart"/>
                  <w:vAlign w:val="center"/>
                </w:tcPr>
                <w:p>
                  <w:pPr>
                    <w:jc w:val="center"/>
                    <w:rPr>
                      <w:kern w:val="28"/>
                      <w:szCs w:val="21"/>
                    </w:rPr>
                  </w:pPr>
                  <w:r>
                    <w:rPr>
                      <w:kern w:val="28"/>
                      <w:szCs w:val="21"/>
                    </w:rPr>
                    <w:t>主体工程</w:t>
                  </w:r>
                </w:p>
              </w:tc>
              <w:tc>
                <w:tcPr>
                  <w:tcW w:w="1040" w:type="dxa"/>
                  <w:vAlign w:val="center"/>
                </w:tcPr>
                <w:p>
                  <w:pPr>
                    <w:jc w:val="center"/>
                    <w:rPr>
                      <w:kern w:val="28"/>
                      <w:szCs w:val="21"/>
                    </w:rPr>
                  </w:pPr>
                  <w:r>
                    <w:rPr>
                      <w:kern w:val="28"/>
                      <w:szCs w:val="21"/>
                    </w:rPr>
                    <w:t>酸化作业</w:t>
                  </w:r>
                </w:p>
              </w:tc>
              <w:tc>
                <w:tcPr>
                  <w:tcW w:w="4523" w:type="dxa"/>
                  <w:vAlign w:val="center"/>
                </w:tcPr>
                <w:p>
                  <w:pPr>
                    <w:pStyle w:val="19"/>
                    <w:tabs>
                      <w:tab w:val="left" w:pos="0"/>
                      <w:tab w:val="left" w:pos="833"/>
                    </w:tabs>
                    <w:spacing w:before="0" w:after="0" w:line="240" w:lineRule="auto"/>
                    <w:ind w:right="0"/>
                    <w:jc w:val="center"/>
                    <w:rPr>
                      <w:sz w:val="21"/>
                      <w:szCs w:val="21"/>
                    </w:rPr>
                  </w:pPr>
                  <w:r>
                    <w:rPr>
                      <w:sz w:val="21"/>
                      <w:szCs w:val="21"/>
                    </w:rPr>
                    <w:t>进行射孔及压裂完井，14台压裂车（12用2备），压裂后进行测试放喷。</w:t>
                  </w:r>
                </w:p>
              </w:tc>
              <w:tc>
                <w:tcPr>
                  <w:tcW w:w="1494" w:type="dxa"/>
                  <w:vMerge w:val="restart"/>
                  <w:vAlign w:val="center"/>
                </w:tcPr>
                <w:p>
                  <w:pPr>
                    <w:jc w:val="center"/>
                    <w:rPr>
                      <w:kern w:val="28"/>
                      <w:szCs w:val="21"/>
                    </w:rPr>
                  </w:pPr>
                  <w:r>
                    <w:rPr>
                      <w:kern w:val="28"/>
                      <w:szCs w:val="21"/>
                    </w:rPr>
                    <w:t>洗井、酸化废水存储及转运环境风险以及测试废气环境影响。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54" w:type="dxa"/>
                  <w:vMerge w:val="continue"/>
                  <w:vAlign w:val="center"/>
                </w:tcPr>
                <w:p>
                  <w:pPr>
                    <w:jc w:val="center"/>
                    <w:rPr>
                      <w:kern w:val="28"/>
                      <w:szCs w:val="21"/>
                    </w:rPr>
                  </w:pPr>
                </w:p>
              </w:tc>
              <w:tc>
                <w:tcPr>
                  <w:tcW w:w="1040" w:type="dxa"/>
                  <w:vAlign w:val="center"/>
                </w:tcPr>
                <w:p>
                  <w:pPr>
                    <w:jc w:val="center"/>
                    <w:rPr>
                      <w:kern w:val="28"/>
                      <w:szCs w:val="21"/>
                    </w:rPr>
                  </w:pPr>
                  <w:r>
                    <w:rPr>
                      <w:kern w:val="28"/>
                      <w:szCs w:val="21"/>
                    </w:rPr>
                    <w:t>测试放喷</w:t>
                  </w:r>
                </w:p>
              </w:tc>
              <w:tc>
                <w:tcPr>
                  <w:tcW w:w="4523" w:type="dxa"/>
                  <w:vAlign w:val="center"/>
                </w:tcPr>
                <w:p>
                  <w:pPr>
                    <w:pStyle w:val="19"/>
                    <w:tabs>
                      <w:tab w:val="left" w:pos="0"/>
                      <w:tab w:val="left" w:pos="833"/>
                    </w:tabs>
                    <w:spacing w:before="0" w:after="0" w:line="240" w:lineRule="auto"/>
                    <w:ind w:right="0"/>
                    <w:jc w:val="center"/>
                    <w:rPr>
                      <w:sz w:val="21"/>
                      <w:szCs w:val="21"/>
                    </w:rPr>
                  </w:pPr>
                  <w:r>
                    <w:rPr>
                      <w:sz w:val="21"/>
                      <w:szCs w:val="21"/>
                    </w:rPr>
                    <w:t>进行测试放喷估算产量</w:t>
                  </w:r>
                </w:p>
              </w:tc>
              <w:tc>
                <w:tcPr>
                  <w:tcW w:w="1494" w:type="dxa"/>
                  <w:vMerge w:val="continue"/>
                  <w:vAlign w:val="center"/>
                </w:tcPr>
                <w:p>
                  <w:pPr>
                    <w:jc w:val="center"/>
                    <w:rPr>
                      <w:kern w:val="28"/>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54" w:type="dxa"/>
                  <w:vMerge w:val="restart"/>
                  <w:vAlign w:val="center"/>
                </w:tcPr>
                <w:p>
                  <w:pPr>
                    <w:jc w:val="center"/>
                    <w:rPr>
                      <w:kern w:val="28"/>
                      <w:szCs w:val="21"/>
                    </w:rPr>
                  </w:pPr>
                  <w:r>
                    <w:rPr>
                      <w:kern w:val="28"/>
                      <w:szCs w:val="21"/>
                    </w:rPr>
                    <w:t>公用工程</w:t>
                  </w:r>
                </w:p>
              </w:tc>
              <w:tc>
                <w:tcPr>
                  <w:tcW w:w="1040" w:type="dxa"/>
                  <w:vAlign w:val="center"/>
                </w:tcPr>
                <w:p>
                  <w:pPr>
                    <w:jc w:val="center"/>
                    <w:rPr>
                      <w:kern w:val="28"/>
                      <w:szCs w:val="21"/>
                    </w:rPr>
                  </w:pPr>
                  <w:r>
                    <w:rPr>
                      <w:kern w:val="28"/>
                      <w:szCs w:val="21"/>
                    </w:rPr>
                    <w:t>生活用水</w:t>
                  </w:r>
                </w:p>
              </w:tc>
              <w:tc>
                <w:tcPr>
                  <w:tcW w:w="4523" w:type="dxa"/>
                  <w:vAlign w:val="center"/>
                </w:tcPr>
                <w:p>
                  <w:pPr>
                    <w:pStyle w:val="19"/>
                    <w:tabs>
                      <w:tab w:val="left" w:pos="0"/>
                      <w:tab w:val="left" w:pos="833"/>
                    </w:tabs>
                    <w:spacing w:before="0" w:after="0" w:line="240" w:lineRule="auto"/>
                    <w:ind w:right="0"/>
                    <w:jc w:val="center"/>
                    <w:rPr>
                      <w:sz w:val="21"/>
                      <w:szCs w:val="21"/>
                    </w:rPr>
                  </w:pPr>
                  <w:r>
                    <w:rPr>
                      <w:sz w:val="21"/>
                      <w:szCs w:val="21"/>
                    </w:rPr>
                    <w:t>从附近镇上拉运桶装水作为施工队伍的生活用水。</w:t>
                  </w:r>
                </w:p>
              </w:tc>
              <w:tc>
                <w:tcPr>
                  <w:tcW w:w="1494" w:type="dxa"/>
                  <w:vAlign w:val="center"/>
                </w:tcPr>
                <w:p>
                  <w:pPr>
                    <w:jc w:val="center"/>
                    <w:rPr>
                      <w:kern w:val="28"/>
                      <w:szCs w:val="21"/>
                    </w:rPr>
                  </w:pPr>
                  <w:r>
                    <w:rPr>
                      <w:kern w:val="28"/>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54" w:type="dxa"/>
                  <w:vMerge w:val="continue"/>
                  <w:vAlign w:val="center"/>
                </w:tcPr>
                <w:p>
                  <w:pPr>
                    <w:jc w:val="center"/>
                    <w:rPr>
                      <w:kern w:val="28"/>
                      <w:szCs w:val="21"/>
                    </w:rPr>
                  </w:pPr>
                </w:p>
              </w:tc>
              <w:tc>
                <w:tcPr>
                  <w:tcW w:w="1040" w:type="dxa"/>
                  <w:vAlign w:val="center"/>
                </w:tcPr>
                <w:p>
                  <w:pPr>
                    <w:jc w:val="center"/>
                    <w:rPr>
                      <w:kern w:val="28"/>
                      <w:szCs w:val="21"/>
                    </w:rPr>
                  </w:pPr>
                  <w:r>
                    <w:rPr>
                      <w:kern w:val="28"/>
                      <w:szCs w:val="21"/>
                    </w:rPr>
                    <w:t>生产用水</w:t>
                  </w:r>
                </w:p>
              </w:tc>
              <w:tc>
                <w:tcPr>
                  <w:tcW w:w="4523" w:type="dxa"/>
                  <w:vAlign w:val="center"/>
                </w:tcPr>
                <w:p>
                  <w:pPr>
                    <w:pStyle w:val="19"/>
                    <w:tabs>
                      <w:tab w:val="left" w:pos="0"/>
                      <w:tab w:val="left" w:pos="833"/>
                    </w:tabs>
                    <w:spacing w:before="0" w:after="0" w:line="240" w:lineRule="auto"/>
                    <w:ind w:right="0"/>
                    <w:jc w:val="center"/>
                    <w:rPr>
                      <w:sz w:val="21"/>
                      <w:szCs w:val="21"/>
                    </w:rPr>
                  </w:pPr>
                  <w:r>
                    <w:rPr>
                      <w:sz w:val="21"/>
                      <w:szCs w:val="21"/>
                    </w:rPr>
                    <w:t>采用清洁化生产处理水作为生产用水，不足部分采用运水车从当地自来水管网取水</w:t>
                  </w:r>
                </w:p>
              </w:tc>
              <w:tc>
                <w:tcPr>
                  <w:tcW w:w="1494" w:type="dxa"/>
                  <w:vAlign w:val="center"/>
                </w:tcPr>
                <w:p>
                  <w:pPr>
                    <w:jc w:val="center"/>
                    <w:rPr>
                      <w:kern w:val="28"/>
                      <w:szCs w:val="21"/>
                    </w:rPr>
                  </w:pPr>
                  <w:r>
                    <w:rPr>
                      <w:kern w:val="28"/>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54" w:type="dxa"/>
                  <w:vMerge w:val="restart"/>
                  <w:vAlign w:val="center"/>
                </w:tcPr>
                <w:p>
                  <w:pPr>
                    <w:jc w:val="center"/>
                    <w:rPr>
                      <w:kern w:val="28"/>
                      <w:szCs w:val="21"/>
                    </w:rPr>
                  </w:pPr>
                  <w:r>
                    <w:rPr>
                      <w:kern w:val="28"/>
                      <w:szCs w:val="21"/>
                    </w:rPr>
                    <w:t>环保工程</w:t>
                  </w:r>
                </w:p>
              </w:tc>
              <w:tc>
                <w:tcPr>
                  <w:tcW w:w="1040" w:type="dxa"/>
                  <w:vAlign w:val="center"/>
                </w:tcPr>
                <w:p>
                  <w:pPr>
                    <w:jc w:val="center"/>
                    <w:rPr>
                      <w:kern w:val="28"/>
                      <w:szCs w:val="21"/>
                    </w:rPr>
                  </w:pPr>
                  <w:r>
                    <w:rPr>
                      <w:kern w:val="28"/>
                      <w:szCs w:val="21"/>
                    </w:rPr>
                    <w:t>酸化废水处置</w:t>
                  </w:r>
                </w:p>
              </w:tc>
              <w:tc>
                <w:tcPr>
                  <w:tcW w:w="4523" w:type="dxa"/>
                  <w:vAlign w:val="center"/>
                </w:tcPr>
                <w:p>
                  <w:pPr>
                    <w:pStyle w:val="19"/>
                    <w:tabs>
                      <w:tab w:val="left" w:pos="0"/>
                      <w:tab w:val="left" w:pos="833"/>
                    </w:tabs>
                    <w:spacing w:before="0" w:after="0" w:line="240" w:lineRule="auto"/>
                    <w:ind w:right="0"/>
                    <w:jc w:val="center"/>
                    <w:rPr>
                      <w:sz w:val="21"/>
                      <w:szCs w:val="21"/>
                    </w:rPr>
                  </w:pPr>
                  <w:r>
                    <w:rPr>
                      <w:sz w:val="21"/>
                      <w:szCs w:val="21"/>
                    </w:rPr>
                    <w:t>对酸化废水在井场进行预处理后拟交由四川瑞利生物科技有限公司污水处理厂进行处理。</w:t>
                  </w:r>
                </w:p>
              </w:tc>
              <w:tc>
                <w:tcPr>
                  <w:tcW w:w="1494" w:type="dxa"/>
                  <w:vAlign w:val="center"/>
                </w:tcPr>
                <w:p>
                  <w:pPr>
                    <w:jc w:val="center"/>
                    <w:rPr>
                      <w:kern w:val="28"/>
                      <w:szCs w:val="21"/>
                    </w:rPr>
                  </w:pPr>
                  <w:r>
                    <w:rPr>
                      <w:kern w:val="28"/>
                      <w:szCs w:val="21"/>
                    </w:rPr>
                    <w:t>储存、转运过程泄漏风险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54" w:type="dxa"/>
                  <w:vMerge w:val="continue"/>
                  <w:vAlign w:val="center"/>
                </w:tcPr>
                <w:p>
                  <w:pPr>
                    <w:jc w:val="center"/>
                    <w:rPr>
                      <w:kern w:val="28"/>
                      <w:szCs w:val="21"/>
                    </w:rPr>
                  </w:pPr>
                </w:p>
              </w:tc>
              <w:tc>
                <w:tcPr>
                  <w:tcW w:w="1040" w:type="dxa"/>
                  <w:vAlign w:val="center"/>
                </w:tcPr>
                <w:p>
                  <w:pPr>
                    <w:jc w:val="center"/>
                    <w:rPr>
                      <w:kern w:val="28"/>
                      <w:szCs w:val="21"/>
                    </w:rPr>
                  </w:pPr>
                  <w:r>
                    <w:rPr>
                      <w:kern w:val="28"/>
                      <w:szCs w:val="21"/>
                    </w:rPr>
                    <w:t>生活污水</w:t>
                  </w:r>
                </w:p>
              </w:tc>
              <w:tc>
                <w:tcPr>
                  <w:tcW w:w="4523" w:type="dxa"/>
                  <w:vAlign w:val="center"/>
                </w:tcPr>
                <w:p>
                  <w:pPr>
                    <w:pStyle w:val="19"/>
                    <w:tabs>
                      <w:tab w:val="left" w:pos="0"/>
                      <w:tab w:val="left" w:pos="833"/>
                    </w:tabs>
                    <w:spacing w:before="0" w:after="0" w:line="240" w:lineRule="auto"/>
                    <w:ind w:right="0"/>
                    <w:jc w:val="center"/>
                    <w:rPr>
                      <w:sz w:val="21"/>
                      <w:szCs w:val="21"/>
                    </w:rPr>
                  </w:pPr>
                  <w:r>
                    <w:rPr>
                      <w:sz w:val="21"/>
                      <w:szCs w:val="21"/>
                    </w:rPr>
                    <w:t>生活污水经旱厕收集后由吸污车拉运至北山镇污水处理厂处理后排放。</w:t>
                  </w:r>
                </w:p>
              </w:tc>
              <w:tc>
                <w:tcPr>
                  <w:tcW w:w="1494" w:type="dxa"/>
                  <w:vAlign w:val="center"/>
                </w:tcPr>
                <w:p>
                  <w:pPr>
                    <w:jc w:val="center"/>
                    <w:rPr>
                      <w:kern w:val="28"/>
                      <w:szCs w:val="21"/>
                    </w:rPr>
                  </w:pPr>
                  <w:r>
                    <w:rPr>
                      <w:kern w:val="28"/>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54" w:type="dxa"/>
                  <w:vMerge w:val="continue"/>
                  <w:vAlign w:val="center"/>
                </w:tcPr>
                <w:p>
                  <w:pPr>
                    <w:jc w:val="center"/>
                    <w:rPr>
                      <w:kern w:val="28"/>
                      <w:szCs w:val="21"/>
                    </w:rPr>
                  </w:pPr>
                </w:p>
              </w:tc>
              <w:tc>
                <w:tcPr>
                  <w:tcW w:w="1040" w:type="dxa"/>
                  <w:vAlign w:val="center"/>
                </w:tcPr>
                <w:p>
                  <w:pPr>
                    <w:jc w:val="center"/>
                    <w:rPr>
                      <w:kern w:val="28"/>
                      <w:szCs w:val="21"/>
                    </w:rPr>
                  </w:pPr>
                  <w:r>
                    <w:rPr>
                      <w:kern w:val="28"/>
                      <w:szCs w:val="21"/>
                    </w:rPr>
                    <w:t>生活垃圾</w:t>
                  </w:r>
                </w:p>
              </w:tc>
              <w:tc>
                <w:tcPr>
                  <w:tcW w:w="4523" w:type="dxa"/>
                  <w:vAlign w:val="center"/>
                </w:tcPr>
                <w:p>
                  <w:pPr>
                    <w:pStyle w:val="19"/>
                    <w:tabs>
                      <w:tab w:val="left" w:pos="0"/>
                      <w:tab w:val="left" w:pos="833"/>
                    </w:tabs>
                    <w:spacing w:before="0" w:after="0" w:line="240" w:lineRule="auto"/>
                    <w:ind w:right="0"/>
                    <w:jc w:val="center"/>
                    <w:rPr>
                      <w:sz w:val="21"/>
                      <w:szCs w:val="21"/>
                    </w:rPr>
                  </w:pPr>
                  <w:r>
                    <w:rPr>
                      <w:sz w:val="21"/>
                      <w:szCs w:val="21"/>
                    </w:rPr>
                    <w:t>在井场及生活区内设置移动式垃圾桶，对生活垃圾集中收集，交由当地环卫部门处置。</w:t>
                  </w:r>
                </w:p>
              </w:tc>
              <w:tc>
                <w:tcPr>
                  <w:tcW w:w="1494" w:type="dxa"/>
                  <w:vAlign w:val="center"/>
                </w:tcPr>
                <w:p>
                  <w:pPr>
                    <w:jc w:val="center"/>
                    <w:rPr>
                      <w:kern w:val="28"/>
                      <w:szCs w:val="21"/>
                    </w:rPr>
                  </w:pPr>
                  <w:r>
                    <w:rPr>
                      <w:kern w:val="28"/>
                      <w:szCs w:val="21"/>
                    </w:rPr>
                    <w:t>/</w:t>
                  </w:r>
                </w:p>
              </w:tc>
            </w:tr>
            <w:bookmarkEnd w:id="10"/>
          </w:tbl>
          <w:p>
            <w:pPr>
              <w:spacing w:line="360" w:lineRule="auto"/>
              <w:rPr>
                <w:b/>
                <w:szCs w:val="21"/>
              </w:rPr>
            </w:pPr>
            <w:r>
              <w:rPr>
                <w:b/>
                <w:szCs w:val="21"/>
              </w:rPr>
              <w:t>2.5钻井设备</w:t>
            </w:r>
          </w:p>
          <w:p>
            <w:pPr>
              <w:tabs>
                <w:tab w:val="left" w:pos="2321"/>
                <w:tab w:val="left" w:pos="5925"/>
              </w:tabs>
              <w:adjustRightInd w:val="0"/>
              <w:spacing w:line="360" w:lineRule="auto"/>
              <w:ind w:firstLine="420" w:firstLineChars="200"/>
              <w:rPr>
                <w:bCs/>
                <w:szCs w:val="21"/>
              </w:rPr>
            </w:pPr>
            <w:r>
              <w:rPr>
                <w:bCs/>
                <w:szCs w:val="21"/>
              </w:rPr>
              <w:t>由于钻前工程施工主要为土建作业，设备为土建施工常用设备，本评价不做详细列举，重点对钻井设备及完井设备列表说明。</w:t>
            </w:r>
          </w:p>
          <w:p>
            <w:pPr>
              <w:tabs>
                <w:tab w:val="left" w:pos="2321"/>
                <w:tab w:val="left" w:pos="5925"/>
              </w:tabs>
              <w:adjustRightInd w:val="0"/>
              <w:spacing w:line="360" w:lineRule="auto"/>
              <w:ind w:firstLine="420" w:firstLineChars="200"/>
              <w:rPr>
                <w:bCs/>
                <w:szCs w:val="21"/>
              </w:rPr>
            </w:pPr>
            <w:r>
              <w:rPr>
                <w:bCs/>
                <w:szCs w:val="21"/>
              </w:rPr>
              <w:t>根据《平安101井钻井工程设计》，钻井作业主要钻井设备包括泥浆钻井系统、井架设备和井场监控自动化设备。根据对设备清单的核查检索，无国家规定的禁止使用和淘汰类设备。本项目使用设备如下：</w:t>
            </w:r>
          </w:p>
          <w:p>
            <w:pPr>
              <w:tabs>
                <w:tab w:val="left" w:pos="2321"/>
                <w:tab w:val="left" w:pos="5925"/>
              </w:tabs>
              <w:adjustRightInd w:val="0"/>
              <w:spacing w:line="360" w:lineRule="auto"/>
              <w:ind w:firstLine="420" w:firstLineChars="200"/>
              <w:rPr>
                <w:bCs/>
                <w:szCs w:val="21"/>
              </w:rPr>
            </w:pPr>
          </w:p>
          <w:p>
            <w:pPr>
              <w:pStyle w:val="19"/>
              <w:numPr>
                <w:ilvl w:val="0"/>
                <w:numId w:val="5"/>
              </w:numPr>
              <w:tabs>
                <w:tab w:val="left" w:pos="0"/>
                <w:tab w:val="left" w:pos="833"/>
              </w:tabs>
              <w:spacing w:before="0" w:after="0" w:line="360" w:lineRule="auto"/>
              <w:ind w:left="0" w:right="0" w:firstLine="0"/>
              <w:jc w:val="center"/>
              <w:rPr>
                <w:b/>
                <w:bCs/>
                <w:sz w:val="21"/>
                <w:szCs w:val="21"/>
              </w:rPr>
            </w:pPr>
            <w:r>
              <w:rPr>
                <w:b/>
                <w:bCs/>
                <w:sz w:val="21"/>
                <w:szCs w:val="21"/>
              </w:rPr>
              <w:t>平安101井钻井工程主要钻井设备</w:t>
            </w:r>
          </w:p>
          <w:tbl>
            <w:tblPr>
              <w:tblStyle w:val="42"/>
              <w:tblW w:w="5000" w:type="pct"/>
              <w:tblInd w:w="0" w:type="dxa"/>
              <w:tblLayout w:type="fixed"/>
              <w:tblCellMar>
                <w:top w:w="0" w:type="dxa"/>
                <w:left w:w="0" w:type="dxa"/>
                <w:bottom w:w="0" w:type="dxa"/>
                <w:right w:w="0" w:type="dxa"/>
              </w:tblCellMar>
            </w:tblPr>
            <w:tblGrid>
              <w:gridCol w:w="363"/>
              <w:gridCol w:w="4057"/>
              <w:gridCol w:w="1744"/>
              <w:gridCol w:w="541"/>
              <w:gridCol w:w="489"/>
              <w:gridCol w:w="579"/>
            </w:tblGrid>
            <w:tr>
              <w:tblPrEx>
                <w:tblCellMar>
                  <w:top w:w="0" w:type="dxa"/>
                  <w:left w:w="0" w:type="dxa"/>
                  <w:bottom w:w="0" w:type="dxa"/>
                  <w:right w:w="0" w:type="dxa"/>
                </w:tblCellMar>
              </w:tblPrEx>
              <w:trPr>
                <w:tblHeader/>
              </w:trPr>
              <w:tc>
                <w:tcPr>
                  <w:tcW w:w="234" w:type="pct"/>
                  <w:tcBorders>
                    <w:top w:val="single" w:color="auto" w:sz="4" w:space="0"/>
                    <w:left w:val="single" w:color="auto" w:sz="4" w:space="0"/>
                    <w:bottom w:val="single" w:color="auto" w:sz="4" w:space="0"/>
                    <w:right w:val="single" w:color="auto" w:sz="4" w:space="0"/>
                  </w:tcBorders>
                  <w:vAlign w:val="center"/>
                </w:tcPr>
                <w:p>
                  <w:pPr>
                    <w:widowControl/>
                    <w:spacing w:before="12" w:beforeLines="5" w:after="12" w:afterLines="5"/>
                    <w:jc w:val="center"/>
                    <w:rPr>
                      <w:kern w:val="0"/>
                      <w:szCs w:val="21"/>
                    </w:rPr>
                  </w:pPr>
                  <w:r>
                    <w:rPr>
                      <w:kern w:val="0"/>
                      <w:szCs w:val="21"/>
                    </w:rPr>
                    <w:t>序号</w:t>
                  </w:r>
                </w:p>
              </w:tc>
              <w:tc>
                <w:tcPr>
                  <w:tcW w:w="2610" w:type="pct"/>
                  <w:tcBorders>
                    <w:top w:val="single" w:color="auto" w:sz="4" w:space="0"/>
                    <w:left w:val="nil"/>
                    <w:bottom w:val="single" w:color="auto" w:sz="4" w:space="0"/>
                    <w:right w:val="single" w:color="auto" w:sz="4" w:space="0"/>
                  </w:tcBorders>
                  <w:vAlign w:val="center"/>
                </w:tcPr>
                <w:p>
                  <w:pPr>
                    <w:widowControl/>
                    <w:spacing w:before="12" w:beforeLines="5" w:after="12" w:afterLines="5"/>
                    <w:jc w:val="center"/>
                    <w:rPr>
                      <w:kern w:val="0"/>
                      <w:szCs w:val="21"/>
                    </w:rPr>
                  </w:pPr>
                  <w:r>
                    <w:rPr>
                      <w:kern w:val="0"/>
                      <w:szCs w:val="21"/>
                    </w:rPr>
                    <w:t>设备或部件名称</w:t>
                  </w:r>
                </w:p>
              </w:tc>
              <w:tc>
                <w:tcPr>
                  <w:tcW w:w="1122" w:type="pct"/>
                  <w:tcBorders>
                    <w:top w:val="single" w:color="auto" w:sz="4" w:space="0"/>
                    <w:left w:val="nil"/>
                    <w:bottom w:val="single" w:color="auto" w:sz="4" w:space="0"/>
                    <w:right w:val="single" w:color="auto" w:sz="4" w:space="0"/>
                  </w:tcBorders>
                  <w:vAlign w:val="center"/>
                </w:tcPr>
                <w:p>
                  <w:pPr>
                    <w:widowControl/>
                    <w:spacing w:before="12" w:beforeLines="5" w:after="12" w:afterLines="5"/>
                    <w:jc w:val="center"/>
                    <w:rPr>
                      <w:kern w:val="0"/>
                      <w:szCs w:val="21"/>
                    </w:rPr>
                  </w:pPr>
                  <w:r>
                    <w:rPr>
                      <w:kern w:val="0"/>
                      <w:szCs w:val="21"/>
                    </w:rPr>
                    <w:t>规格型号</w:t>
                  </w:r>
                </w:p>
              </w:tc>
              <w:tc>
                <w:tcPr>
                  <w:tcW w:w="348" w:type="pct"/>
                  <w:tcBorders>
                    <w:top w:val="single" w:color="auto" w:sz="4" w:space="0"/>
                    <w:left w:val="nil"/>
                    <w:bottom w:val="single" w:color="auto" w:sz="4" w:space="0"/>
                    <w:right w:val="single" w:color="auto" w:sz="4" w:space="0"/>
                  </w:tcBorders>
                  <w:vAlign w:val="center"/>
                </w:tcPr>
                <w:p>
                  <w:pPr>
                    <w:widowControl/>
                    <w:spacing w:before="12" w:beforeLines="5" w:after="12" w:afterLines="5"/>
                    <w:jc w:val="center"/>
                    <w:rPr>
                      <w:kern w:val="0"/>
                      <w:szCs w:val="21"/>
                    </w:rPr>
                  </w:pPr>
                  <w:r>
                    <w:rPr>
                      <w:kern w:val="0"/>
                      <w:szCs w:val="21"/>
                    </w:rPr>
                    <w:t>参数</w:t>
                  </w:r>
                </w:p>
              </w:tc>
              <w:tc>
                <w:tcPr>
                  <w:tcW w:w="314" w:type="pct"/>
                  <w:tcBorders>
                    <w:top w:val="single" w:color="auto" w:sz="4" w:space="0"/>
                    <w:left w:val="nil"/>
                    <w:bottom w:val="single" w:color="auto" w:sz="4" w:space="0"/>
                    <w:right w:val="single" w:color="auto" w:sz="4" w:space="0"/>
                  </w:tcBorders>
                  <w:vAlign w:val="center"/>
                </w:tcPr>
                <w:p>
                  <w:pPr>
                    <w:widowControl/>
                    <w:spacing w:before="12" w:beforeLines="5" w:after="12" w:afterLines="5"/>
                    <w:jc w:val="center"/>
                    <w:rPr>
                      <w:kern w:val="0"/>
                      <w:szCs w:val="21"/>
                    </w:rPr>
                  </w:pPr>
                  <w:r>
                    <w:rPr>
                      <w:kern w:val="0"/>
                      <w:szCs w:val="21"/>
                    </w:rPr>
                    <w:t>单位</w:t>
                  </w:r>
                </w:p>
              </w:tc>
              <w:tc>
                <w:tcPr>
                  <w:tcW w:w="372" w:type="pct"/>
                  <w:tcBorders>
                    <w:top w:val="single" w:color="auto" w:sz="4" w:space="0"/>
                    <w:left w:val="nil"/>
                    <w:bottom w:val="single" w:color="auto" w:sz="4" w:space="0"/>
                    <w:right w:val="single" w:color="auto" w:sz="4" w:space="0"/>
                  </w:tcBorders>
                  <w:vAlign w:val="center"/>
                </w:tcPr>
                <w:p>
                  <w:pPr>
                    <w:widowControl/>
                    <w:spacing w:before="12" w:beforeLines="5" w:after="12" w:afterLines="5"/>
                    <w:jc w:val="center"/>
                    <w:rPr>
                      <w:kern w:val="0"/>
                      <w:szCs w:val="21"/>
                    </w:rPr>
                  </w:pPr>
                  <w:r>
                    <w:rPr>
                      <w:kern w:val="0"/>
                      <w:szCs w:val="21"/>
                    </w:rPr>
                    <w:t>数量</w:t>
                  </w:r>
                </w:p>
              </w:tc>
            </w:tr>
            <w:tr>
              <w:tblPrEx>
                <w:tblCellMar>
                  <w:top w:w="0" w:type="dxa"/>
                  <w:left w:w="0" w:type="dxa"/>
                  <w:bottom w:w="0" w:type="dxa"/>
                  <w:right w:w="0" w:type="dxa"/>
                </w:tblCellMar>
              </w:tblPrEx>
              <w:tc>
                <w:tcPr>
                  <w:tcW w:w="234" w:type="pct"/>
                  <w:tcBorders>
                    <w:top w:val="nil"/>
                    <w:left w:val="single" w:color="auto" w:sz="4" w:space="0"/>
                    <w:bottom w:val="single" w:color="auto" w:sz="4" w:space="0"/>
                    <w:right w:val="single" w:color="auto" w:sz="4" w:space="0"/>
                  </w:tcBorders>
                  <w:vAlign w:val="center"/>
                </w:tcPr>
                <w:p>
                  <w:pPr>
                    <w:widowControl/>
                    <w:spacing w:before="12" w:beforeLines="5" w:after="12" w:afterLines="5"/>
                    <w:jc w:val="center"/>
                    <w:rPr>
                      <w:kern w:val="0"/>
                      <w:szCs w:val="21"/>
                    </w:rPr>
                  </w:pPr>
                  <w:r>
                    <w:rPr>
                      <w:kern w:val="0"/>
                      <w:szCs w:val="21"/>
                    </w:rPr>
                    <w:t>一</w:t>
                  </w:r>
                </w:p>
              </w:tc>
              <w:tc>
                <w:tcPr>
                  <w:tcW w:w="2610" w:type="pct"/>
                  <w:tcBorders>
                    <w:top w:val="nil"/>
                    <w:left w:val="nil"/>
                    <w:bottom w:val="single" w:color="auto" w:sz="4" w:space="0"/>
                    <w:right w:val="single" w:color="auto" w:sz="4" w:space="0"/>
                  </w:tcBorders>
                  <w:vAlign w:val="center"/>
                </w:tcPr>
                <w:p>
                  <w:pPr>
                    <w:widowControl/>
                    <w:spacing w:before="12" w:beforeLines="5" w:after="12" w:afterLines="5"/>
                    <w:jc w:val="center"/>
                    <w:rPr>
                      <w:bCs/>
                      <w:kern w:val="0"/>
                      <w:szCs w:val="21"/>
                    </w:rPr>
                  </w:pPr>
                  <w:r>
                    <w:rPr>
                      <w:bCs/>
                      <w:kern w:val="0"/>
                      <w:szCs w:val="21"/>
                    </w:rPr>
                    <w:t>钻机</w:t>
                  </w:r>
                </w:p>
              </w:tc>
              <w:tc>
                <w:tcPr>
                  <w:tcW w:w="1122" w:type="pct"/>
                  <w:tcBorders>
                    <w:top w:val="nil"/>
                    <w:left w:val="nil"/>
                    <w:bottom w:val="single" w:color="auto" w:sz="4" w:space="0"/>
                    <w:right w:val="single" w:color="auto" w:sz="4" w:space="0"/>
                  </w:tcBorders>
                  <w:vAlign w:val="center"/>
                </w:tcPr>
                <w:p>
                  <w:pPr>
                    <w:widowControl/>
                    <w:spacing w:before="12" w:beforeLines="5" w:after="12" w:afterLines="5"/>
                    <w:jc w:val="center"/>
                    <w:rPr>
                      <w:kern w:val="0"/>
                      <w:szCs w:val="21"/>
                    </w:rPr>
                  </w:pPr>
                  <w:r>
                    <w:rPr>
                      <w:kern w:val="0"/>
                      <w:szCs w:val="21"/>
                    </w:rPr>
                    <w:t>ZJ50</w:t>
                  </w:r>
                </w:p>
              </w:tc>
              <w:tc>
                <w:tcPr>
                  <w:tcW w:w="348" w:type="pct"/>
                  <w:tcBorders>
                    <w:top w:val="nil"/>
                    <w:left w:val="nil"/>
                    <w:bottom w:val="single" w:color="auto" w:sz="4" w:space="0"/>
                    <w:right w:val="single" w:color="auto" w:sz="4" w:space="0"/>
                  </w:tcBorders>
                  <w:vAlign w:val="center"/>
                </w:tcPr>
                <w:p>
                  <w:pPr>
                    <w:widowControl/>
                    <w:spacing w:before="12" w:beforeLines="5" w:after="12" w:afterLines="5"/>
                    <w:jc w:val="center"/>
                    <w:rPr>
                      <w:kern w:val="0"/>
                      <w:szCs w:val="21"/>
                    </w:rPr>
                  </w:pPr>
                  <w:r>
                    <w:rPr>
                      <w:kern w:val="0"/>
                      <w:szCs w:val="21"/>
                    </w:rPr>
                    <w:t>5000</w:t>
                  </w:r>
                </w:p>
              </w:tc>
              <w:tc>
                <w:tcPr>
                  <w:tcW w:w="314" w:type="pct"/>
                  <w:tcBorders>
                    <w:top w:val="nil"/>
                    <w:left w:val="nil"/>
                    <w:bottom w:val="single" w:color="auto" w:sz="4" w:space="0"/>
                    <w:right w:val="single" w:color="auto" w:sz="4" w:space="0"/>
                  </w:tcBorders>
                  <w:vAlign w:val="center"/>
                </w:tcPr>
                <w:p>
                  <w:pPr>
                    <w:widowControl/>
                    <w:spacing w:before="12" w:beforeLines="5" w:after="12" w:afterLines="5"/>
                    <w:jc w:val="center"/>
                    <w:rPr>
                      <w:kern w:val="0"/>
                      <w:szCs w:val="21"/>
                    </w:rPr>
                  </w:pPr>
                  <w:r>
                    <w:rPr>
                      <w:kern w:val="0"/>
                      <w:szCs w:val="21"/>
                    </w:rPr>
                    <w:t>m</w:t>
                  </w:r>
                </w:p>
              </w:tc>
              <w:tc>
                <w:tcPr>
                  <w:tcW w:w="372" w:type="pct"/>
                  <w:tcBorders>
                    <w:top w:val="nil"/>
                    <w:left w:val="nil"/>
                    <w:bottom w:val="single" w:color="auto" w:sz="4" w:space="0"/>
                    <w:right w:val="single" w:color="auto" w:sz="4" w:space="0"/>
                  </w:tcBorders>
                  <w:vAlign w:val="center"/>
                </w:tcPr>
                <w:p>
                  <w:pPr>
                    <w:spacing w:before="12" w:beforeLines="5" w:after="12" w:afterLines="5"/>
                    <w:jc w:val="center"/>
                    <w:rPr>
                      <w:szCs w:val="21"/>
                    </w:rPr>
                  </w:pPr>
                  <w:r>
                    <w:rPr>
                      <w:szCs w:val="21"/>
                    </w:rPr>
                    <w:t>1套</w:t>
                  </w:r>
                </w:p>
              </w:tc>
            </w:tr>
            <w:tr>
              <w:tblPrEx>
                <w:tblCellMar>
                  <w:top w:w="0" w:type="dxa"/>
                  <w:left w:w="0" w:type="dxa"/>
                  <w:bottom w:w="0" w:type="dxa"/>
                  <w:right w:w="0" w:type="dxa"/>
                </w:tblCellMar>
              </w:tblPrEx>
              <w:tc>
                <w:tcPr>
                  <w:tcW w:w="234" w:type="pct"/>
                  <w:tcBorders>
                    <w:top w:val="nil"/>
                    <w:left w:val="single" w:color="auto" w:sz="4" w:space="0"/>
                    <w:bottom w:val="single" w:color="auto" w:sz="4" w:space="0"/>
                    <w:right w:val="single" w:color="auto" w:sz="4" w:space="0"/>
                  </w:tcBorders>
                  <w:vAlign w:val="center"/>
                </w:tcPr>
                <w:p>
                  <w:pPr>
                    <w:widowControl/>
                    <w:spacing w:before="12" w:beforeLines="5" w:after="12" w:afterLines="5"/>
                    <w:jc w:val="center"/>
                    <w:rPr>
                      <w:kern w:val="0"/>
                      <w:szCs w:val="21"/>
                    </w:rPr>
                  </w:pPr>
                  <w:r>
                    <w:rPr>
                      <w:kern w:val="0"/>
                      <w:szCs w:val="21"/>
                    </w:rPr>
                    <w:t>1</w:t>
                  </w:r>
                </w:p>
              </w:tc>
              <w:tc>
                <w:tcPr>
                  <w:tcW w:w="2610" w:type="pct"/>
                  <w:tcBorders>
                    <w:top w:val="nil"/>
                    <w:left w:val="nil"/>
                    <w:bottom w:val="single" w:color="auto" w:sz="4" w:space="0"/>
                    <w:right w:val="single" w:color="auto" w:sz="4" w:space="0"/>
                  </w:tcBorders>
                  <w:vAlign w:val="center"/>
                </w:tcPr>
                <w:p>
                  <w:pPr>
                    <w:widowControl/>
                    <w:spacing w:before="12" w:beforeLines="5" w:after="12" w:afterLines="5"/>
                    <w:jc w:val="center"/>
                    <w:rPr>
                      <w:kern w:val="0"/>
                      <w:szCs w:val="21"/>
                    </w:rPr>
                  </w:pPr>
                  <w:r>
                    <w:rPr>
                      <w:kern w:val="0"/>
                      <w:szCs w:val="21"/>
                    </w:rPr>
                    <w:t>井架</w:t>
                  </w:r>
                </w:p>
              </w:tc>
              <w:tc>
                <w:tcPr>
                  <w:tcW w:w="1122" w:type="pct"/>
                  <w:tcBorders>
                    <w:top w:val="nil"/>
                    <w:left w:val="nil"/>
                    <w:bottom w:val="single" w:color="auto" w:sz="4" w:space="0"/>
                    <w:right w:val="single" w:color="auto" w:sz="4" w:space="0"/>
                  </w:tcBorders>
                  <w:vAlign w:val="center"/>
                </w:tcPr>
                <w:p>
                  <w:pPr>
                    <w:widowControl/>
                    <w:spacing w:before="12" w:beforeLines="5" w:after="12" w:afterLines="5"/>
                    <w:jc w:val="center"/>
                    <w:rPr>
                      <w:kern w:val="0"/>
                      <w:szCs w:val="21"/>
                    </w:rPr>
                  </w:pPr>
                  <w:r>
                    <w:rPr>
                      <w:kern w:val="0"/>
                      <w:szCs w:val="21"/>
                    </w:rPr>
                    <w:t>JJ315/45-K</w:t>
                  </w:r>
                </w:p>
              </w:tc>
              <w:tc>
                <w:tcPr>
                  <w:tcW w:w="348" w:type="pct"/>
                  <w:tcBorders>
                    <w:top w:val="nil"/>
                    <w:left w:val="nil"/>
                    <w:bottom w:val="single" w:color="auto" w:sz="4" w:space="0"/>
                    <w:right w:val="single" w:color="auto" w:sz="4" w:space="0"/>
                  </w:tcBorders>
                  <w:noWrap/>
                  <w:vAlign w:val="center"/>
                </w:tcPr>
                <w:p>
                  <w:pPr>
                    <w:widowControl/>
                    <w:spacing w:before="12" w:beforeLines="5" w:after="12" w:afterLines="5"/>
                    <w:jc w:val="center"/>
                    <w:rPr>
                      <w:kern w:val="0"/>
                      <w:szCs w:val="21"/>
                    </w:rPr>
                  </w:pPr>
                  <w:r>
                    <w:rPr>
                      <w:kern w:val="0"/>
                      <w:szCs w:val="21"/>
                    </w:rPr>
                    <w:t>3150</w:t>
                  </w:r>
                </w:p>
              </w:tc>
              <w:tc>
                <w:tcPr>
                  <w:tcW w:w="314" w:type="pct"/>
                  <w:tcBorders>
                    <w:top w:val="nil"/>
                    <w:left w:val="nil"/>
                    <w:bottom w:val="single" w:color="auto" w:sz="4" w:space="0"/>
                    <w:right w:val="single" w:color="auto" w:sz="4" w:space="0"/>
                  </w:tcBorders>
                  <w:vAlign w:val="center"/>
                </w:tcPr>
                <w:p>
                  <w:pPr>
                    <w:widowControl/>
                    <w:spacing w:before="12" w:beforeLines="5" w:after="12" w:afterLines="5"/>
                    <w:jc w:val="center"/>
                    <w:rPr>
                      <w:kern w:val="0"/>
                      <w:szCs w:val="21"/>
                    </w:rPr>
                  </w:pPr>
                  <w:r>
                    <w:rPr>
                      <w:kern w:val="0"/>
                      <w:szCs w:val="21"/>
                    </w:rPr>
                    <w:t>kN</w:t>
                  </w:r>
                </w:p>
              </w:tc>
              <w:tc>
                <w:tcPr>
                  <w:tcW w:w="372" w:type="pct"/>
                  <w:tcBorders>
                    <w:top w:val="nil"/>
                    <w:left w:val="nil"/>
                    <w:bottom w:val="single" w:color="auto" w:sz="4" w:space="0"/>
                    <w:right w:val="single" w:color="auto" w:sz="4" w:space="0"/>
                  </w:tcBorders>
                  <w:vAlign w:val="center"/>
                </w:tcPr>
                <w:p>
                  <w:pPr>
                    <w:spacing w:before="12" w:beforeLines="5" w:after="12" w:afterLines="5"/>
                    <w:jc w:val="center"/>
                    <w:rPr>
                      <w:szCs w:val="21"/>
                    </w:rPr>
                  </w:pPr>
                  <w:r>
                    <w:rPr>
                      <w:szCs w:val="21"/>
                    </w:rPr>
                    <w:t>1套</w:t>
                  </w:r>
                </w:p>
              </w:tc>
            </w:tr>
            <w:tr>
              <w:tblPrEx>
                <w:tblCellMar>
                  <w:top w:w="0" w:type="dxa"/>
                  <w:left w:w="0" w:type="dxa"/>
                  <w:bottom w:w="0" w:type="dxa"/>
                  <w:right w:w="0" w:type="dxa"/>
                </w:tblCellMar>
              </w:tblPrEx>
              <w:tc>
                <w:tcPr>
                  <w:tcW w:w="234" w:type="pct"/>
                  <w:tcBorders>
                    <w:top w:val="nil"/>
                    <w:left w:val="single" w:color="auto" w:sz="4" w:space="0"/>
                    <w:bottom w:val="single" w:color="auto" w:sz="4" w:space="0"/>
                    <w:right w:val="single" w:color="auto" w:sz="4" w:space="0"/>
                  </w:tcBorders>
                  <w:vAlign w:val="center"/>
                </w:tcPr>
                <w:p>
                  <w:pPr>
                    <w:widowControl/>
                    <w:spacing w:before="12" w:beforeLines="5" w:after="12" w:afterLines="5"/>
                    <w:jc w:val="center"/>
                    <w:rPr>
                      <w:kern w:val="0"/>
                      <w:szCs w:val="21"/>
                    </w:rPr>
                  </w:pPr>
                  <w:r>
                    <w:rPr>
                      <w:kern w:val="0"/>
                      <w:szCs w:val="21"/>
                    </w:rPr>
                    <w:t>2</w:t>
                  </w:r>
                </w:p>
              </w:tc>
              <w:tc>
                <w:tcPr>
                  <w:tcW w:w="2610" w:type="pct"/>
                  <w:tcBorders>
                    <w:top w:val="nil"/>
                    <w:left w:val="nil"/>
                    <w:bottom w:val="single" w:color="auto" w:sz="4" w:space="0"/>
                    <w:right w:val="single" w:color="auto" w:sz="4" w:space="0"/>
                  </w:tcBorders>
                  <w:vAlign w:val="center"/>
                </w:tcPr>
                <w:p>
                  <w:pPr>
                    <w:widowControl/>
                    <w:spacing w:before="12" w:beforeLines="5" w:after="12" w:afterLines="5"/>
                    <w:jc w:val="center"/>
                    <w:rPr>
                      <w:kern w:val="0"/>
                      <w:szCs w:val="21"/>
                    </w:rPr>
                  </w:pPr>
                  <w:r>
                    <w:rPr>
                      <w:kern w:val="0"/>
                      <w:szCs w:val="21"/>
                    </w:rPr>
                    <w:t>底座</w:t>
                  </w:r>
                </w:p>
              </w:tc>
              <w:tc>
                <w:tcPr>
                  <w:tcW w:w="1122" w:type="pct"/>
                  <w:tcBorders>
                    <w:top w:val="nil"/>
                    <w:left w:val="nil"/>
                    <w:bottom w:val="single" w:color="auto" w:sz="4" w:space="0"/>
                    <w:right w:val="single" w:color="auto" w:sz="4" w:space="0"/>
                  </w:tcBorders>
                  <w:vAlign w:val="center"/>
                </w:tcPr>
                <w:p>
                  <w:pPr>
                    <w:widowControl/>
                    <w:spacing w:before="12" w:beforeLines="5" w:after="12" w:afterLines="5"/>
                    <w:jc w:val="center"/>
                    <w:rPr>
                      <w:kern w:val="0"/>
                      <w:szCs w:val="21"/>
                    </w:rPr>
                  </w:pPr>
                  <w:r>
                    <w:rPr>
                      <w:kern w:val="0"/>
                      <w:szCs w:val="21"/>
                    </w:rPr>
                    <w:t>DZ315/Q-5</w:t>
                  </w:r>
                </w:p>
              </w:tc>
              <w:tc>
                <w:tcPr>
                  <w:tcW w:w="348" w:type="pct"/>
                  <w:tcBorders>
                    <w:top w:val="nil"/>
                    <w:left w:val="nil"/>
                    <w:bottom w:val="single" w:color="auto" w:sz="4" w:space="0"/>
                    <w:right w:val="single" w:color="auto" w:sz="4" w:space="0"/>
                  </w:tcBorders>
                  <w:noWrap/>
                  <w:vAlign w:val="center"/>
                </w:tcPr>
                <w:p>
                  <w:pPr>
                    <w:widowControl/>
                    <w:spacing w:before="12" w:beforeLines="5" w:after="12" w:afterLines="5"/>
                    <w:jc w:val="center"/>
                    <w:rPr>
                      <w:kern w:val="0"/>
                      <w:szCs w:val="21"/>
                    </w:rPr>
                  </w:pPr>
                  <w:r>
                    <w:rPr>
                      <w:kern w:val="0"/>
                      <w:szCs w:val="21"/>
                    </w:rPr>
                    <w:t>3150</w:t>
                  </w:r>
                </w:p>
              </w:tc>
              <w:tc>
                <w:tcPr>
                  <w:tcW w:w="314" w:type="pct"/>
                  <w:tcBorders>
                    <w:top w:val="nil"/>
                    <w:left w:val="nil"/>
                    <w:bottom w:val="single" w:color="auto" w:sz="4" w:space="0"/>
                    <w:right w:val="single" w:color="auto" w:sz="4" w:space="0"/>
                  </w:tcBorders>
                  <w:vAlign w:val="center"/>
                </w:tcPr>
                <w:p>
                  <w:pPr>
                    <w:widowControl/>
                    <w:spacing w:before="12" w:beforeLines="5" w:after="12" w:afterLines="5"/>
                    <w:jc w:val="center"/>
                    <w:rPr>
                      <w:kern w:val="0"/>
                      <w:szCs w:val="21"/>
                    </w:rPr>
                  </w:pPr>
                  <w:r>
                    <w:rPr>
                      <w:kern w:val="0"/>
                      <w:szCs w:val="21"/>
                    </w:rPr>
                    <w:t>kN</w:t>
                  </w:r>
                </w:p>
              </w:tc>
              <w:tc>
                <w:tcPr>
                  <w:tcW w:w="372" w:type="pct"/>
                  <w:tcBorders>
                    <w:top w:val="nil"/>
                    <w:left w:val="nil"/>
                    <w:bottom w:val="single" w:color="auto" w:sz="4" w:space="0"/>
                    <w:right w:val="single" w:color="auto" w:sz="4" w:space="0"/>
                  </w:tcBorders>
                  <w:vAlign w:val="center"/>
                </w:tcPr>
                <w:p>
                  <w:pPr>
                    <w:spacing w:before="12" w:beforeLines="5" w:after="12" w:afterLines="5"/>
                    <w:jc w:val="center"/>
                    <w:rPr>
                      <w:szCs w:val="21"/>
                    </w:rPr>
                  </w:pPr>
                  <w:r>
                    <w:rPr>
                      <w:szCs w:val="21"/>
                    </w:rPr>
                    <w:t>1套</w:t>
                  </w:r>
                </w:p>
              </w:tc>
            </w:tr>
            <w:tr>
              <w:tblPrEx>
                <w:tblCellMar>
                  <w:top w:w="0" w:type="dxa"/>
                  <w:left w:w="0" w:type="dxa"/>
                  <w:bottom w:w="0" w:type="dxa"/>
                  <w:right w:w="0" w:type="dxa"/>
                </w:tblCellMar>
              </w:tblPrEx>
              <w:tc>
                <w:tcPr>
                  <w:tcW w:w="234" w:type="pct"/>
                  <w:tcBorders>
                    <w:top w:val="nil"/>
                    <w:left w:val="single" w:color="auto" w:sz="4" w:space="0"/>
                    <w:bottom w:val="single" w:color="auto" w:sz="4" w:space="0"/>
                    <w:right w:val="single" w:color="auto" w:sz="4" w:space="0"/>
                  </w:tcBorders>
                  <w:vAlign w:val="center"/>
                </w:tcPr>
                <w:p>
                  <w:pPr>
                    <w:widowControl/>
                    <w:spacing w:before="12" w:beforeLines="5" w:after="12" w:afterLines="5"/>
                    <w:jc w:val="center"/>
                    <w:rPr>
                      <w:kern w:val="0"/>
                      <w:szCs w:val="21"/>
                    </w:rPr>
                  </w:pPr>
                  <w:r>
                    <w:rPr>
                      <w:kern w:val="0"/>
                      <w:szCs w:val="21"/>
                    </w:rPr>
                    <w:t>3</w:t>
                  </w:r>
                </w:p>
              </w:tc>
              <w:tc>
                <w:tcPr>
                  <w:tcW w:w="2610" w:type="pct"/>
                  <w:tcBorders>
                    <w:top w:val="nil"/>
                    <w:left w:val="nil"/>
                    <w:bottom w:val="single" w:color="auto" w:sz="4" w:space="0"/>
                    <w:right w:val="single" w:color="auto" w:sz="4" w:space="0"/>
                  </w:tcBorders>
                  <w:vAlign w:val="center"/>
                </w:tcPr>
                <w:p>
                  <w:pPr>
                    <w:widowControl/>
                    <w:spacing w:before="12" w:beforeLines="5" w:after="12" w:afterLines="5"/>
                    <w:jc w:val="center"/>
                    <w:rPr>
                      <w:kern w:val="0"/>
                      <w:szCs w:val="21"/>
                    </w:rPr>
                  </w:pPr>
                  <w:r>
                    <w:rPr>
                      <w:kern w:val="0"/>
                      <w:szCs w:val="21"/>
                    </w:rPr>
                    <w:t>天车</w:t>
                  </w:r>
                </w:p>
              </w:tc>
              <w:tc>
                <w:tcPr>
                  <w:tcW w:w="1122" w:type="pct"/>
                  <w:tcBorders>
                    <w:top w:val="nil"/>
                    <w:left w:val="nil"/>
                    <w:bottom w:val="single" w:color="auto" w:sz="4" w:space="0"/>
                    <w:right w:val="single" w:color="auto" w:sz="4" w:space="0"/>
                  </w:tcBorders>
                  <w:vAlign w:val="center"/>
                </w:tcPr>
                <w:p>
                  <w:pPr>
                    <w:widowControl/>
                    <w:spacing w:before="12" w:beforeLines="5" w:after="12" w:afterLines="5"/>
                    <w:jc w:val="center"/>
                    <w:rPr>
                      <w:kern w:val="0"/>
                      <w:szCs w:val="21"/>
                    </w:rPr>
                  </w:pPr>
                  <w:r>
                    <w:rPr>
                      <w:kern w:val="0"/>
                      <w:szCs w:val="21"/>
                    </w:rPr>
                    <w:t>TC315-6</w:t>
                  </w:r>
                </w:p>
              </w:tc>
              <w:tc>
                <w:tcPr>
                  <w:tcW w:w="348" w:type="pct"/>
                  <w:tcBorders>
                    <w:top w:val="nil"/>
                    <w:left w:val="nil"/>
                    <w:bottom w:val="single" w:color="auto" w:sz="4" w:space="0"/>
                    <w:right w:val="single" w:color="auto" w:sz="4" w:space="0"/>
                  </w:tcBorders>
                  <w:noWrap/>
                  <w:vAlign w:val="center"/>
                </w:tcPr>
                <w:p>
                  <w:pPr>
                    <w:widowControl/>
                    <w:spacing w:before="12" w:beforeLines="5" w:after="12" w:afterLines="5"/>
                    <w:jc w:val="center"/>
                    <w:rPr>
                      <w:kern w:val="0"/>
                      <w:szCs w:val="21"/>
                    </w:rPr>
                  </w:pPr>
                  <w:r>
                    <w:rPr>
                      <w:kern w:val="0"/>
                      <w:szCs w:val="21"/>
                    </w:rPr>
                    <w:t>3150</w:t>
                  </w:r>
                </w:p>
              </w:tc>
              <w:tc>
                <w:tcPr>
                  <w:tcW w:w="314" w:type="pct"/>
                  <w:tcBorders>
                    <w:top w:val="nil"/>
                    <w:left w:val="nil"/>
                    <w:bottom w:val="single" w:color="auto" w:sz="4" w:space="0"/>
                    <w:right w:val="single" w:color="auto" w:sz="4" w:space="0"/>
                  </w:tcBorders>
                  <w:vAlign w:val="center"/>
                </w:tcPr>
                <w:p>
                  <w:pPr>
                    <w:widowControl/>
                    <w:spacing w:before="12" w:beforeLines="5" w:after="12" w:afterLines="5"/>
                    <w:jc w:val="center"/>
                    <w:rPr>
                      <w:kern w:val="0"/>
                      <w:szCs w:val="21"/>
                    </w:rPr>
                  </w:pPr>
                  <w:r>
                    <w:rPr>
                      <w:kern w:val="0"/>
                      <w:szCs w:val="21"/>
                    </w:rPr>
                    <w:t>kN</w:t>
                  </w:r>
                </w:p>
              </w:tc>
              <w:tc>
                <w:tcPr>
                  <w:tcW w:w="372" w:type="pct"/>
                  <w:tcBorders>
                    <w:top w:val="nil"/>
                    <w:left w:val="nil"/>
                    <w:bottom w:val="single" w:color="auto" w:sz="4" w:space="0"/>
                    <w:right w:val="single" w:color="auto" w:sz="4" w:space="0"/>
                  </w:tcBorders>
                  <w:vAlign w:val="center"/>
                </w:tcPr>
                <w:p>
                  <w:pPr>
                    <w:spacing w:before="12" w:beforeLines="5" w:after="12" w:afterLines="5"/>
                    <w:jc w:val="center"/>
                    <w:rPr>
                      <w:szCs w:val="21"/>
                    </w:rPr>
                  </w:pPr>
                  <w:r>
                    <w:rPr>
                      <w:szCs w:val="21"/>
                    </w:rPr>
                    <w:t>1套</w:t>
                  </w:r>
                </w:p>
              </w:tc>
            </w:tr>
            <w:tr>
              <w:tblPrEx>
                <w:tblCellMar>
                  <w:top w:w="0" w:type="dxa"/>
                  <w:left w:w="0" w:type="dxa"/>
                  <w:bottom w:w="0" w:type="dxa"/>
                  <w:right w:w="0" w:type="dxa"/>
                </w:tblCellMar>
              </w:tblPrEx>
              <w:tc>
                <w:tcPr>
                  <w:tcW w:w="234" w:type="pct"/>
                  <w:tcBorders>
                    <w:top w:val="nil"/>
                    <w:left w:val="single" w:color="auto" w:sz="4" w:space="0"/>
                    <w:bottom w:val="single" w:color="auto" w:sz="4" w:space="0"/>
                    <w:right w:val="single" w:color="auto" w:sz="4" w:space="0"/>
                  </w:tcBorders>
                  <w:vAlign w:val="center"/>
                </w:tcPr>
                <w:p>
                  <w:pPr>
                    <w:widowControl/>
                    <w:spacing w:before="12" w:beforeLines="5" w:after="12" w:afterLines="5"/>
                    <w:jc w:val="center"/>
                    <w:rPr>
                      <w:kern w:val="0"/>
                      <w:szCs w:val="21"/>
                    </w:rPr>
                  </w:pPr>
                  <w:r>
                    <w:rPr>
                      <w:kern w:val="0"/>
                      <w:szCs w:val="21"/>
                    </w:rPr>
                    <w:t>4</w:t>
                  </w:r>
                </w:p>
              </w:tc>
              <w:tc>
                <w:tcPr>
                  <w:tcW w:w="2610" w:type="pct"/>
                  <w:tcBorders>
                    <w:top w:val="nil"/>
                    <w:left w:val="nil"/>
                    <w:bottom w:val="single" w:color="auto" w:sz="4" w:space="0"/>
                    <w:right w:val="single" w:color="auto" w:sz="4" w:space="0"/>
                  </w:tcBorders>
                  <w:vAlign w:val="center"/>
                </w:tcPr>
                <w:p>
                  <w:pPr>
                    <w:widowControl/>
                    <w:spacing w:before="12" w:beforeLines="5" w:after="12" w:afterLines="5"/>
                    <w:jc w:val="center"/>
                    <w:rPr>
                      <w:kern w:val="0"/>
                      <w:szCs w:val="21"/>
                    </w:rPr>
                  </w:pPr>
                  <w:r>
                    <w:rPr>
                      <w:kern w:val="0"/>
                      <w:szCs w:val="21"/>
                    </w:rPr>
                    <w:t>游车、大钩</w:t>
                  </w:r>
                </w:p>
              </w:tc>
              <w:tc>
                <w:tcPr>
                  <w:tcW w:w="1122" w:type="pct"/>
                  <w:tcBorders>
                    <w:top w:val="nil"/>
                    <w:left w:val="nil"/>
                    <w:bottom w:val="single" w:color="auto" w:sz="4" w:space="0"/>
                    <w:right w:val="single" w:color="auto" w:sz="4" w:space="0"/>
                  </w:tcBorders>
                  <w:vAlign w:val="center"/>
                </w:tcPr>
                <w:p>
                  <w:pPr>
                    <w:widowControl/>
                    <w:spacing w:before="12" w:beforeLines="5" w:after="12" w:afterLines="5"/>
                    <w:jc w:val="center"/>
                    <w:rPr>
                      <w:kern w:val="0"/>
                      <w:szCs w:val="21"/>
                    </w:rPr>
                  </w:pPr>
                  <w:r>
                    <w:rPr>
                      <w:kern w:val="0"/>
                      <w:szCs w:val="21"/>
                    </w:rPr>
                    <w:t>YC315/DG315</w:t>
                  </w:r>
                </w:p>
              </w:tc>
              <w:tc>
                <w:tcPr>
                  <w:tcW w:w="348" w:type="pct"/>
                  <w:tcBorders>
                    <w:top w:val="nil"/>
                    <w:left w:val="nil"/>
                    <w:bottom w:val="single" w:color="auto" w:sz="4" w:space="0"/>
                    <w:right w:val="single" w:color="auto" w:sz="4" w:space="0"/>
                  </w:tcBorders>
                  <w:noWrap/>
                  <w:vAlign w:val="center"/>
                </w:tcPr>
                <w:p>
                  <w:pPr>
                    <w:widowControl/>
                    <w:spacing w:before="12" w:beforeLines="5" w:after="12" w:afterLines="5"/>
                    <w:jc w:val="center"/>
                    <w:rPr>
                      <w:kern w:val="0"/>
                      <w:szCs w:val="21"/>
                    </w:rPr>
                  </w:pPr>
                  <w:r>
                    <w:rPr>
                      <w:kern w:val="0"/>
                      <w:szCs w:val="21"/>
                    </w:rPr>
                    <w:t>3150</w:t>
                  </w:r>
                </w:p>
              </w:tc>
              <w:tc>
                <w:tcPr>
                  <w:tcW w:w="314" w:type="pct"/>
                  <w:tcBorders>
                    <w:top w:val="nil"/>
                    <w:left w:val="nil"/>
                    <w:bottom w:val="single" w:color="auto" w:sz="4" w:space="0"/>
                    <w:right w:val="single" w:color="auto" w:sz="4" w:space="0"/>
                  </w:tcBorders>
                  <w:vAlign w:val="center"/>
                </w:tcPr>
                <w:p>
                  <w:pPr>
                    <w:widowControl/>
                    <w:spacing w:before="12" w:beforeLines="5" w:after="12" w:afterLines="5"/>
                    <w:jc w:val="center"/>
                    <w:rPr>
                      <w:kern w:val="0"/>
                      <w:szCs w:val="21"/>
                    </w:rPr>
                  </w:pPr>
                  <w:r>
                    <w:rPr>
                      <w:kern w:val="0"/>
                      <w:szCs w:val="21"/>
                    </w:rPr>
                    <w:t>kN</w:t>
                  </w:r>
                </w:p>
              </w:tc>
              <w:tc>
                <w:tcPr>
                  <w:tcW w:w="372" w:type="pct"/>
                  <w:tcBorders>
                    <w:top w:val="nil"/>
                    <w:left w:val="nil"/>
                    <w:bottom w:val="single" w:color="auto" w:sz="4" w:space="0"/>
                    <w:right w:val="single" w:color="auto" w:sz="4" w:space="0"/>
                  </w:tcBorders>
                  <w:vAlign w:val="center"/>
                </w:tcPr>
                <w:p>
                  <w:pPr>
                    <w:spacing w:before="12" w:beforeLines="5" w:after="12" w:afterLines="5"/>
                    <w:jc w:val="center"/>
                    <w:rPr>
                      <w:szCs w:val="21"/>
                    </w:rPr>
                  </w:pPr>
                  <w:r>
                    <w:rPr>
                      <w:szCs w:val="21"/>
                    </w:rPr>
                    <w:t>1套</w:t>
                  </w:r>
                </w:p>
              </w:tc>
            </w:tr>
            <w:tr>
              <w:tblPrEx>
                <w:tblCellMar>
                  <w:top w:w="0" w:type="dxa"/>
                  <w:left w:w="0" w:type="dxa"/>
                  <w:bottom w:w="0" w:type="dxa"/>
                  <w:right w:w="0" w:type="dxa"/>
                </w:tblCellMar>
              </w:tblPrEx>
              <w:tc>
                <w:tcPr>
                  <w:tcW w:w="234" w:type="pct"/>
                  <w:tcBorders>
                    <w:top w:val="nil"/>
                    <w:left w:val="single" w:color="auto" w:sz="4" w:space="0"/>
                    <w:bottom w:val="single" w:color="auto" w:sz="4" w:space="0"/>
                    <w:right w:val="single" w:color="auto" w:sz="4" w:space="0"/>
                  </w:tcBorders>
                  <w:vAlign w:val="center"/>
                </w:tcPr>
                <w:p>
                  <w:pPr>
                    <w:widowControl/>
                    <w:spacing w:before="12" w:beforeLines="5" w:after="12" w:afterLines="5"/>
                    <w:jc w:val="center"/>
                    <w:rPr>
                      <w:kern w:val="0"/>
                      <w:szCs w:val="21"/>
                    </w:rPr>
                  </w:pPr>
                  <w:r>
                    <w:rPr>
                      <w:kern w:val="0"/>
                      <w:szCs w:val="21"/>
                    </w:rPr>
                    <w:t>5</w:t>
                  </w:r>
                </w:p>
              </w:tc>
              <w:tc>
                <w:tcPr>
                  <w:tcW w:w="2610" w:type="pct"/>
                  <w:tcBorders>
                    <w:top w:val="nil"/>
                    <w:left w:val="nil"/>
                    <w:bottom w:val="single" w:color="auto" w:sz="4" w:space="0"/>
                    <w:right w:val="single" w:color="auto" w:sz="4" w:space="0"/>
                  </w:tcBorders>
                  <w:vAlign w:val="center"/>
                </w:tcPr>
                <w:p>
                  <w:pPr>
                    <w:widowControl/>
                    <w:spacing w:before="12" w:beforeLines="5" w:after="12" w:afterLines="5"/>
                    <w:jc w:val="center"/>
                    <w:rPr>
                      <w:kern w:val="0"/>
                      <w:szCs w:val="21"/>
                    </w:rPr>
                  </w:pPr>
                  <w:r>
                    <w:rPr>
                      <w:kern w:val="0"/>
                      <w:szCs w:val="21"/>
                    </w:rPr>
                    <w:t>水龙头</w:t>
                  </w:r>
                </w:p>
              </w:tc>
              <w:tc>
                <w:tcPr>
                  <w:tcW w:w="1122" w:type="pct"/>
                  <w:tcBorders>
                    <w:top w:val="nil"/>
                    <w:left w:val="nil"/>
                    <w:bottom w:val="single" w:color="auto" w:sz="4" w:space="0"/>
                    <w:right w:val="single" w:color="auto" w:sz="4" w:space="0"/>
                  </w:tcBorders>
                  <w:vAlign w:val="center"/>
                </w:tcPr>
                <w:p>
                  <w:pPr>
                    <w:widowControl/>
                    <w:spacing w:before="12" w:beforeLines="5" w:after="12" w:afterLines="5"/>
                    <w:jc w:val="center"/>
                    <w:rPr>
                      <w:kern w:val="0"/>
                      <w:szCs w:val="21"/>
                    </w:rPr>
                  </w:pPr>
                  <w:r>
                    <w:rPr>
                      <w:kern w:val="0"/>
                      <w:szCs w:val="21"/>
                    </w:rPr>
                    <w:t>SL450-Ⅱ</w:t>
                  </w:r>
                </w:p>
              </w:tc>
              <w:tc>
                <w:tcPr>
                  <w:tcW w:w="348" w:type="pct"/>
                  <w:tcBorders>
                    <w:top w:val="nil"/>
                    <w:left w:val="nil"/>
                    <w:bottom w:val="single" w:color="auto" w:sz="4" w:space="0"/>
                    <w:right w:val="single" w:color="auto" w:sz="4" w:space="0"/>
                  </w:tcBorders>
                  <w:noWrap/>
                  <w:vAlign w:val="center"/>
                </w:tcPr>
                <w:p>
                  <w:pPr>
                    <w:widowControl/>
                    <w:spacing w:before="12" w:beforeLines="5" w:after="12" w:afterLines="5"/>
                    <w:jc w:val="center"/>
                    <w:rPr>
                      <w:kern w:val="0"/>
                      <w:szCs w:val="21"/>
                    </w:rPr>
                  </w:pPr>
                  <w:r>
                    <w:rPr>
                      <w:kern w:val="0"/>
                      <w:szCs w:val="21"/>
                    </w:rPr>
                    <w:t>4500</w:t>
                  </w:r>
                </w:p>
              </w:tc>
              <w:tc>
                <w:tcPr>
                  <w:tcW w:w="314" w:type="pct"/>
                  <w:tcBorders>
                    <w:top w:val="nil"/>
                    <w:left w:val="nil"/>
                    <w:bottom w:val="single" w:color="auto" w:sz="4" w:space="0"/>
                    <w:right w:val="single" w:color="auto" w:sz="4" w:space="0"/>
                  </w:tcBorders>
                  <w:vAlign w:val="center"/>
                </w:tcPr>
                <w:p>
                  <w:pPr>
                    <w:widowControl/>
                    <w:spacing w:before="12" w:beforeLines="5" w:after="12" w:afterLines="5"/>
                    <w:jc w:val="center"/>
                    <w:rPr>
                      <w:kern w:val="0"/>
                      <w:szCs w:val="21"/>
                    </w:rPr>
                  </w:pPr>
                  <w:r>
                    <w:rPr>
                      <w:kern w:val="0"/>
                      <w:szCs w:val="21"/>
                    </w:rPr>
                    <w:t>kN</w:t>
                  </w:r>
                </w:p>
              </w:tc>
              <w:tc>
                <w:tcPr>
                  <w:tcW w:w="372" w:type="pct"/>
                  <w:tcBorders>
                    <w:top w:val="nil"/>
                    <w:left w:val="nil"/>
                    <w:bottom w:val="single" w:color="auto" w:sz="4" w:space="0"/>
                    <w:right w:val="single" w:color="auto" w:sz="4" w:space="0"/>
                  </w:tcBorders>
                  <w:vAlign w:val="center"/>
                </w:tcPr>
                <w:p>
                  <w:pPr>
                    <w:spacing w:before="12" w:beforeLines="5" w:after="12" w:afterLines="5"/>
                    <w:jc w:val="center"/>
                    <w:rPr>
                      <w:szCs w:val="21"/>
                    </w:rPr>
                  </w:pPr>
                  <w:r>
                    <w:rPr>
                      <w:szCs w:val="21"/>
                    </w:rPr>
                    <w:t>1套</w:t>
                  </w:r>
                </w:p>
              </w:tc>
            </w:tr>
            <w:tr>
              <w:tblPrEx>
                <w:tblCellMar>
                  <w:top w:w="0" w:type="dxa"/>
                  <w:left w:w="0" w:type="dxa"/>
                  <w:bottom w:w="0" w:type="dxa"/>
                  <w:right w:w="0" w:type="dxa"/>
                </w:tblCellMar>
              </w:tblPrEx>
              <w:tc>
                <w:tcPr>
                  <w:tcW w:w="234" w:type="pct"/>
                  <w:tcBorders>
                    <w:top w:val="nil"/>
                    <w:left w:val="single" w:color="auto" w:sz="4" w:space="0"/>
                    <w:bottom w:val="single" w:color="auto" w:sz="4" w:space="0"/>
                    <w:right w:val="single" w:color="auto" w:sz="4" w:space="0"/>
                  </w:tcBorders>
                  <w:vAlign w:val="center"/>
                </w:tcPr>
                <w:p>
                  <w:pPr>
                    <w:widowControl/>
                    <w:spacing w:before="12" w:beforeLines="5" w:after="12" w:afterLines="5"/>
                    <w:jc w:val="center"/>
                    <w:rPr>
                      <w:kern w:val="0"/>
                      <w:szCs w:val="21"/>
                    </w:rPr>
                  </w:pPr>
                  <w:r>
                    <w:rPr>
                      <w:kern w:val="0"/>
                      <w:szCs w:val="21"/>
                    </w:rPr>
                    <w:t>6</w:t>
                  </w:r>
                </w:p>
              </w:tc>
              <w:tc>
                <w:tcPr>
                  <w:tcW w:w="2610" w:type="pct"/>
                  <w:tcBorders>
                    <w:top w:val="nil"/>
                    <w:left w:val="nil"/>
                    <w:bottom w:val="single" w:color="auto" w:sz="4" w:space="0"/>
                    <w:right w:val="single" w:color="auto" w:sz="4" w:space="0"/>
                  </w:tcBorders>
                  <w:vAlign w:val="center"/>
                </w:tcPr>
                <w:p>
                  <w:pPr>
                    <w:widowControl/>
                    <w:spacing w:before="12" w:beforeLines="5" w:after="12" w:afterLines="5"/>
                    <w:jc w:val="center"/>
                    <w:rPr>
                      <w:kern w:val="0"/>
                      <w:szCs w:val="21"/>
                    </w:rPr>
                  </w:pPr>
                  <w:r>
                    <w:rPr>
                      <w:kern w:val="0"/>
                      <w:szCs w:val="21"/>
                    </w:rPr>
                    <w:t>转盘</w:t>
                  </w:r>
                </w:p>
              </w:tc>
              <w:tc>
                <w:tcPr>
                  <w:tcW w:w="1122" w:type="pct"/>
                  <w:tcBorders>
                    <w:top w:val="nil"/>
                    <w:left w:val="nil"/>
                    <w:bottom w:val="single" w:color="auto" w:sz="4" w:space="0"/>
                    <w:right w:val="single" w:color="auto" w:sz="4" w:space="0"/>
                  </w:tcBorders>
                  <w:vAlign w:val="center"/>
                </w:tcPr>
                <w:p>
                  <w:pPr>
                    <w:widowControl/>
                    <w:spacing w:before="12" w:beforeLines="5" w:after="12" w:afterLines="5"/>
                    <w:jc w:val="center"/>
                    <w:rPr>
                      <w:kern w:val="0"/>
                      <w:szCs w:val="21"/>
                    </w:rPr>
                  </w:pPr>
                  <w:r>
                    <w:rPr>
                      <w:kern w:val="0"/>
                      <w:szCs w:val="21"/>
                    </w:rPr>
                    <w:t>ZP-27.5</w:t>
                  </w:r>
                </w:p>
              </w:tc>
              <w:tc>
                <w:tcPr>
                  <w:tcW w:w="348" w:type="pct"/>
                  <w:tcBorders>
                    <w:top w:val="nil"/>
                    <w:left w:val="nil"/>
                    <w:bottom w:val="single" w:color="auto" w:sz="4" w:space="0"/>
                    <w:right w:val="single" w:color="auto" w:sz="4" w:space="0"/>
                  </w:tcBorders>
                  <w:noWrap/>
                  <w:vAlign w:val="center"/>
                </w:tcPr>
                <w:p>
                  <w:pPr>
                    <w:widowControl/>
                    <w:spacing w:before="12" w:beforeLines="5" w:after="12" w:afterLines="5"/>
                    <w:jc w:val="center"/>
                    <w:rPr>
                      <w:kern w:val="0"/>
                      <w:szCs w:val="21"/>
                    </w:rPr>
                  </w:pPr>
                  <w:r>
                    <w:rPr>
                      <w:kern w:val="0"/>
                      <w:szCs w:val="21"/>
                    </w:rPr>
                    <w:t>4500</w:t>
                  </w:r>
                </w:p>
              </w:tc>
              <w:tc>
                <w:tcPr>
                  <w:tcW w:w="314" w:type="pct"/>
                  <w:tcBorders>
                    <w:top w:val="nil"/>
                    <w:left w:val="nil"/>
                    <w:bottom w:val="single" w:color="auto" w:sz="4" w:space="0"/>
                    <w:right w:val="single" w:color="auto" w:sz="4" w:space="0"/>
                  </w:tcBorders>
                  <w:vAlign w:val="center"/>
                </w:tcPr>
                <w:p>
                  <w:pPr>
                    <w:widowControl/>
                    <w:spacing w:before="12" w:beforeLines="5" w:after="12" w:afterLines="5"/>
                    <w:jc w:val="center"/>
                    <w:rPr>
                      <w:kern w:val="0"/>
                      <w:szCs w:val="21"/>
                    </w:rPr>
                  </w:pPr>
                  <w:r>
                    <w:rPr>
                      <w:kern w:val="0"/>
                      <w:szCs w:val="21"/>
                    </w:rPr>
                    <w:t>kN</w:t>
                  </w:r>
                </w:p>
              </w:tc>
              <w:tc>
                <w:tcPr>
                  <w:tcW w:w="372" w:type="pct"/>
                  <w:tcBorders>
                    <w:top w:val="nil"/>
                    <w:left w:val="nil"/>
                    <w:bottom w:val="single" w:color="auto" w:sz="4" w:space="0"/>
                    <w:right w:val="single" w:color="auto" w:sz="4" w:space="0"/>
                  </w:tcBorders>
                  <w:vAlign w:val="center"/>
                </w:tcPr>
                <w:p>
                  <w:pPr>
                    <w:spacing w:before="12" w:beforeLines="5" w:after="12" w:afterLines="5"/>
                    <w:jc w:val="center"/>
                    <w:rPr>
                      <w:szCs w:val="21"/>
                    </w:rPr>
                  </w:pPr>
                  <w:r>
                    <w:rPr>
                      <w:szCs w:val="21"/>
                    </w:rPr>
                    <w:t>1套</w:t>
                  </w:r>
                </w:p>
              </w:tc>
            </w:tr>
            <w:tr>
              <w:tblPrEx>
                <w:tblCellMar>
                  <w:top w:w="0" w:type="dxa"/>
                  <w:left w:w="0" w:type="dxa"/>
                  <w:bottom w:w="0" w:type="dxa"/>
                  <w:right w:w="0" w:type="dxa"/>
                </w:tblCellMar>
              </w:tblPrEx>
              <w:tc>
                <w:tcPr>
                  <w:tcW w:w="234" w:type="pct"/>
                  <w:tcBorders>
                    <w:top w:val="nil"/>
                    <w:left w:val="single" w:color="auto" w:sz="4" w:space="0"/>
                    <w:bottom w:val="single" w:color="auto" w:sz="4" w:space="0"/>
                    <w:right w:val="single" w:color="auto" w:sz="4" w:space="0"/>
                  </w:tcBorders>
                  <w:vAlign w:val="center"/>
                </w:tcPr>
                <w:p>
                  <w:pPr>
                    <w:widowControl/>
                    <w:spacing w:before="12" w:beforeLines="5" w:after="12" w:afterLines="5"/>
                    <w:jc w:val="center"/>
                    <w:rPr>
                      <w:kern w:val="0"/>
                      <w:szCs w:val="21"/>
                    </w:rPr>
                  </w:pPr>
                  <w:r>
                    <w:rPr>
                      <w:kern w:val="0"/>
                      <w:szCs w:val="21"/>
                    </w:rPr>
                    <w:t>7</w:t>
                  </w:r>
                </w:p>
              </w:tc>
              <w:tc>
                <w:tcPr>
                  <w:tcW w:w="2610" w:type="pct"/>
                  <w:tcBorders>
                    <w:top w:val="nil"/>
                    <w:left w:val="nil"/>
                    <w:bottom w:val="single" w:color="auto" w:sz="4" w:space="0"/>
                    <w:right w:val="single" w:color="auto" w:sz="4" w:space="0"/>
                  </w:tcBorders>
                  <w:vAlign w:val="center"/>
                </w:tcPr>
                <w:p>
                  <w:pPr>
                    <w:widowControl/>
                    <w:spacing w:before="12" w:beforeLines="5" w:after="12" w:afterLines="5"/>
                    <w:jc w:val="center"/>
                    <w:rPr>
                      <w:kern w:val="0"/>
                      <w:szCs w:val="21"/>
                    </w:rPr>
                  </w:pPr>
                  <w:r>
                    <w:rPr>
                      <w:kern w:val="0"/>
                      <w:szCs w:val="21"/>
                    </w:rPr>
                    <w:t>绞车</w:t>
                  </w:r>
                </w:p>
              </w:tc>
              <w:tc>
                <w:tcPr>
                  <w:tcW w:w="1122" w:type="pct"/>
                  <w:tcBorders>
                    <w:top w:val="nil"/>
                    <w:left w:val="nil"/>
                    <w:bottom w:val="single" w:color="auto" w:sz="4" w:space="0"/>
                    <w:right w:val="single" w:color="auto" w:sz="4" w:space="0"/>
                  </w:tcBorders>
                  <w:vAlign w:val="center"/>
                </w:tcPr>
                <w:p>
                  <w:pPr>
                    <w:widowControl/>
                    <w:spacing w:before="12" w:beforeLines="5" w:after="12" w:afterLines="5"/>
                    <w:jc w:val="center"/>
                    <w:rPr>
                      <w:kern w:val="0"/>
                      <w:szCs w:val="21"/>
                    </w:rPr>
                  </w:pPr>
                  <w:r>
                    <w:rPr>
                      <w:kern w:val="0"/>
                      <w:szCs w:val="21"/>
                    </w:rPr>
                    <w:t>JC50D</w:t>
                  </w:r>
                </w:p>
              </w:tc>
              <w:tc>
                <w:tcPr>
                  <w:tcW w:w="348" w:type="pct"/>
                  <w:tcBorders>
                    <w:top w:val="nil"/>
                    <w:left w:val="nil"/>
                    <w:bottom w:val="single" w:color="auto" w:sz="4" w:space="0"/>
                    <w:right w:val="single" w:color="auto" w:sz="4" w:space="0"/>
                  </w:tcBorders>
                  <w:noWrap/>
                  <w:vAlign w:val="center"/>
                </w:tcPr>
                <w:p>
                  <w:pPr>
                    <w:widowControl/>
                    <w:spacing w:before="12" w:beforeLines="5" w:after="12" w:afterLines="5"/>
                    <w:jc w:val="center"/>
                    <w:rPr>
                      <w:kern w:val="0"/>
                      <w:szCs w:val="21"/>
                    </w:rPr>
                  </w:pPr>
                  <w:r>
                    <w:rPr>
                      <w:kern w:val="0"/>
                      <w:szCs w:val="21"/>
                    </w:rPr>
                    <w:t>1100</w:t>
                  </w:r>
                </w:p>
              </w:tc>
              <w:tc>
                <w:tcPr>
                  <w:tcW w:w="314" w:type="pct"/>
                  <w:tcBorders>
                    <w:top w:val="nil"/>
                    <w:left w:val="nil"/>
                    <w:bottom w:val="single" w:color="auto" w:sz="4" w:space="0"/>
                    <w:right w:val="single" w:color="auto" w:sz="4" w:space="0"/>
                  </w:tcBorders>
                  <w:noWrap/>
                  <w:vAlign w:val="center"/>
                </w:tcPr>
                <w:p>
                  <w:pPr>
                    <w:widowControl/>
                    <w:spacing w:before="12" w:beforeLines="5" w:after="12" w:afterLines="5"/>
                    <w:jc w:val="center"/>
                    <w:rPr>
                      <w:kern w:val="0"/>
                      <w:szCs w:val="21"/>
                    </w:rPr>
                  </w:pPr>
                  <w:r>
                    <w:rPr>
                      <w:kern w:val="0"/>
                      <w:szCs w:val="21"/>
                    </w:rPr>
                    <w:t>kW</w:t>
                  </w:r>
                </w:p>
              </w:tc>
              <w:tc>
                <w:tcPr>
                  <w:tcW w:w="372" w:type="pct"/>
                  <w:tcBorders>
                    <w:top w:val="nil"/>
                    <w:left w:val="nil"/>
                    <w:bottom w:val="single" w:color="auto" w:sz="4" w:space="0"/>
                    <w:right w:val="single" w:color="auto" w:sz="4" w:space="0"/>
                  </w:tcBorders>
                  <w:noWrap/>
                  <w:vAlign w:val="center"/>
                </w:tcPr>
                <w:p>
                  <w:pPr>
                    <w:spacing w:before="12" w:beforeLines="5" w:after="12" w:afterLines="5"/>
                    <w:jc w:val="center"/>
                    <w:rPr>
                      <w:szCs w:val="21"/>
                    </w:rPr>
                  </w:pPr>
                  <w:r>
                    <w:rPr>
                      <w:szCs w:val="21"/>
                    </w:rPr>
                    <w:t>1套</w:t>
                  </w:r>
                </w:p>
              </w:tc>
            </w:tr>
            <w:tr>
              <w:tblPrEx>
                <w:tblCellMar>
                  <w:top w:w="0" w:type="dxa"/>
                  <w:left w:w="0" w:type="dxa"/>
                  <w:bottom w:w="0" w:type="dxa"/>
                  <w:right w:w="0" w:type="dxa"/>
                </w:tblCellMar>
              </w:tblPrEx>
              <w:tc>
                <w:tcPr>
                  <w:tcW w:w="234" w:type="pct"/>
                  <w:tcBorders>
                    <w:top w:val="nil"/>
                    <w:left w:val="single" w:color="auto" w:sz="4" w:space="0"/>
                    <w:bottom w:val="single" w:color="auto" w:sz="4" w:space="0"/>
                    <w:right w:val="single" w:color="auto" w:sz="4" w:space="0"/>
                  </w:tcBorders>
                  <w:vAlign w:val="center"/>
                </w:tcPr>
                <w:p>
                  <w:pPr>
                    <w:widowControl/>
                    <w:spacing w:before="12" w:beforeLines="5" w:after="12" w:afterLines="5"/>
                    <w:jc w:val="center"/>
                    <w:rPr>
                      <w:kern w:val="0"/>
                      <w:szCs w:val="21"/>
                    </w:rPr>
                  </w:pPr>
                  <w:r>
                    <w:rPr>
                      <w:kern w:val="0"/>
                      <w:szCs w:val="21"/>
                    </w:rPr>
                    <w:t>8</w:t>
                  </w:r>
                </w:p>
              </w:tc>
              <w:tc>
                <w:tcPr>
                  <w:tcW w:w="2610" w:type="pct"/>
                  <w:tcBorders>
                    <w:top w:val="nil"/>
                    <w:left w:val="nil"/>
                    <w:bottom w:val="single" w:color="auto" w:sz="4" w:space="0"/>
                    <w:right w:val="single" w:color="auto" w:sz="4" w:space="0"/>
                  </w:tcBorders>
                  <w:vAlign w:val="center"/>
                </w:tcPr>
                <w:p>
                  <w:pPr>
                    <w:widowControl/>
                    <w:spacing w:before="12" w:beforeLines="5" w:after="12" w:afterLines="5"/>
                    <w:jc w:val="center"/>
                    <w:rPr>
                      <w:kern w:val="0"/>
                      <w:szCs w:val="21"/>
                    </w:rPr>
                  </w:pPr>
                  <w:r>
                    <w:rPr>
                      <w:kern w:val="0"/>
                      <w:szCs w:val="21"/>
                    </w:rPr>
                    <w:t>钻井泵</w:t>
                  </w:r>
                </w:p>
              </w:tc>
              <w:tc>
                <w:tcPr>
                  <w:tcW w:w="1122" w:type="pct"/>
                  <w:tcBorders>
                    <w:top w:val="nil"/>
                    <w:left w:val="nil"/>
                    <w:bottom w:val="single" w:color="auto" w:sz="4" w:space="0"/>
                    <w:right w:val="single" w:color="auto" w:sz="4" w:space="0"/>
                  </w:tcBorders>
                  <w:vAlign w:val="center"/>
                </w:tcPr>
                <w:p>
                  <w:pPr>
                    <w:widowControl/>
                    <w:spacing w:before="12" w:beforeLines="5" w:after="12" w:afterLines="5"/>
                    <w:jc w:val="center"/>
                    <w:rPr>
                      <w:kern w:val="0"/>
                      <w:szCs w:val="21"/>
                    </w:rPr>
                  </w:pPr>
                  <w:r>
                    <w:rPr>
                      <w:kern w:val="0"/>
                      <w:szCs w:val="21"/>
                    </w:rPr>
                    <w:t>F-1600HL</w:t>
                  </w:r>
                </w:p>
              </w:tc>
              <w:tc>
                <w:tcPr>
                  <w:tcW w:w="348" w:type="pct"/>
                  <w:tcBorders>
                    <w:top w:val="nil"/>
                    <w:left w:val="nil"/>
                    <w:bottom w:val="single" w:color="auto" w:sz="4" w:space="0"/>
                    <w:right w:val="single" w:color="auto" w:sz="4" w:space="0"/>
                  </w:tcBorders>
                  <w:noWrap/>
                  <w:vAlign w:val="center"/>
                </w:tcPr>
                <w:p>
                  <w:pPr>
                    <w:widowControl/>
                    <w:spacing w:before="12" w:beforeLines="5" w:after="12" w:afterLines="5"/>
                    <w:jc w:val="center"/>
                    <w:rPr>
                      <w:kern w:val="0"/>
                      <w:szCs w:val="21"/>
                    </w:rPr>
                  </w:pPr>
                  <w:r>
                    <w:rPr>
                      <w:kern w:val="0"/>
                      <w:szCs w:val="21"/>
                    </w:rPr>
                    <w:t>1600</w:t>
                  </w:r>
                </w:p>
              </w:tc>
              <w:tc>
                <w:tcPr>
                  <w:tcW w:w="314" w:type="pct"/>
                  <w:tcBorders>
                    <w:top w:val="nil"/>
                    <w:left w:val="nil"/>
                    <w:bottom w:val="single" w:color="auto" w:sz="4" w:space="0"/>
                    <w:right w:val="single" w:color="auto" w:sz="4" w:space="0"/>
                  </w:tcBorders>
                  <w:vAlign w:val="center"/>
                </w:tcPr>
                <w:p>
                  <w:pPr>
                    <w:widowControl/>
                    <w:spacing w:before="12" w:beforeLines="5" w:after="12" w:afterLines="5"/>
                    <w:jc w:val="center"/>
                    <w:rPr>
                      <w:kern w:val="0"/>
                      <w:szCs w:val="21"/>
                    </w:rPr>
                  </w:pPr>
                  <w:r>
                    <w:rPr>
                      <w:kern w:val="0"/>
                      <w:szCs w:val="21"/>
                    </w:rPr>
                    <w:t>HP</w:t>
                  </w:r>
                </w:p>
              </w:tc>
              <w:tc>
                <w:tcPr>
                  <w:tcW w:w="372" w:type="pct"/>
                  <w:tcBorders>
                    <w:top w:val="nil"/>
                    <w:left w:val="nil"/>
                    <w:bottom w:val="single" w:color="auto" w:sz="4" w:space="0"/>
                    <w:right w:val="single" w:color="auto" w:sz="4" w:space="0"/>
                  </w:tcBorders>
                  <w:vAlign w:val="center"/>
                </w:tcPr>
                <w:p>
                  <w:pPr>
                    <w:widowControl/>
                    <w:spacing w:before="12" w:beforeLines="5" w:after="12" w:afterLines="5"/>
                    <w:jc w:val="center"/>
                    <w:rPr>
                      <w:kern w:val="0"/>
                      <w:szCs w:val="21"/>
                    </w:rPr>
                  </w:pPr>
                  <w:r>
                    <w:rPr>
                      <w:kern w:val="0"/>
                      <w:szCs w:val="21"/>
                    </w:rPr>
                    <w:t>3台</w:t>
                  </w:r>
                </w:p>
              </w:tc>
            </w:tr>
            <w:tr>
              <w:tblPrEx>
                <w:tblCellMar>
                  <w:top w:w="0" w:type="dxa"/>
                  <w:left w:w="0" w:type="dxa"/>
                  <w:bottom w:w="0" w:type="dxa"/>
                  <w:right w:w="0" w:type="dxa"/>
                </w:tblCellMar>
              </w:tblPrEx>
              <w:tc>
                <w:tcPr>
                  <w:tcW w:w="234" w:type="pct"/>
                  <w:tcBorders>
                    <w:top w:val="nil"/>
                    <w:left w:val="single" w:color="auto" w:sz="4" w:space="0"/>
                    <w:bottom w:val="single" w:color="auto" w:sz="4" w:space="0"/>
                    <w:right w:val="single" w:color="auto" w:sz="4" w:space="0"/>
                  </w:tcBorders>
                  <w:vAlign w:val="center"/>
                </w:tcPr>
                <w:p>
                  <w:pPr>
                    <w:widowControl/>
                    <w:spacing w:before="12" w:beforeLines="5" w:after="12" w:afterLines="5"/>
                    <w:jc w:val="center"/>
                    <w:rPr>
                      <w:kern w:val="0"/>
                      <w:szCs w:val="21"/>
                    </w:rPr>
                  </w:pPr>
                  <w:r>
                    <w:rPr>
                      <w:kern w:val="0"/>
                      <w:szCs w:val="21"/>
                    </w:rPr>
                    <w:t>9</w:t>
                  </w:r>
                </w:p>
              </w:tc>
              <w:tc>
                <w:tcPr>
                  <w:tcW w:w="2610" w:type="pct"/>
                  <w:tcBorders>
                    <w:top w:val="nil"/>
                    <w:left w:val="nil"/>
                    <w:bottom w:val="single" w:color="auto" w:sz="4" w:space="0"/>
                    <w:right w:val="single" w:color="auto" w:sz="4" w:space="0"/>
                  </w:tcBorders>
                  <w:vAlign w:val="center"/>
                </w:tcPr>
                <w:p>
                  <w:pPr>
                    <w:widowControl/>
                    <w:spacing w:before="12" w:beforeLines="5" w:after="12" w:afterLines="5"/>
                    <w:jc w:val="center"/>
                    <w:rPr>
                      <w:kern w:val="0"/>
                      <w:szCs w:val="21"/>
                    </w:rPr>
                  </w:pPr>
                  <w:r>
                    <w:rPr>
                      <w:kern w:val="0"/>
                      <w:szCs w:val="21"/>
                    </w:rPr>
                    <w:t>振动筛</w:t>
                  </w:r>
                </w:p>
              </w:tc>
              <w:tc>
                <w:tcPr>
                  <w:tcW w:w="1122" w:type="pct"/>
                  <w:tcBorders>
                    <w:top w:val="nil"/>
                    <w:left w:val="nil"/>
                    <w:bottom w:val="single" w:color="auto" w:sz="4" w:space="0"/>
                    <w:right w:val="single" w:color="auto" w:sz="4" w:space="0"/>
                  </w:tcBorders>
                  <w:vAlign w:val="center"/>
                </w:tcPr>
                <w:p>
                  <w:pPr>
                    <w:widowControl/>
                    <w:jc w:val="center"/>
                    <w:rPr>
                      <w:kern w:val="0"/>
                      <w:szCs w:val="21"/>
                    </w:rPr>
                  </w:pPr>
                  <w:r>
                    <w:rPr>
                      <w:kern w:val="0"/>
                      <w:szCs w:val="21"/>
                    </w:rPr>
                    <w:t>GX-1</w:t>
                  </w:r>
                </w:p>
              </w:tc>
              <w:tc>
                <w:tcPr>
                  <w:tcW w:w="348" w:type="pct"/>
                  <w:tcBorders>
                    <w:top w:val="nil"/>
                    <w:left w:val="nil"/>
                    <w:bottom w:val="single" w:color="auto" w:sz="4" w:space="0"/>
                    <w:right w:val="single" w:color="auto" w:sz="4" w:space="0"/>
                  </w:tcBorders>
                  <w:noWrap/>
                  <w:vAlign w:val="center"/>
                </w:tcPr>
                <w:p>
                  <w:pPr>
                    <w:widowControl/>
                    <w:jc w:val="center"/>
                    <w:rPr>
                      <w:kern w:val="0"/>
                      <w:szCs w:val="21"/>
                    </w:rPr>
                  </w:pPr>
                  <w:r>
                    <w:rPr>
                      <w:kern w:val="0"/>
                      <w:szCs w:val="21"/>
                    </w:rPr>
                    <w:t>210</w:t>
                  </w:r>
                </w:p>
              </w:tc>
              <w:tc>
                <w:tcPr>
                  <w:tcW w:w="314" w:type="pct"/>
                  <w:tcBorders>
                    <w:top w:val="nil"/>
                    <w:left w:val="nil"/>
                    <w:bottom w:val="single" w:color="auto" w:sz="4" w:space="0"/>
                    <w:right w:val="single" w:color="auto" w:sz="4" w:space="0"/>
                  </w:tcBorders>
                  <w:noWrap/>
                  <w:vAlign w:val="center"/>
                </w:tcPr>
                <w:p>
                  <w:pPr>
                    <w:widowControl/>
                    <w:jc w:val="center"/>
                    <w:rPr>
                      <w:kern w:val="0"/>
                      <w:szCs w:val="21"/>
                    </w:rPr>
                  </w:pPr>
                  <w:r>
                    <w:rPr>
                      <w:kern w:val="0"/>
                      <w:szCs w:val="21"/>
                    </w:rPr>
                    <w:t>m</w:t>
                  </w:r>
                  <w:r>
                    <w:rPr>
                      <w:kern w:val="0"/>
                      <w:szCs w:val="21"/>
                      <w:vertAlign w:val="superscript"/>
                    </w:rPr>
                    <w:t>3</w:t>
                  </w:r>
                  <w:r>
                    <w:rPr>
                      <w:kern w:val="0"/>
                      <w:szCs w:val="21"/>
                    </w:rPr>
                    <w:t>/h</w:t>
                  </w:r>
                </w:p>
              </w:tc>
              <w:tc>
                <w:tcPr>
                  <w:tcW w:w="372" w:type="pct"/>
                  <w:tcBorders>
                    <w:top w:val="nil"/>
                    <w:left w:val="nil"/>
                    <w:bottom w:val="single" w:color="auto" w:sz="4" w:space="0"/>
                    <w:right w:val="single" w:color="auto" w:sz="4" w:space="0"/>
                  </w:tcBorders>
                  <w:noWrap/>
                  <w:vAlign w:val="center"/>
                </w:tcPr>
                <w:p>
                  <w:pPr>
                    <w:widowControl/>
                    <w:spacing w:before="12" w:beforeLines="5" w:after="12" w:afterLines="5"/>
                    <w:jc w:val="center"/>
                    <w:rPr>
                      <w:kern w:val="0"/>
                      <w:szCs w:val="21"/>
                    </w:rPr>
                  </w:pPr>
                  <w:r>
                    <w:rPr>
                      <w:kern w:val="0"/>
                      <w:szCs w:val="21"/>
                    </w:rPr>
                    <w:t>3台</w:t>
                  </w:r>
                </w:p>
              </w:tc>
            </w:tr>
            <w:tr>
              <w:tblPrEx>
                <w:tblCellMar>
                  <w:top w:w="0" w:type="dxa"/>
                  <w:left w:w="0" w:type="dxa"/>
                  <w:bottom w:w="0" w:type="dxa"/>
                  <w:right w:w="0" w:type="dxa"/>
                </w:tblCellMar>
              </w:tblPrEx>
              <w:tc>
                <w:tcPr>
                  <w:tcW w:w="234" w:type="pct"/>
                  <w:tcBorders>
                    <w:top w:val="nil"/>
                    <w:left w:val="single" w:color="auto" w:sz="4" w:space="0"/>
                    <w:bottom w:val="single" w:color="auto" w:sz="4" w:space="0"/>
                    <w:right w:val="single" w:color="auto" w:sz="4" w:space="0"/>
                  </w:tcBorders>
                  <w:vAlign w:val="center"/>
                </w:tcPr>
                <w:p>
                  <w:pPr>
                    <w:widowControl/>
                    <w:spacing w:before="12" w:beforeLines="5" w:after="12" w:afterLines="5"/>
                    <w:jc w:val="center"/>
                    <w:rPr>
                      <w:kern w:val="0"/>
                      <w:szCs w:val="21"/>
                    </w:rPr>
                  </w:pPr>
                  <w:r>
                    <w:rPr>
                      <w:kern w:val="0"/>
                      <w:szCs w:val="21"/>
                    </w:rPr>
                    <w:t>10</w:t>
                  </w:r>
                </w:p>
              </w:tc>
              <w:tc>
                <w:tcPr>
                  <w:tcW w:w="2610" w:type="pct"/>
                  <w:tcBorders>
                    <w:top w:val="nil"/>
                    <w:left w:val="nil"/>
                    <w:bottom w:val="single" w:color="auto" w:sz="4" w:space="0"/>
                    <w:right w:val="single" w:color="auto" w:sz="4" w:space="0"/>
                  </w:tcBorders>
                  <w:vAlign w:val="center"/>
                </w:tcPr>
                <w:p>
                  <w:pPr>
                    <w:widowControl/>
                    <w:spacing w:before="12" w:beforeLines="5" w:after="12" w:afterLines="5"/>
                    <w:jc w:val="center"/>
                    <w:rPr>
                      <w:kern w:val="0"/>
                      <w:szCs w:val="21"/>
                    </w:rPr>
                  </w:pPr>
                  <w:r>
                    <w:rPr>
                      <w:kern w:val="0"/>
                      <w:szCs w:val="21"/>
                    </w:rPr>
                    <w:t>除砂除泥一体机</w:t>
                  </w:r>
                </w:p>
              </w:tc>
              <w:tc>
                <w:tcPr>
                  <w:tcW w:w="1122" w:type="pct"/>
                  <w:tcBorders>
                    <w:top w:val="nil"/>
                    <w:left w:val="nil"/>
                    <w:bottom w:val="single" w:color="auto" w:sz="4" w:space="0"/>
                    <w:right w:val="single" w:color="auto" w:sz="4" w:space="0"/>
                  </w:tcBorders>
                  <w:vAlign w:val="center"/>
                </w:tcPr>
                <w:p>
                  <w:pPr>
                    <w:widowControl/>
                    <w:spacing w:before="12" w:beforeLines="5" w:after="12" w:afterLines="5"/>
                    <w:jc w:val="center"/>
                    <w:rPr>
                      <w:kern w:val="0"/>
                      <w:szCs w:val="21"/>
                    </w:rPr>
                  </w:pPr>
                  <w:r>
                    <w:rPr>
                      <w:kern w:val="0"/>
                      <w:szCs w:val="21"/>
                    </w:rPr>
                    <w:t>FLC2000-4P</w:t>
                  </w:r>
                </w:p>
              </w:tc>
              <w:tc>
                <w:tcPr>
                  <w:tcW w:w="348" w:type="pct"/>
                  <w:tcBorders>
                    <w:top w:val="nil"/>
                    <w:left w:val="nil"/>
                    <w:bottom w:val="single" w:color="auto" w:sz="4" w:space="0"/>
                    <w:right w:val="single" w:color="auto" w:sz="4" w:space="0"/>
                  </w:tcBorders>
                  <w:noWrap/>
                  <w:vAlign w:val="center"/>
                </w:tcPr>
                <w:p>
                  <w:pPr>
                    <w:widowControl/>
                    <w:spacing w:before="12" w:beforeLines="5" w:after="12" w:afterLines="5"/>
                    <w:jc w:val="center"/>
                    <w:rPr>
                      <w:kern w:val="0"/>
                      <w:szCs w:val="21"/>
                    </w:rPr>
                  </w:pPr>
                </w:p>
              </w:tc>
              <w:tc>
                <w:tcPr>
                  <w:tcW w:w="314" w:type="pct"/>
                  <w:tcBorders>
                    <w:top w:val="nil"/>
                    <w:left w:val="nil"/>
                    <w:bottom w:val="single" w:color="auto" w:sz="4" w:space="0"/>
                    <w:right w:val="single" w:color="auto" w:sz="4" w:space="0"/>
                  </w:tcBorders>
                  <w:noWrap/>
                  <w:vAlign w:val="center"/>
                </w:tcPr>
                <w:p>
                  <w:pPr>
                    <w:widowControl/>
                    <w:spacing w:before="12" w:beforeLines="5" w:after="12" w:afterLines="5"/>
                    <w:jc w:val="center"/>
                    <w:rPr>
                      <w:kern w:val="0"/>
                      <w:szCs w:val="21"/>
                    </w:rPr>
                  </w:pPr>
                </w:p>
              </w:tc>
              <w:tc>
                <w:tcPr>
                  <w:tcW w:w="372" w:type="pct"/>
                  <w:tcBorders>
                    <w:top w:val="nil"/>
                    <w:left w:val="nil"/>
                    <w:bottom w:val="single" w:color="auto" w:sz="4" w:space="0"/>
                    <w:right w:val="single" w:color="auto" w:sz="4" w:space="0"/>
                  </w:tcBorders>
                  <w:noWrap/>
                  <w:vAlign w:val="center"/>
                </w:tcPr>
                <w:p>
                  <w:pPr>
                    <w:widowControl/>
                    <w:spacing w:before="12" w:beforeLines="5" w:after="12" w:afterLines="5"/>
                    <w:jc w:val="center"/>
                    <w:rPr>
                      <w:kern w:val="0"/>
                      <w:szCs w:val="21"/>
                    </w:rPr>
                  </w:pPr>
                  <w:r>
                    <w:rPr>
                      <w:kern w:val="0"/>
                      <w:szCs w:val="21"/>
                    </w:rPr>
                    <w:t>1台</w:t>
                  </w:r>
                </w:p>
              </w:tc>
            </w:tr>
            <w:tr>
              <w:tc>
                <w:tcPr>
                  <w:tcW w:w="234" w:type="pct"/>
                  <w:tcBorders>
                    <w:top w:val="nil"/>
                    <w:left w:val="single" w:color="auto" w:sz="4" w:space="0"/>
                    <w:bottom w:val="single" w:color="auto" w:sz="4" w:space="0"/>
                    <w:right w:val="single" w:color="auto" w:sz="4" w:space="0"/>
                  </w:tcBorders>
                  <w:vAlign w:val="center"/>
                </w:tcPr>
                <w:p>
                  <w:pPr>
                    <w:widowControl/>
                    <w:spacing w:before="12" w:beforeLines="5" w:after="12" w:afterLines="5"/>
                    <w:jc w:val="center"/>
                    <w:rPr>
                      <w:kern w:val="0"/>
                      <w:szCs w:val="21"/>
                    </w:rPr>
                  </w:pPr>
                  <w:r>
                    <w:rPr>
                      <w:kern w:val="0"/>
                      <w:szCs w:val="21"/>
                    </w:rPr>
                    <w:t>11</w:t>
                  </w:r>
                </w:p>
              </w:tc>
              <w:tc>
                <w:tcPr>
                  <w:tcW w:w="2610" w:type="pct"/>
                  <w:tcBorders>
                    <w:top w:val="nil"/>
                    <w:left w:val="nil"/>
                    <w:bottom w:val="single" w:color="auto" w:sz="4" w:space="0"/>
                    <w:right w:val="single" w:color="auto" w:sz="4" w:space="0"/>
                  </w:tcBorders>
                  <w:vAlign w:val="center"/>
                </w:tcPr>
                <w:p>
                  <w:pPr>
                    <w:widowControl/>
                    <w:spacing w:before="12" w:beforeLines="5" w:after="12" w:afterLines="5"/>
                    <w:jc w:val="center"/>
                    <w:rPr>
                      <w:kern w:val="0"/>
                      <w:szCs w:val="21"/>
                    </w:rPr>
                  </w:pPr>
                  <w:r>
                    <w:rPr>
                      <w:kern w:val="0"/>
                      <w:szCs w:val="21"/>
                    </w:rPr>
                    <w:t>除气器</w:t>
                  </w:r>
                </w:p>
              </w:tc>
              <w:tc>
                <w:tcPr>
                  <w:tcW w:w="1122" w:type="pct"/>
                  <w:tcBorders>
                    <w:top w:val="nil"/>
                    <w:left w:val="nil"/>
                    <w:bottom w:val="single" w:color="auto" w:sz="4" w:space="0"/>
                    <w:right w:val="single" w:color="auto" w:sz="4" w:space="0"/>
                  </w:tcBorders>
                  <w:vAlign w:val="center"/>
                </w:tcPr>
                <w:p>
                  <w:pPr>
                    <w:widowControl/>
                    <w:spacing w:before="12" w:beforeLines="5" w:after="12" w:afterLines="5"/>
                    <w:jc w:val="center"/>
                    <w:rPr>
                      <w:kern w:val="0"/>
                      <w:szCs w:val="21"/>
                    </w:rPr>
                  </w:pPr>
                  <w:r>
                    <w:rPr>
                      <w:kern w:val="0"/>
                      <w:szCs w:val="21"/>
                    </w:rPr>
                    <w:t>VACU-FLO1000</w:t>
                  </w:r>
                </w:p>
              </w:tc>
              <w:tc>
                <w:tcPr>
                  <w:tcW w:w="348" w:type="pct"/>
                  <w:tcBorders>
                    <w:top w:val="nil"/>
                    <w:left w:val="nil"/>
                    <w:bottom w:val="single" w:color="auto" w:sz="4" w:space="0"/>
                    <w:right w:val="single" w:color="auto" w:sz="4" w:space="0"/>
                  </w:tcBorders>
                  <w:noWrap/>
                  <w:vAlign w:val="center"/>
                </w:tcPr>
                <w:p>
                  <w:pPr>
                    <w:widowControl/>
                    <w:spacing w:before="12" w:beforeLines="5" w:after="12" w:afterLines="5"/>
                    <w:jc w:val="center"/>
                    <w:rPr>
                      <w:kern w:val="0"/>
                      <w:szCs w:val="21"/>
                    </w:rPr>
                  </w:pPr>
                </w:p>
              </w:tc>
              <w:tc>
                <w:tcPr>
                  <w:tcW w:w="314" w:type="pct"/>
                  <w:tcBorders>
                    <w:top w:val="nil"/>
                    <w:left w:val="nil"/>
                    <w:bottom w:val="single" w:color="auto" w:sz="4" w:space="0"/>
                    <w:right w:val="single" w:color="auto" w:sz="4" w:space="0"/>
                  </w:tcBorders>
                  <w:noWrap/>
                  <w:vAlign w:val="center"/>
                </w:tcPr>
                <w:p>
                  <w:pPr>
                    <w:widowControl/>
                    <w:spacing w:before="12" w:beforeLines="5" w:after="12" w:afterLines="5"/>
                    <w:jc w:val="center"/>
                    <w:rPr>
                      <w:kern w:val="0"/>
                      <w:szCs w:val="21"/>
                    </w:rPr>
                  </w:pPr>
                </w:p>
              </w:tc>
              <w:tc>
                <w:tcPr>
                  <w:tcW w:w="372" w:type="pct"/>
                  <w:tcBorders>
                    <w:top w:val="nil"/>
                    <w:left w:val="nil"/>
                    <w:bottom w:val="single" w:color="auto" w:sz="4" w:space="0"/>
                    <w:right w:val="single" w:color="auto" w:sz="4" w:space="0"/>
                  </w:tcBorders>
                  <w:noWrap/>
                  <w:vAlign w:val="center"/>
                </w:tcPr>
                <w:p>
                  <w:pPr>
                    <w:widowControl/>
                    <w:spacing w:before="12" w:beforeLines="5" w:after="12" w:afterLines="5"/>
                    <w:jc w:val="center"/>
                    <w:rPr>
                      <w:kern w:val="0"/>
                      <w:szCs w:val="21"/>
                    </w:rPr>
                  </w:pPr>
                  <w:r>
                    <w:rPr>
                      <w:szCs w:val="21"/>
                    </w:rPr>
                    <w:t>1</w:t>
                  </w:r>
                  <w:r>
                    <w:rPr>
                      <w:kern w:val="0"/>
                      <w:szCs w:val="21"/>
                    </w:rPr>
                    <w:t>台</w:t>
                  </w:r>
                </w:p>
              </w:tc>
            </w:tr>
            <w:tr>
              <w:tblPrEx>
                <w:tblCellMar>
                  <w:top w:w="0" w:type="dxa"/>
                  <w:left w:w="0" w:type="dxa"/>
                  <w:bottom w:w="0" w:type="dxa"/>
                  <w:right w:w="0" w:type="dxa"/>
                </w:tblCellMar>
              </w:tblPrEx>
              <w:tc>
                <w:tcPr>
                  <w:tcW w:w="234" w:type="pct"/>
                  <w:tcBorders>
                    <w:top w:val="nil"/>
                    <w:left w:val="single" w:color="auto" w:sz="4" w:space="0"/>
                    <w:bottom w:val="single" w:color="auto" w:sz="4" w:space="0"/>
                    <w:right w:val="single" w:color="auto" w:sz="4" w:space="0"/>
                  </w:tcBorders>
                  <w:vAlign w:val="center"/>
                </w:tcPr>
                <w:p>
                  <w:pPr>
                    <w:widowControl/>
                    <w:spacing w:before="12" w:beforeLines="5" w:after="12" w:afterLines="5"/>
                    <w:jc w:val="center"/>
                    <w:rPr>
                      <w:kern w:val="0"/>
                      <w:szCs w:val="21"/>
                    </w:rPr>
                  </w:pPr>
                  <w:r>
                    <w:rPr>
                      <w:kern w:val="0"/>
                      <w:szCs w:val="21"/>
                    </w:rPr>
                    <w:t>12</w:t>
                  </w:r>
                </w:p>
              </w:tc>
              <w:tc>
                <w:tcPr>
                  <w:tcW w:w="2610" w:type="pct"/>
                  <w:tcBorders>
                    <w:top w:val="nil"/>
                    <w:left w:val="nil"/>
                    <w:bottom w:val="single" w:color="auto" w:sz="4" w:space="0"/>
                    <w:right w:val="single" w:color="auto" w:sz="4" w:space="0"/>
                  </w:tcBorders>
                  <w:vAlign w:val="center"/>
                </w:tcPr>
                <w:p>
                  <w:pPr>
                    <w:widowControl/>
                    <w:spacing w:before="12" w:beforeLines="5" w:after="12" w:afterLines="5"/>
                    <w:jc w:val="center"/>
                    <w:rPr>
                      <w:kern w:val="0"/>
                      <w:szCs w:val="21"/>
                    </w:rPr>
                  </w:pPr>
                  <w:r>
                    <w:rPr>
                      <w:kern w:val="0"/>
                      <w:szCs w:val="21"/>
                    </w:rPr>
                    <w:t>离心机</w:t>
                  </w:r>
                </w:p>
              </w:tc>
              <w:tc>
                <w:tcPr>
                  <w:tcW w:w="1122" w:type="pct"/>
                  <w:tcBorders>
                    <w:top w:val="nil"/>
                    <w:left w:val="nil"/>
                    <w:bottom w:val="single" w:color="auto" w:sz="4" w:space="0"/>
                    <w:right w:val="single" w:color="auto" w:sz="4" w:space="0"/>
                  </w:tcBorders>
                  <w:vAlign w:val="center"/>
                </w:tcPr>
                <w:p>
                  <w:pPr>
                    <w:widowControl/>
                    <w:spacing w:before="12" w:beforeLines="5" w:after="12" w:afterLines="5"/>
                    <w:jc w:val="center"/>
                    <w:rPr>
                      <w:kern w:val="0"/>
                      <w:szCs w:val="21"/>
                    </w:rPr>
                  </w:pPr>
                  <w:r>
                    <w:rPr>
                      <w:kern w:val="0"/>
                      <w:szCs w:val="21"/>
                    </w:rPr>
                    <w:t>JL40-DZ</w:t>
                  </w:r>
                </w:p>
              </w:tc>
              <w:tc>
                <w:tcPr>
                  <w:tcW w:w="348" w:type="pct"/>
                  <w:tcBorders>
                    <w:top w:val="nil"/>
                    <w:left w:val="nil"/>
                    <w:bottom w:val="single" w:color="auto" w:sz="4" w:space="0"/>
                    <w:right w:val="single" w:color="auto" w:sz="4" w:space="0"/>
                  </w:tcBorders>
                  <w:noWrap/>
                  <w:vAlign w:val="center"/>
                </w:tcPr>
                <w:p>
                  <w:pPr>
                    <w:widowControl/>
                    <w:spacing w:before="12" w:beforeLines="5" w:after="12" w:afterLines="5"/>
                    <w:jc w:val="center"/>
                    <w:rPr>
                      <w:kern w:val="0"/>
                      <w:szCs w:val="21"/>
                    </w:rPr>
                  </w:pPr>
                </w:p>
              </w:tc>
              <w:tc>
                <w:tcPr>
                  <w:tcW w:w="314" w:type="pct"/>
                  <w:tcBorders>
                    <w:top w:val="nil"/>
                    <w:left w:val="nil"/>
                    <w:bottom w:val="single" w:color="auto" w:sz="4" w:space="0"/>
                    <w:right w:val="single" w:color="auto" w:sz="4" w:space="0"/>
                  </w:tcBorders>
                  <w:noWrap/>
                  <w:vAlign w:val="center"/>
                </w:tcPr>
                <w:p>
                  <w:pPr>
                    <w:widowControl/>
                    <w:spacing w:before="12" w:beforeLines="5" w:after="12" w:afterLines="5"/>
                    <w:jc w:val="center"/>
                    <w:rPr>
                      <w:kern w:val="0"/>
                      <w:szCs w:val="21"/>
                    </w:rPr>
                  </w:pPr>
                </w:p>
              </w:tc>
              <w:tc>
                <w:tcPr>
                  <w:tcW w:w="372" w:type="pct"/>
                  <w:tcBorders>
                    <w:top w:val="nil"/>
                    <w:left w:val="nil"/>
                    <w:bottom w:val="single" w:color="auto" w:sz="4" w:space="0"/>
                    <w:right w:val="single" w:color="auto" w:sz="4" w:space="0"/>
                  </w:tcBorders>
                  <w:noWrap/>
                  <w:vAlign w:val="center"/>
                </w:tcPr>
                <w:p>
                  <w:pPr>
                    <w:widowControl/>
                    <w:spacing w:before="12" w:beforeLines="5" w:after="12" w:afterLines="5"/>
                    <w:jc w:val="center"/>
                    <w:rPr>
                      <w:kern w:val="0"/>
                      <w:szCs w:val="21"/>
                    </w:rPr>
                  </w:pPr>
                  <w:r>
                    <w:rPr>
                      <w:szCs w:val="21"/>
                    </w:rPr>
                    <w:t>1</w:t>
                  </w:r>
                  <w:r>
                    <w:rPr>
                      <w:kern w:val="0"/>
                      <w:szCs w:val="21"/>
                    </w:rPr>
                    <w:t>台</w:t>
                  </w:r>
                </w:p>
              </w:tc>
            </w:tr>
            <w:tr>
              <w:tc>
                <w:tcPr>
                  <w:tcW w:w="234" w:type="pct"/>
                  <w:tcBorders>
                    <w:top w:val="nil"/>
                    <w:left w:val="single" w:color="auto" w:sz="4" w:space="0"/>
                    <w:bottom w:val="single" w:color="auto" w:sz="4" w:space="0"/>
                    <w:right w:val="single" w:color="auto" w:sz="4" w:space="0"/>
                  </w:tcBorders>
                  <w:vAlign w:val="center"/>
                </w:tcPr>
                <w:p>
                  <w:pPr>
                    <w:widowControl/>
                    <w:spacing w:before="12" w:beforeLines="5" w:after="12" w:afterLines="5"/>
                    <w:jc w:val="center"/>
                    <w:rPr>
                      <w:kern w:val="0"/>
                      <w:szCs w:val="21"/>
                    </w:rPr>
                  </w:pPr>
                  <w:r>
                    <w:rPr>
                      <w:kern w:val="0"/>
                      <w:szCs w:val="21"/>
                    </w:rPr>
                    <w:t>13</w:t>
                  </w:r>
                </w:p>
              </w:tc>
              <w:tc>
                <w:tcPr>
                  <w:tcW w:w="2610" w:type="pct"/>
                  <w:tcBorders>
                    <w:top w:val="nil"/>
                    <w:left w:val="nil"/>
                    <w:bottom w:val="single" w:color="auto" w:sz="4" w:space="0"/>
                    <w:right w:val="single" w:color="auto" w:sz="4" w:space="0"/>
                  </w:tcBorders>
                  <w:vAlign w:val="center"/>
                </w:tcPr>
                <w:p>
                  <w:pPr>
                    <w:widowControl/>
                    <w:spacing w:before="12" w:beforeLines="5" w:after="12" w:afterLines="5"/>
                    <w:jc w:val="center"/>
                    <w:rPr>
                      <w:kern w:val="0"/>
                      <w:szCs w:val="21"/>
                    </w:rPr>
                  </w:pPr>
                  <w:r>
                    <w:rPr>
                      <w:kern w:val="0"/>
                      <w:szCs w:val="21"/>
                    </w:rPr>
                    <w:t>液气分离器</w:t>
                  </w:r>
                </w:p>
              </w:tc>
              <w:tc>
                <w:tcPr>
                  <w:tcW w:w="1122" w:type="pct"/>
                  <w:tcBorders>
                    <w:top w:val="nil"/>
                    <w:left w:val="nil"/>
                    <w:bottom w:val="single" w:color="auto" w:sz="4" w:space="0"/>
                    <w:right w:val="single" w:color="auto" w:sz="4" w:space="0"/>
                  </w:tcBorders>
                  <w:vAlign w:val="center"/>
                </w:tcPr>
                <w:p>
                  <w:pPr>
                    <w:widowControl/>
                    <w:spacing w:before="12" w:beforeLines="5" w:after="12" w:afterLines="5"/>
                    <w:jc w:val="center"/>
                    <w:rPr>
                      <w:kern w:val="0"/>
                      <w:szCs w:val="21"/>
                    </w:rPr>
                  </w:pPr>
                </w:p>
              </w:tc>
              <w:tc>
                <w:tcPr>
                  <w:tcW w:w="348" w:type="pct"/>
                  <w:tcBorders>
                    <w:top w:val="nil"/>
                    <w:left w:val="nil"/>
                    <w:bottom w:val="single" w:color="auto" w:sz="4" w:space="0"/>
                    <w:right w:val="single" w:color="auto" w:sz="4" w:space="0"/>
                  </w:tcBorders>
                  <w:noWrap/>
                  <w:vAlign w:val="center"/>
                </w:tcPr>
                <w:p>
                  <w:pPr>
                    <w:widowControl/>
                    <w:spacing w:before="12" w:beforeLines="5" w:after="12" w:afterLines="5"/>
                    <w:jc w:val="center"/>
                    <w:rPr>
                      <w:kern w:val="0"/>
                      <w:szCs w:val="21"/>
                    </w:rPr>
                  </w:pPr>
                </w:p>
              </w:tc>
              <w:tc>
                <w:tcPr>
                  <w:tcW w:w="314" w:type="pct"/>
                  <w:tcBorders>
                    <w:top w:val="nil"/>
                    <w:left w:val="nil"/>
                    <w:bottom w:val="single" w:color="auto" w:sz="4" w:space="0"/>
                    <w:right w:val="single" w:color="auto" w:sz="4" w:space="0"/>
                  </w:tcBorders>
                  <w:noWrap/>
                  <w:vAlign w:val="center"/>
                </w:tcPr>
                <w:p>
                  <w:pPr>
                    <w:widowControl/>
                    <w:spacing w:before="12" w:beforeLines="5" w:after="12" w:afterLines="5"/>
                    <w:jc w:val="center"/>
                    <w:rPr>
                      <w:kern w:val="0"/>
                      <w:szCs w:val="21"/>
                    </w:rPr>
                  </w:pPr>
                </w:p>
              </w:tc>
              <w:tc>
                <w:tcPr>
                  <w:tcW w:w="372" w:type="pct"/>
                  <w:tcBorders>
                    <w:top w:val="nil"/>
                    <w:left w:val="nil"/>
                    <w:bottom w:val="single" w:color="auto" w:sz="4" w:space="0"/>
                    <w:right w:val="single" w:color="auto" w:sz="4" w:space="0"/>
                  </w:tcBorders>
                  <w:noWrap/>
                  <w:vAlign w:val="center"/>
                </w:tcPr>
                <w:p>
                  <w:pPr>
                    <w:widowControl/>
                    <w:spacing w:before="12" w:beforeLines="5" w:after="12" w:afterLines="5"/>
                    <w:jc w:val="center"/>
                    <w:rPr>
                      <w:kern w:val="0"/>
                      <w:szCs w:val="21"/>
                    </w:rPr>
                  </w:pPr>
                  <w:r>
                    <w:rPr>
                      <w:szCs w:val="21"/>
                    </w:rPr>
                    <w:t>1套</w:t>
                  </w:r>
                </w:p>
              </w:tc>
            </w:tr>
            <w:tr>
              <w:tblPrEx>
                <w:tblCellMar>
                  <w:top w:w="0" w:type="dxa"/>
                  <w:left w:w="0" w:type="dxa"/>
                  <w:bottom w:w="0" w:type="dxa"/>
                  <w:right w:w="0" w:type="dxa"/>
                </w:tblCellMar>
              </w:tblPrEx>
              <w:tc>
                <w:tcPr>
                  <w:tcW w:w="234" w:type="pct"/>
                  <w:tcBorders>
                    <w:top w:val="single" w:color="auto" w:sz="4" w:space="0"/>
                    <w:left w:val="single" w:color="auto" w:sz="4" w:space="0"/>
                    <w:bottom w:val="single" w:color="auto" w:sz="4" w:space="0"/>
                    <w:right w:val="single" w:color="auto" w:sz="4" w:space="0"/>
                  </w:tcBorders>
                  <w:vAlign w:val="center"/>
                </w:tcPr>
                <w:p>
                  <w:pPr>
                    <w:widowControl/>
                    <w:spacing w:before="12" w:beforeLines="5" w:after="12" w:afterLines="5"/>
                    <w:jc w:val="center"/>
                    <w:rPr>
                      <w:kern w:val="0"/>
                      <w:szCs w:val="21"/>
                    </w:rPr>
                  </w:pPr>
                  <w:r>
                    <w:rPr>
                      <w:kern w:val="0"/>
                      <w:szCs w:val="21"/>
                    </w:rPr>
                    <w:t>14</w:t>
                  </w:r>
                </w:p>
              </w:tc>
              <w:tc>
                <w:tcPr>
                  <w:tcW w:w="2610" w:type="pct"/>
                  <w:tcBorders>
                    <w:top w:val="single" w:color="auto" w:sz="4" w:space="0"/>
                    <w:left w:val="nil"/>
                    <w:bottom w:val="single" w:color="auto" w:sz="4" w:space="0"/>
                    <w:right w:val="single" w:color="auto" w:sz="4" w:space="0"/>
                  </w:tcBorders>
                  <w:vAlign w:val="center"/>
                </w:tcPr>
                <w:p>
                  <w:pPr>
                    <w:widowControl/>
                    <w:spacing w:before="12" w:beforeLines="5" w:after="12" w:afterLines="5"/>
                    <w:jc w:val="center"/>
                    <w:rPr>
                      <w:kern w:val="0"/>
                      <w:szCs w:val="21"/>
                    </w:rPr>
                  </w:pPr>
                  <w:r>
                    <w:rPr>
                      <w:kern w:val="0"/>
                      <w:szCs w:val="21"/>
                    </w:rPr>
                    <w:t>灌注泵</w:t>
                  </w:r>
                </w:p>
              </w:tc>
              <w:tc>
                <w:tcPr>
                  <w:tcW w:w="1122" w:type="pct"/>
                  <w:tcBorders>
                    <w:top w:val="single" w:color="auto" w:sz="4" w:space="0"/>
                    <w:left w:val="nil"/>
                    <w:bottom w:val="single" w:color="auto" w:sz="4" w:space="0"/>
                    <w:right w:val="single" w:color="auto" w:sz="4" w:space="0"/>
                  </w:tcBorders>
                  <w:vAlign w:val="center"/>
                </w:tcPr>
                <w:p>
                  <w:pPr>
                    <w:widowControl/>
                    <w:spacing w:before="12" w:beforeLines="5" w:after="12" w:afterLines="5"/>
                    <w:jc w:val="center"/>
                    <w:rPr>
                      <w:kern w:val="0"/>
                      <w:szCs w:val="21"/>
                    </w:rPr>
                  </w:pPr>
                  <w:r>
                    <w:rPr>
                      <w:kern w:val="0"/>
                      <w:szCs w:val="21"/>
                    </w:rPr>
                    <w:t>GZB-1300</w:t>
                  </w:r>
                </w:p>
              </w:tc>
              <w:tc>
                <w:tcPr>
                  <w:tcW w:w="348" w:type="pct"/>
                  <w:tcBorders>
                    <w:top w:val="single" w:color="auto" w:sz="4" w:space="0"/>
                    <w:left w:val="nil"/>
                    <w:bottom w:val="single" w:color="auto" w:sz="4" w:space="0"/>
                    <w:right w:val="single" w:color="auto" w:sz="4" w:space="0"/>
                  </w:tcBorders>
                  <w:noWrap/>
                  <w:vAlign w:val="center"/>
                </w:tcPr>
                <w:p>
                  <w:pPr>
                    <w:widowControl/>
                    <w:spacing w:before="12" w:beforeLines="5" w:after="12" w:afterLines="5"/>
                    <w:jc w:val="center"/>
                    <w:rPr>
                      <w:kern w:val="0"/>
                      <w:szCs w:val="21"/>
                    </w:rPr>
                  </w:pPr>
                  <w:r>
                    <w:rPr>
                      <w:kern w:val="0"/>
                      <w:szCs w:val="21"/>
                    </w:rPr>
                    <w:t>45</w:t>
                  </w:r>
                </w:p>
              </w:tc>
              <w:tc>
                <w:tcPr>
                  <w:tcW w:w="314" w:type="pct"/>
                  <w:tcBorders>
                    <w:top w:val="single" w:color="auto" w:sz="4" w:space="0"/>
                    <w:left w:val="nil"/>
                    <w:bottom w:val="single" w:color="auto" w:sz="4" w:space="0"/>
                    <w:right w:val="single" w:color="auto" w:sz="4" w:space="0"/>
                  </w:tcBorders>
                  <w:noWrap/>
                  <w:vAlign w:val="center"/>
                </w:tcPr>
                <w:p>
                  <w:pPr>
                    <w:widowControl/>
                    <w:spacing w:before="12" w:beforeLines="5" w:after="12" w:afterLines="5"/>
                    <w:jc w:val="center"/>
                    <w:rPr>
                      <w:kern w:val="0"/>
                      <w:szCs w:val="21"/>
                    </w:rPr>
                  </w:pPr>
                  <w:r>
                    <w:rPr>
                      <w:kern w:val="0"/>
                      <w:szCs w:val="21"/>
                    </w:rPr>
                    <w:t>kW</w:t>
                  </w:r>
                </w:p>
              </w:tc>
              <w:tc>
                <w:tcPr>
                  <w:tcW w:w="372" w:type="pct"/>
                  <w:tcBorders>
                    <w:top w:val="single" w:color="auto" w:sz="4" w:space="0"/>
                    <w:left w:val="nil"/>
                    <w:bottom w:val="single" w:color="auto" w:sz="4" w:space="0"/>
                    <w:right w:val="single" w:color="auto" w:sz="4" w:space="0"/>
                  </w:tcBorders>
                  <w:noWrap/>
                  <w:vAlign w:val="center"/>
                </w:tcPr>
                <w:p>
                  <w:pPr>
                    <w:widowControl/>
                    <w:spacing w:before="12" w:beforeLines="5" w:after="12" w:afterLines="5"/>
                    <w:jc w:val="center"/>
                    <w:rPr>
                      <w:kern w:val="0"/>
                      <w:szCs w:val="21"/>
                    </w:rPr>
                  </w:pPr>
                  <w:r>
                    <w:rPr>
                      <w:kern w:val="0"/>
                      <w:szCs w:val="21"/>
                    </w:rPr>
                    <w:t>2台</w:t>
                  </w:r>
                </w:p>
              </w:tc>
            </w:tr>
            <w:tr>
              <w:tblPrEx>
                <w:tblCellMar>
                  <w:top w:w="0" w:type="dxa"/>
                  <w:left w:w="0" w:type="dxa"/>
                  <w:bottom w:w="0" w:type="dxa"/>
                  <w:right w:w="0" w:type="dxa"/>
                </w:tblCellMar>
              </w:tblPrEx>
              <w:tc>
                <w:tcPr>
                  <w:tcW w:w="234" w:type="pct"/>
                  <w:tcBorders>
                    <w:top w:val="nil"/>
                    <w:left w:val="single" w:color="auto" w:sz="4" w:space="0"/>
                    <w:bottom w:val="single" w:color="auto" w:sz="4" w:space="0"/>
                    <w:right w:val="single" w:color="auto" w:sz="4" w:space="0"/>
                  </w:tcBorders>
                  <w:vAlign w:val="center"/>
                </w:tcPr>
                <w:p>
                  <w:pPr>
                    <w:widowControl/>
                    <w:spacing w:before="12" w:beforeLines="5" w:after="12" w:afterLines="5"/>
                    <w:jc w:val="center"/>
                    <w:rPr>
                      <w:kern w:val="0"/>
                      <w:szCs w:val="21"/>
                    </w:rPr>
                  </w:pPr>
                  <w:r>
                    <w:rPr>
                      <w:kern w:val="0"/>
                      <w:szCs w:val="21"/>
                    </w:rPr>
                    <w:t>15</w:t>
                  </w:r>
                </w:p>
              </w:tc>
              <w:tc>
                <w:tcPr>
                  <w:tcW w:w="2610" w:type="pct"/>
                  <w:tcBorders>
                    <w:top w:val="nil"/>
                    <w:left w:val="nil"/>
                    <w:bottom w:val="single" w:color="auto" w:sz="4" w:space="0"/>
                    <w:right w:val="single" w:color="auto" w:sz="4" w:space="0"/>
                  </w:tcBorders>
                  <w:vAlign w:val="center"/>
                </w:tcPr>
                <w:p>
                  <w:pPr>
                    <w:widowControl/>
                    <w:spacing w:before="12" w:beforeLines="5" w:after="12" w:afterLines="5"/>
                    <w:jc w:val="center"/>
                    <w:rPr>
                      <w:kern w:val="0"/>
                      <w:szCs w:val="21"/>
                    </w:rPr>
                  </w:pPr>
                  <w:r>
                    <w:rPr>
                      <w:kern w:val="0"/>
                      <w:szCs w:val="21"/>
                    </w:rPr>
                    <w:t>柴油机</w:t>
                  </w:r>
                </w:p>
              </w:tc>
              <w:tc>
                <w:tcPr>
                  <w:tcW w:w="1122" w:type="pct"/>
                  <w:tcBorders>
                    <w:top w:val="nil"/>
                    <w:left w:val="nil"/>
                    <w:bottom w:val="single" w:color="auto" w:sz="4" w:space="0"/>
                    <w:right w:val="single" w:color="auto" w:sz="4" w:space="0"/>
                  </w:tcBorders>
                  <w:vAlign w:val="center"/>
                </w:tcPr>
                <w:p>
                  <w:pPr>
                    <w:widowControl/>
                    <w:spacing w:before="12" w:beforeLines="5" w:after="12" w:afterLines="5"/>
                    <w:jc w:val="center"/>
                    <w:rPr>
                      <w:kern w:val="0"/>
                      <w:szCs w:val="21"/>
                    </w:rPr>
                  </w:pPr>
                  <w:r>
                    <w:rPr>
                      <w:kern w:val="0"/>
                      <w:szCs w:val="21"/>
                    </w:rPr>
                    <w:t>CAT3512</w:t>
                  </w:r>
                </w:p>
              </w:tc>
              <w:tc>
                <w:tcPr>
                  <w:tcW w:w="348" w:type="pct"/>
                  <w:tcBorders>
                    <w:top w:val="nil"/>
                    <w:left w:val="nil"/>
                    <w:bottom w:val="single" w:color="auto" w:sz="4" w:space="0"/>
                    <w:right w:val="single" w:color="auto" w:sz="4" w:space="0"/>
                  </w:tcBorders>
                  <w:noWrap/>
                  <w:vAlign w:val="center"/>
                </w:tcPr>
                <w:p>
                  <w:pPr>
                    <w:widowControl/>
                    <w:spacing w:before="12" w:beforeLines="5" w:after="12" w:afterLines="5"/>
                    <w:jc w:val="center"/>
                    <w:rPr>
                      <w:kern w:val="0"/>
                      <w:szCs w:val="21"/>
                    </w:rPr>
                  </w:pPr>
                  <w:r>
                    <w:rPr>
                      <w:kern w:val="0"/>
                      <w:szCs w:val="21"/>
                    </w:rPr>
                    <w:t>1031</w:t>
                  </w:r>
                </w:p>
              </w:tc>
              <w:tc>
                <w:tcPr>
                  <w:tcW w:w="314" w:type="pct"/>
                  <w:tcBorders>
                    <w:top w:val="nil"/>
                    <w:left w:val="nil"/>
                    <w:bottom w:val="single" w:color="auto" w:sz="4" w:space="0"/>
                    <w:right w:val="single" w:color="auto" w:sz="4" w:space="0"/>
                  </w:tcBorders>
                  <w:noWrap/>
                  <w:vAlign w:val="center"/>
                </w:tcPr>
                <w:p>
                  <w:pPr>
                    <w:widowControl/>
                    <w:spacing w:before="12" w:beforeLines="5" w:after="12" w:afterLines="5"/>
                    <w:jc w:val="center"/>
                    <w:rPr>
                      <w:kern w:val="0"/>
                      <w:szCs w:val="21"/>
                    </w:rPr>
                  </w:pPr>
                  <w:r>
                    <w:rPr>
                      <w:kern w:val="0"/>
                      <w:szCs w:val="21"/>
                    </w:rPr>
                    <w:t>kW</w:t>
                  </w:r>
                </w:p>
              </w:tc>
              <w:tc>
                <w:tcPr>
                  <w:tcW w:w="372" w:type="pct"/>
                  <w:tcBorders>
                    <w:top w:val="nil"/>
                    <w:left w:val="nil"/>
                    <w:bottom w:val="single" w:color="auto" w:sz="4" w:space="0"/>
                    <w:right w:val="single" w:color="auto" w:sz="4" w:space="0"/>
                  </w:tcBorders>
                  <w:noWrap/>
                  <w:vAlign w:val="center"/>
                </w:tcPr>
                <w:p>
                  <w:pPr>
                    <w:widowControl/>
                    <w:spacing w:before="12" w:beforeLines="5" w:after="12" w:afterLines="5"/>
                    <w:jc w:val="center"/>
                    <w:rPr>
                      <w:kern w:val="0"/>
                      <w:szCs w:val="21"/>
                    </w:rPr>
                  </w:pPr>
                  <w:r>
                    <w:rPr>
                      <w:kern w:val="0"/>
                      <w:szCs w:val="21"/>
                    </w:rPr>
                    <w:t>3台</w:t>
                  </w:r>
                </w:p>
              </w:tc>
            </w:tr>
            <w:tr>
              <w:tblPrEx>
                <w:tblCellMar>
                  <w:top w:w="0" w:type="dxa"/>
                  <w:left w:w="0" w:type="dxa"/>
                  <w:bottom w:w="0" w:type="dxa"/>
                  <w:right w:w="0" w:type="dxa"/>
                </w:tblCellMar>
              </w:tblPrEx>
              <w:tc>
                <w:tcPr>
                  <w:tcW w:w="234" w:type="pct"/>
                  <w:tcBorders>
                    <w:top w:val="nil"/>
                    <w:left w:val="single" w:color="auto" w:sz="4" w:space="0"/>
                    <w:bottom w:val="single" w:color="auto" w:sz="4" w:space="0"/>
                    <w:right w:val="single" w:color="auto" w:sz="4" w:space="0"/>
                  </w:tcBorders>
                  <w:vAlign w:val="center"/>
                </w:tcPr>
                <w:p>
                  <w:pPr>
                    <w:widowControl/>
                    <w:spacing w:before="12" w:beforeLines="5" w:after="12" w:afterLines="5"/>
                    <w:jc w:val="center"/>
                    <w:rPr>
                      <w:kern w:val="0"/>
                      <w:szCs w:val="21"/>
                    </w:rPr>
                  </w:pPr>
                  <w:r>
                    <w:rPr>
                      <w:kern w:val="0"/>
                      <w:szCs w:val="21"/>
                    </w:rPr>
                    <w:t>16</w:t>
                  </w:r>
                </w:p>
              </w:tc>
              <w:tc>
                <w:tcPr>
                  <w:tcW w:w="2610" w:type="pct"/>
                  <w:tcBorders>
                    <w:top w:val="nil"/>
                    <w:left w:val="nil"/>
                    <w:bottom w:val="single" w:color="auto" w:sz="4" w:space="0"/>
                    <w:right w:val="single" w:color="auto" w:sz="4" w:space="0"/>
                  </w:tcBorders>
                  <w:vAlign w:val="center"/>
                </w:tcPr>
                <w:p>
                  <w:pPr>
                    <w:widowControl/>
                    <w:spacing w:before="12" w:beforeLines="5" w:after="12" w:afterLines="5"/>
                    <w:jc w:val="center"/>
                    <w:rPr>
                      <w:kern w:val="0"/>
                      <w:szCs w:val="21"/>
                    </w:rPr>
                  </w:pPr>
                  <w:r>
                    <w:rPr>
                      <w:kern w:val="0"/>
                      <w:szCs w:val="21"/>
                    </w:rPr>
                    <w:t>发电机</w:t>
                  </w:r>
                </w:p>
              </w:tc>
              <w:tc>
                <w:tcPr>
                  <w:tcW w:w="1122" w:type="pct"/>
                  <w:tcBorders>
                    <w:top w:val="nil"/>
                    <w:left w:val="nil"/>
                    <w:bottom w:val="single" w:color="auto" w:sz="4" w:space="0"/>
                    <w:right w:val="single" w:color="auto" w:sz="4" w:space="0"/>
                  </w:tcBorders>
                  <w:vAlign w:val="center"/>
                </w:tcPr>
                <w:p>
                  <w:pPr>
                    <w:widowControl/>
                    <w:spacing w:before="12" w:beforeLines="5" w:after="12" w:afterLines="5"/>
                    <w:jc w:val="center"/>
                    <w:rPr>
                      <w:kern w:val="0"/>
                      <w:szCs w:val="21"/>
                    </w:rPr>
                  </w:pPr>
                  <w:r>
                    <w:rPr>
                      <w:kern w:val="0"/>
                      <w:szCs w:val="21"/>
                    </w:rPr>
                    <w:t>SR4</w:t>
                  </w:r>
                </w:p>
              </w:tc>
              <w:tc>
                <w:tcPr>
                  <w:tcW w:w="348" w:type="pct"/>
                  <w:tcBorders>
                    <w:top w:val="nil"/>
                    <w:left w:val="nil"/>
                    <w:bottom w:val="single" w:color="auto" w:sz="4" w:space="0"/>
                    <w:right w:val="single" w:color="auto" w:sz="4" w:space="0"/>
                  </w:tcBorders>
                  <w:noWrap/>
                  <w:vAlign w:val="center"/>
                </w:tcPr>
                <w:p>
                  <w:pPr>
                    <w:widowControl/>
                    <w:spacing w:before="12" w:beforeLines="5" w:after="12" w:afterLines="5"/>
                    <w:jc w:val="center"/>
                    <w:rPr>
                      <w:kern w:val="0"/>
                      <w:szCs w:val="21"/>
                    </w:rPr>
                  </w:pPr>
                  <w:r>
                    <w:rPr>
                      <w:kern w:val="0"/>
                      <w:szCs w:val="21"/>
                    </w:rPr>
                    <w:t>980</w:t>
                  </w:r>
                </w:p>
              </w:tc>
              <w:tc>
                <w:tcPr>
                  <w:tcW w:w="314" w:type="pct"/>
                  <w:tcBorders>
                    <w:top w:val="nil"/>
                    <w:left w:val="nil"/>
                    <w:bottom w:val="single" w:color="auto" w:sz="4" w:space="0"/>
                    <w:right w:val="single" w:color="auto" w:sz="4" w:space="0"/>
                  </w:tcBorders>
                  <w:noWrap/>
                  <w:vAlign w:val="center"/>
                </w:tcPr>
                <w:p>
                  <w:pPr>
                    <w:widowControl/>
                    <w:spacing w:before="12" w:beforeLines="5" w:after="12" w:afterLines="5"/>
                    <w:jc w:val="center"/>
                    <w:rPr>
                      <w:kern w:val="0"/>
                      <w:szCs w:val="21"/>
                    </w:rPr>
                  </w:pPr>
                  <w:r>
                    <w:rPr>
                      <w:kern w:val="0"/>
                      <w:szCs w:val="21"/>
                    </w:rPr>
                    <w:t>kW</w:t>
                  </w:r>
                </w:p>
              </w:tc>
              <w:tc>
                <w:tcPr>
                  <w:tcW w:w="372" w:type="pct"/>
                  <w:tcBorders>
                    <w:top w:val="nil"/>
                    <w:left w:val="nil"/>
                    <w:bottom w:val="single" w:color="auto" w:sz="4" w:space="0"/>
                    <w:right w:val="single" w:color="auto" w:sz="4" w:space="0"/>
                  </w:tcBorders>
                  <w:noWrap/>
                  <w:vAlign w:val="center"/>
                </w:tcPr>
                <w:p>
                  <w:pPr>
                    <w:widowControl/>
                    <w:spacing w:before="12" w:beforeLines="5" w:after="12" w:afterLines="5"/>
                    <w:jc w:val="center"/>
                    <w:rPr>
                      <w:kern w:val="0"/>
                      <w:szCs w:val="21"/>
                    </w:rPr>
                  </w:pPr>
                  <w:r>
                    <w:rPr>
                      <w:kern w:val="0"/>
                      <w:szCs w:val="21"/>
                    </w:rPr>
                    <w:t>3台</w:t>
                  </w:r>
                </w:p>
              </w:tc>
            </w:tr>
            <w:tr>
              <w:tblPrEx>
                <w:tblCellMar>
                  <w:top w:w="0" w:type="dxa"/>
                  <w:left w:w="0" w:type="dxa"/>
                  <w:bottom w:w="0" w:type="dxa"/>
                  <w:right w:w="0" w:type="dxa"/>
                </w:tblCellMar>
              </w:tblPrEx>
              <w:tc>
                <w:tcPr>
                  <w:tcW w:w="234" w:type="pct"/>
                  <w:tcBorders>
                    <w:top w:val="nil"/>
                    <w:left w:val="single" w:color="auto" w:sz="4" w:space="0"/>
                    <w:bottom w:val="single" w:color="auto" w:sz="4" w:space="0"/>
                    <w:right w:val="single" w:color="auto" w:sz="4" w:space="0"/>
                  </w:tcBorders>
                  <w:vAlign w:val="center"/>
                </w:tcPr>
                <w:p>
                  <w:pPr>
                    <w:widowControl/>
                    <w:spacing w:before="12" w:beforeLines="5" w:after="12" w:afterLines="5"/>
                    <w:jc w:val="center"/>
                    <w:rPr>
                      <w:kern w:val="0"/>
                      <w:szCs w:val="21"/>
                    </w:rPr>
                  </w:pPr>
                  <w:r>
                    <w:rPr>
                      <w:kern w:val="0"/>
                      <w:szCs w:val="21"/>
                    </w:rPr>
                    <w:t>17</w:t>
                  </w:r>
                </w:p>
              </w:tc>
              <w:tc>
                <w:tcPr>
                  <w:tcW w:w="2610" w:type="pct"/>
                  <w:tcBorders>
                    <w:top w:val="nil"/>
                    <w:left w:val="nil"/>
                    <w:bottom w:val="single" w:color="auto" w:sz="4" w:space="0"/>
                    <w:right w:val="single" w:color="auto" w:sz="4" w:space="0"/>
                  </w:tcBorders>
                  <w:vAlign w:val="center"/>
                </w:tcPr>
                <w:p>
                  <w:pPr>
                    <w:widowControl/>
                    <w:spacing w:before="12" w:beforeLines="5" w:after="12" w:afterLines="5"/>
                    <w:jc w:val="center"/>
                    <w:rPr>
                      <w:kern w:val="0"/>
                      <w:szCs w:val="21"/>
                    </w:rPr>
                  </w:pPr>
                  <w:r>
                    <w:rPr>
                      <w:kern w:val="0"/>
                      <w:szCs w:val="21"/>
                    </w:rPr>
                    <w:t>螺杆压风机</w:t>
                  </w:r>
                </w:p>
              </w:tc>
              <w:tc>
                <w:tcPr>
                  <w:tcW w:w="1122" w:type="pct"/>
                  <w:tcBorders>
                    <w:top w:val="nil"/>
                    <w:left w:val="nil"/>
                    <w:bottom w:val="single" w:color="auto" w:sz="4" w:space="0"/>
                    <w:right w:val="single" w:color="auto" w:sz="4" w:space="0"/>
                  </w:tcBorders>
                  <w:vAlign w:val="center"/>
                </w:tcPr>
                <w:p>
                  <w:pPr>
                    <w:widowControl/>
                    <w:spacing w:before="12" w:beforeLines="5" w:after="12" w:afterLines="5"/>
                    <w:jc w:val="center"/>
                    <w:rPr>
                      <w:kern w:val="0"/>
                      <w:szCs w:val="21"/>
                    </w:rPr>
                  </w:pPr>
                  <w:r>
                    <w:rPr>
                      <w:kern w:val="0"/>
                      <w:szCs w:val="21"/>
                    </w:rPr>
                    <w:t>SPE-306X</w:t>
                  </w:r>
                </w:p>
              </w:tc>
              <w:tc>
                <w:tcPr>
                  <w:tcW w:w="348" w:type="pct"/>
                  <w:tcBorders>
                    <w:top w:val="nil"/>
                    <w:left w:val="nil"/>
                    <w:bottom w:val="single" w:color="auto" w:sz="4" w:space="0"/>
                    <w:right w:val="single" w:color="auto" w:sz="4" w:space="0"/>
                  </w:tcBorders>
                  <w:noWrap/>
                  <w:vAlign w:val="center"/>
                </w:tcPr>
                <w:p>
                  <w:pPr>
                    <w:widowControl/>
                    <w:spacing w:before="12" w:beforeLines="5" w:after="12" w:afterLines="5"/>
                    <w:jc w:val="center"/>
                    <w:rPr>
                      <w:kern w:val="0"/>
                      <w:szCs w:val="21"/>
                    </w:rPr>
                  </w:pPr>
                </w:p>
              </w:tc>
              <w:tc>
                <w:tcPr>
                  <w:tcW w:w="314" w:type="pct"/>
                  <w:tcBorders>
                    <w:top w:val="nil"/>
                    <w:left w:val="nil"/>
                    <w:bottom w:val="single" w:color="auto" w:sz="4" w:space="0"/>
                    <w:right w:val="single" w:color="auto" w:sz="4" w:space="0"/>
                  </w:tcBorders>
                  <w:noWrap/>
                  <w:vAlign w:val="center"/>
                </w:tcPr>
                <w:p>
                  <w:pPr>
                    <w:widowControl/>
                    <w:spacing w:before="12" w:beforeLines="5" w:after="12" w:afterLines="5"/>
                    <w:jc w:val="center"/>
                    <w:rPr>
                      <w:kern w:val="0"/>
                      <w:szCs w:val="21"/>
                    </w:rPr>
                  </w:pPr>
                </w:p>
              </w:tc>
              <w:tc>
                <w:tcPr>
                  <w:tcW w:w="372" w:type="pct"/>
                  <w:tcBorders>
                    <w:top w:val="nil"/>
                    <w:left w:val="nil"/>
                    <w:bottom w:val="single" w:color="auto" w:sz="4" w:space="0"/>
                    <w:right w:val="single" w:color="auto" w:sz="4" w:space="0"/>
                  </w:tcBorders>
                  <w:noWrap/>
                  <w:vAlign w:val="center"/>
                </w:tcPr>
                <w:p>
                  <w:pPr>
                    <w:widowControl/>
                    <w:spacing w:before="12" w:beforeLines="5" w:after="12" w:afterLines="5"/>
                    <w:jc w:val="center"/>
                    <w:rPr>
                      <w:kern w:val="0"/>
                      <w:szCs w:val="21"/>
                    </w:rPr>
                  </w:pPr>
                  <w:r>
                    <w:rPr>
                      <w:kern w:val="0"/>
                      <w:szCs w:val="21"/>
                    </w:rPr>
                    <w:t>2台</w:t>
                  </w:r>
                </w:p>
              </w:tc>
            </w:tr>
            <w:tr>
              <w:tc>
                <w:tcPr>
                  <w:tcW w:w="234" w:type="pct"/>
                  <w:tcBorders>
                    <w:top w:val="nil"/>
                    <w:left w:val="single" w:color="auto" w:sz="4" w:space="0"/>
                    <w:bottom w:val="single" w:color="auto" w:sz="4" w:space="0"/>
                    <w:right w:val="single" w:color="auto" w:sz="4" w:space="0"/>
                  </w:tcBorders>
                  <w:vAlign w:val="center"/>
                </w:tcPr>
                <w:p>
                  <w:pPr>
                    <w:widowControl/>
                    <w:spacing w:before="12" w:beforeLines="5" w:after="12" w:afterLines="5"/>
                    <w:jc w:val="center"/>
                    <w:rPr>
                      <w:kern w:val="0"/>
                      <w:szCs w:val="21"/>
                    </w:rPr>
                  </w:pPr>
                  <w:r>
                    <w:rPr>
                      <w:kern w:val="0"/>
                      <w:szCs w:val="21"/>
                    </w:rPr>
                    <w:t>18</w:t>
                  </w:r>
                </w:p>
              </w:tc>
              <w:tc>
                <w:tcPr>
                  <w:tcW w:w="2610" w:type="pct"/>
                  <w:tcBorders>
                    <w:top w:val="nil"/>
                    <w:left w:val="nil"/>
                    <w:bottom w:val="single" w:color="auto" w:sz="4" w:space="0"/>
                    <w:right w:val="single" w:color="auto" w:sz="4" w:space="0"/>
                  </w:tcBorders>
                  <w:vAlign w:val="center"/>
                </w:tcPr>
                <w:p>
                  <w:pPr>
                    <w:widowControl/>
                    <w:spacing w:before="12" w:beforeLines="5" w:after="12" w:afterLines="5"/>
                    <w:jc w:val="center"/>
                    <w:rPr>
                      <w:kern w:val="0"/>
                      <w:szCs w:val="21"/>
                    </w:rPr>
                  </w:pPr>
                  <w:r>
                    <w:rPr>
                      <w:kern w:val="0"/>
                      <w:szCs w:val="21"/>
                    </w:rPr>
                    <w:t>发电机组</w:t>
                  </w:r>
                </w:p>
              </w:tc>
              <w:tc>
                <w:tcPr>
                  <w:tcW w:w="1122" w:type="pct"/>
                  <w:tcBorders>
                    <w:top w:val="nil"/>
                    <w:left w:val="nil"/>
                    <w:bottom w:val="single" w:color="auto" w:sz="4" w:space="0"/>
                    <w:right w:val="single" w:color="auto" w:sz="4" w:space="0"/>
                  </w:tcBorders>
                  <w:vAlign w:val="center"/>
                </w:tcPr>
                <w:p>
                  <w:pPr>
                    <w:widowControl/>
                    <w:spacing w:before="12" w:beforeLines="5" w:after="12" w:afterLines="5"/>
                    <w:jc w:val="center"/>
                    <w:rPr>
                      <w:kern w:val="0"/>
                      <w:szCs w:val="21"/>
                    </w:rPr>
                  </w:pPr>
                  <w:r>
                    <w:rPr>
                      <w:kern w:val="0"/>
                      <w:szCs w:val="21"/>
                    </w:rPr>
                    <w:t>CAT3406</w:t>
                  </w:r>
                </w:p>
              </w:tc>
              <w:tc>
                <w:tcPr>
                  <w:tcW w:w="348" w:type="pct"/>
                  <w:tcBorders>
                    <w:top w:val="nil"/>
                    <w:left w:val="nil"/>
                    <w:bottom w:val="single" w:color="auto" w:sz="4" w:space="0"/>
                    <w:right w:val="single" w:color="auto" w:sz="4" w:space="0"/>
                  </w:tcBorders>
                  <w:noWrap/>
                  <w:vAlign w:val="center"/>
                </w:tcPr>
                <w:p>
                  <w:pPr>
                    <w:widowControl/>
                    <w:spacing w:before="12" w:beforeLines="5" w:after="12" w:afterLines="5"/>
                    <w:jc w:val="center"/>
                    <w:rPr>
                      <w:kern w:val="0"/>
                      <w:szCs w:val="21"/>
                    </w:rPr>
                  </w:pPr>
                  <w:r>
                    <w:rPr>
                      <w:kern w:val="0"/>
                      <w:szCs w:val="21"/>
                    </w:rPr>
                    <w:t>300</w:t>
                  </w:r>
                </w:p>
              </w:tc>
              <w:tc>
                <w:tcPr>
                  <w:tcW w:w="314" w:type="pct"/>
                  <w:tcBorders>
                    <w:top w:val="nil"/>
                    <w:left w:val="nil"/>
                    <w:bottom w:val="single" w:color="auto" w:sz="4" w:space="0"/>
                    <w:right w:val="single" w:color="auto" w:sz="4" w:space="0"/>
                  </w:tcBorders>
                  <w:noWrap/>
                  <w:vAlign w:val="center"/>
                </w:tcPr>
                <w:p>
                  <w:pPr>
                    <w:widowControl/>
                    <w:spacing w:before="12" w:beforeLines="5" w:after="12" w:afterLines="5"/>
                    <w:jc w:val="center"/>
                    <w:rPr>
                      <w:kern w:val="0"/>
                      <w:szCs w:val="21"/>
                    </w:rPr>
                  </w:pPr>
                  <w:r>
                    <w:rPr>
                      <w:kern w:val="0"/>
                      <w:szCs w:val="21"/>
                    </w:rPr>
                    <w:t>kW</w:t>
                  </w:r>
                </w:p>
              </w:tc>
              <w:tc>
                <w:tcPr>
                  <w:tcW w:w="372" w:type="pct"/>
                  <w:tcBorders>
                    <w:top w:val="nil"/>
                    <w:left w:val="nil"/>
                    <w:bottom w:val="single" w:color="auto" w:sz="4" w:space="0"/>
                    <w:right w:val="single" w:color="auto" w:sz="4" w:space="0"/>
                  </w:tcBorders>
                  <w:noWrap/>
                  <w:vAlign w:val="center"/>
                </w:tcPr>
                <w:p>
                  <w:pPr>
                    <w:widowControl/>
                    <w:spacing w:before="12" w:beforeLines="5" w:after="12" w:afterLines="5"/>
                    <w:jc w:val="center"/>
                    <w:rPr>
                      <w:kern w:val="0"/>
                      <w:szCs w:val="21"/>
                    </w:rPr>
                  </w:pPr>
                  <w:r>
                    <w:rPr>
                      <w:kern w:val="0"/>
                      <w:szCs w:val="21"/>
                    </w:rPr>
                    <w:t>2台</w:t>
                  </w:r>
                </w:p>
              </w:tc>
            </w:tr>
            <w:tr>
              <w:tblPrEx>
                <w:tblCellMar>
                  <w:top w:w="0" w:type="dxa"/>
                  <w:left w:w="0" w:type="dxa"/>
                  <w:bottom w:w="0" w:type="dxa"/>
                  <w:right w:w="0" w:type="dxa"/>
                </w:tblCellMar>
              </w:tblPrEx>
              <w:tc>
                <w:tcPr>
                  <w:tcW w:w="234" w:type="pct"/>
                  <w:tcBorders>
                    <w:top w:val="nil"/>
                    <w:left w:val="single" w:color="auto" w:sz="4" w:space="0"/>
                    <w:bottom w:val="single" w:color="auto" w:sz="4" w:space="0"/>
                    <w:right w:val="single" w:color="auto" w:sz="4" w:space="0"/>
                  </w:tcBorders>
                  <w:vAlign w:val="center"/>
                </w:tcPr>
                <w:p>
                  <w:pPr>
                    <w:widowControl/>
                    <w:spacing w:before="12" w:beforeLines="5" w:after="12" w:afterLines="5"/>
                    <w:jc w:val="center"/>
                    <w:rPr>
                      <w:kern w:val="0"/>
                      <w:szCs w:val="21"/>
                    </w:rPr>
                  </w:pPr>
                  <w:r>
                    <w:rPr>
                      <w:kern w:val="0"/>
                      <w:szCs w:val="21"/>
                    </w:rPr>
                    <w:t>19</w:t>
                  </w:r>
                </w:p>
              </w:tc>
              <w:tc>
                <w:tcPr>
                  <w:tcW w:w="2610" w:type="pct"/>
                  <w:tcBorders>
                    <w:top w:val="nil"/>
                    <w:left w:val="nil"/>
                    <w:bottom w:val="single" w:color="auto" w:sz="4" w:space="0"/>
                    <w:right w:val="single" w:color="auto" w:sz="4" w:space="0"/>
                  </w:tcBorders>
                  <w:vAlign w:val="center"/>
                </w:tcPr>
                <w:p>
                  <w:pPr>
                    <w:widowControl/>
                    <w:spacing w:before="12" w:beforeLines="5" w:after="12" w:afterLines="5"/>
                    <w:jc w:val="center"/>
                    <w:rPr>
                      <w:kern w:val="0"/>
                      <w:szCs w:val="21"/>
                    </w:rPr>
                  </w:pPr>
                  <w:r>
                    <w:rPr>
                      <w:kern w:val="0"/>
                      <w:szCs w:val="21"/>
                    </w:rPr>
                    <w:t>钻井仪表</w:t>
                  </w:r>
                </w:p>
              </w:tc>
              <w:tc>
                <w:tcPr>
                  <w:tcW w:w="1122" w:type="pct"/>
                  <w:tcBorders>
                    <w:top w:val="nil"/>
                    <w:left w:val="nil"/>
                    <w:bottom w:val="single" w:color="auto" w:sz="4" w:space="0"/>
                    <w:right w:val="single" w:color="auto" w:sz="4" w:space="0"/>
                  </w:tcBorders>
                  <w:vAlign w:val="center"/>
                </w:tcPr>
                <w:p>
                  <w:pPr>
                    <w:widowControl/>
                    <w:spacing w:before="12" w:beforeLines="5" w:after="12" w:afterLines="5"/>
                    <w:jc w:val="center"/>
                    <w:rPr>
                      <w:kern w:val="0"/>
                      <w:szCs w:val="21"/>
                    </w:rPr>
                  </w:pPr>
                  <w:r>
                    <w:rPr>
                      <w:kern w:val="0"/>
                      <w:szCs w:val="21"/>
                    </w:rPr>
                    <w:t>MD-TOTCO</w:t>
                  </w:r>
                </w:p>
              </w:tc>
              <w:tc>
                <w:tcPr>
                  <w:tcW w:w="348" w:type="pct"/>
                  <w:tcBorders>
                    <w:top w:val="nil"/>
                    <w:left w:val="nil"/>
                    <w:bottom w:val="single" w:color="auto" w:sz="4" w:space="0"/>
                    <w:right w:val="single" w:color="auto" w:sz="4" w:space="0"/>
                  </w:tcBorders>
                  <w:noWrap/>
                  <w:vAlign w:val="center"/>
                </w:tcPr>
                <w:p>
                  <w:pPr>
                    <w:widowControl/>
                    <w:spacing w:before="12" w:beforeLines="5" w:after="12" w:afterLines="5"/>
                    <w:jc w:val="center"/>
                    <w:rPr>
                      <w:kern w:val="0"/>
                      <w:szCs w:val="21"/>
                    </w:rPr>
                  </w:pPr>
                </w:p>
              </w:tc>
              <w:tc>
                <w:tcPr>
                  <w:tcW w:w="314" w:type="pct"/>
                  <w:tcBorders>
                    <w:top w:val="nil"/>
                    <w:left w:val="nil"/>
                    <w:bottom w:val="single" w:color="auto" w:sz="4" w:space="0"/>
                    <w:right w:val="single" w:color="auto" w:sz="4" w:space="0"/>
                  </w:tcBorders>
                  <w:noWrap/>
                  <w:vAlign w:val="center"/>
                </w:tcPr>
                <w:p>
                  <w:pPr>
                    <w:widowControl/>
                    <w:spacing w:before="12" w:beforeLines="5" w:after="12" w:afterLines="5"/>
                    <w:jc w:val="center"/>
                    <w:rPr>
                      <w:kern w:val="0"/>
                      <w:szCs w:val="21"/>
                    </w:rPr>
                  </w:pPr>
                </w:p>
              </w:tc>
              <w:tc>
                <w:tcPr>
                  <w:tcW w:w="372" w:type="pct"/>
                  <w:tcBorders>
                    <w:top w:val="nil"/>
                    <w:left w:val="nil"/>
                    <w:bottom w:val="single" w:color="auto" w:sz="4" w:space="0"/>
                    <w:right w:val="single" w:color="auto" w:sz="4" w:space="0"/>
                  </w:tcBorders>
                  <w:noWrap/>
                  <w:vAlign w:val="center"/>
                </w:tcPr>
                <w:p>
                  <w:pPr>
                    <w:widowControl/>
                    <w:spacing w:before="12" w:beforeLines="5" w:after="12" w:afterLines="5"/>
                    <w:jc w:val="center"/>
                    <w:rPr>
                      <w:kern w:val="0"/>
                      <w:szCs w:val="21"/>
                    </w:rPr>
                  </w:pPr>
                  <w:r>
                    <w:rPr>
                      <w:szCs w:val="21"/>
                    </w:rPr>
                    <w:t>1套</w:t>
                  </w:r>
                </w:p>
              </w:tc>
            </w:tr>
            <w:tr>
              <w:tblPrEx>
                <w:tblCellMar>
                  <w:top w:w="0" w:type="dxa"/>
                  <w:left w:w="0" w:type="dxa"/>
                  <w:bottom w:w="0" w:type="dxa"/>
                  <w:right w:w="0" w:type="dxa"/>
                </w:tblCellMar>
              </w:tblPrEx>
              <w:tc>
                <w:tcPr>
                  <w:tcW w:w="234" w:type="pct"/>
                  <w:tcBorders>
                    <w:top w:val="nil"/>
                    <w:left w:val="single" w:color="auto" w:sz="4" w:space="0"/>
                    <w:bottom w:val="single" w:color="auto" w:sz="4" w:space="0"/>
                    <w:right w:val="single" w:color="auto" w:sz="4" w:space="0"/>
                  </w:tcBorders>
                  <w:vAlign w:val="center"/>
                </w:tcPr>
                <w:p>
                  <w:pPr>
                    <w:widowControl/>
                    <w:spacing w:before="12" w:beforeLines="5" w:after="12" w:afterLines="5"/>
                    <w:jc w:val="center"/>
                    <w:rPr>
                      <w:kern w:val="0"/>
                      <w:szCs w:val="21"/>
                    </w:rPr>
                  </w:pPr>
                  <w:r>
                    <w:rPr>
                      <w:kern w:val="0"/>
                      <w:szCs w:val="21"/>
                    </w:rPr>
                    <w:t>20</w:t>
                  </w:r>
                </w:p>
              </w:tc>
              <w:tc>
                <w:tcPr>
                  <w:tcW w:w="2610" w:type="pct"/>
                  <w:tcBorders>
                    <w:top w:val="nil"/>
                    <w:left w:val="nil"/>
                    <w:bottom w:val="single" w:color="auto" w:sz="4" w:space="0"/>
                    <w:right w:val="single" w:color="auto" w:sz="4" w:space="0"/>
                  </w:tcBorders>
                  <w:vAlign w:val="center"/>
                </w:tcPr>
                <w:p>
                  <w:pPr>
                    <w:widowControl/>
                    <w:spacing w:before="12" w:beforeLines="5" w:after="12" w:afterLines="5"/>
                    <w:jc w:val="center"/>
                    <w:rPr>
                      <w:kern w:val="0"/>
                      <w:szCs w:val="21"/>
                    </w:rPr>
                  </w:pPr>
                  <w:r>
                    <w:rPr>
                      <w:kern w:val="0"/>
                      <w:szCs w:val="21"/>
                    </w:rPr>
                    <w:t>SCR系统/MCC系统</w:t>
                  </w:r>
                </w:p>
              </w:tc>
              <w:tc>
                <w:tcPr>
                  <w:tcW w:w="1122" w:type="pct"/>
                  <w:tcBorders>
                    <w:top w:val="nil"/>
                    <w:left w:val="nil"/>
                    <w:bottom w:val="single" w:color="auto" w:sz="4" w:space="0"/>
                    <w:right w:val="single" w:color="auto" w:sz="4" w:space="0"/>
                  </w:tcBorders>
                  <w:vAlign w:val="center"/>
                </w:tcPr>
                <w:p>
                  <w:pPr>
                    <w:widowControl/>
                    <w:spacing w:before="12" w:beforeLines="5" w:after="12" w:afterLines="5"/>
                    <w:jc w:val="center"/>
                    <w:rPr>
                      <w:kern w:val="0"/>
                      <w:szCs w:val="21"/>
                    </w:rPr>
                  </w:pPr>
                  <w:r>
                    <w:rPr>
                      <w:kern w:val="0"/>
                      <w:szCs w:val="21"/>
                    </w:rPr>
                    <w:t>ROSS HILL</w:t>
                  </w:r>
                </w:p>
              </w:tc>
              <w:tc>
                <w:tcPr>
                  <w:tcW w:w="348" w:type="pct"/>
                  <w:tcBorders>
                    <w:top w:val="nil"/>
                    <w:left w:val="nil"/>
                    <w:bottom w:val="single" w:color="auto" w:sz="4" w:space="0"/>
                    <w:right w:val="single" w:color="auto" w:sz="4" w:space="0"/>
                  </w:tcBorders>
                  <w:noWrap/>
                  <w:vAlign w:val="center"/>
                </w:tcPr>
                <w:p>
                  <w:pPr>
                    <w:widowControl/>
                    <w:spacing w:before="12" w:beforeLines="5" w:after="12" w:afterLines="5"/>
                    <w:jc w:val="center"/>
                    <w:rPr>
                      <w:kern w:val="0"/>
                      <w:szCs w:val="21"/>
                    </w:rPr>
                  </w:pPr>
                </w:p>
              </w:tc>
              <w:tc>
                <w:tcPr>
                  <w:tcW w:w="314" w:type="pct"/>
                  <w:tcBorders>
                    <w:top w:val="nil"/>
                    <w:left w:val="nil"/>
                    <w:bottom w:val="single" w:color="auto" w:sz="4" w:space="0"/>
                    <w:right w:val="single" w:color="auto" w:sz="4" w:space="0"/>
                  </w:tcBorders>
                  <w:noWrap/>
                  <w:vAlign w:val="center"/>
                </w:tcPr>
                <w:p>
                  <w:pPr>
                    <w:widowControl/>
                    <w:spacing w:before="12" w:beforeLines="5" w:after="12" w:afterLines="5"/>
                    <w:jc w:val="center"/>
                    <w:rPr>
                      <w:kern w:val="0"/>
                      <w:szCs w:val="21"/>
                    </w:rPr>
                  </w:pPr>
                </w:p>
              </w:tc>
              <w:tc>
                <w:tcPr>
                  <w:tcW w:w="372" w:type="pct"/>
                  <w:tcBorders>
                    <w:top w:val="nil"/>
                    <w:left w:val="nil"/>
                    <w:bottom w:val="single" w:color="auto" w:sz="4" w:space="0"/>
                    <w:right w:val="single" w:color="auto" w:sz="4" w:space="0"/>
                  </w:tcBorders>
                  <w:noWrap/>
                  <w:vAlign w:val="center"/>
                </w:tcPr>
                <w:p>
                  <w:pPr>
                    <w:widowControl/>
                    <w:spacing w:before="12" w:beforeLines="5" w:after="12" w:afterLines="5"/>
                    <w:jc w:val="center"/>
                    <w:rPr>
                      <w:kern w:val="0"/>
                      <w:szCs w:val="21"/>
                    </w:rPr>
                  </w:pPr>
                  <w:r>
                    <w:rPr>
                      <w:kern w:val="0"/>
                      <w:szCs w:val="21"/>
                    </w:rPr>
                    <w:t>2台</w:t>
                  </w:r>
                </w:p>
              </w:tc>
            </w:tr>
            <w:tr>
              <w:tblPrEx>
                <w:tblCellMar>
                  <w:top w:w="0" w:type="dxa"/>
                  <w:left w:w="0" w:type="dxa"/>
                  <w:bottom w:w="0" w:type="dxa"/>
                  <w:right w:w="0" w:type="dxa"/>
                </w:tblCellMar>
              </w:tblPrEx>
              <w:tc>
                <w:tcPr>
                  <w:tcW w:w="234" w:type="pct"/>
                  <w:tcBorders>
                    <w:top w:val="nil"/>
                    <w:left w:val="single" w:color="auto" w:sz="4" w:space="0"/>
                    <w:bottom w:val="single" w:color="auto" w:sz="4" w:space="0"/>
                    <w:right w:val="single" w:color="auto" w:sz="4" w:space="0"/>
                  </w:tcBorders>
                  <w:vAlign w:val="center"/>
                </w:tcPr>
                <w:p>
                  <w:pPr>
                    <w:widowControl/>
                    <w:spacing w:before="12" w:beforeLines="5" w:after="12" w:afterLines="5"/>
                    <w:jc w:val="center"/>
                    <w:rPr>
                      <w:kern w:val="0"/>
                      <w:szCs w:val="21"/>
                    </w:rPr>
                  </w:pPr>
                  <w:r>
                    <w:rPr>
                      <w:kern w:val="0"/>
                      <w:szCs w:val="21"/>
                    </w:rPr>
                    <w:t>21</w:t>
                  </w:r>
                </w:p>
              </w:tc>
              <w:tc>
                <w:tcPr>
                  <w:tcW w:w="2610" w:type="pct"/>
                  <w:tcBorders>
                    <w:top w:val="nil"/>
                    <w:left w:val="nil"/>
                    <w:bottom w:val="single" w:color="auto" w:sz="4" w:space="0"/>
                    <w:right w:val="single" w:color="auto" w:sz="4" w:space="0"/>
                  </w:tcBorders>
                  <w:noWrap/>
                  <w:vAlign w:val="center"/>
                </w:tcPr>
                <w:p>
                  <w:pPr>
                    <w:widowControl/>
                    <w:spacing w:before="12" w:beforeLines="5" w:after="12" w:afterLines="5"/>
                    <w:jc w:val="center"/>
                    <w:rPr>
                      <w:kern w:val="0"/>
                      <w:szCs w:val="21"/>
                    </w:rPr>
                  </w:pPr>
                  <w:r>
                    <w:rPr>
                      <w:kern w:val="0"/>
                      <w:szCs w:val="21"/>
                    </w:rPr>
                    <w:t>气源房</w:t>
                  </w:r>
                </w:p>
              </w:tc>
              <w:tc>
                <w:tcPr>
                  <w:tcW w:w="1122" w:type="pct"/>
                  <w:tcBorders>
                    <w:top w:val="nil"/>
                    <w:left w:val="nil"/>
                    <w:bottom w:val="single" w:color="auto" w:sz="4" w:space="0"/>
                    <w:right w:val="single" w:color="auto" w:sz="4" w:space="0"/>
                  </w:tcBorders>
                  <w:noWrap/>
                  <w:vAlign w:val="center"/>
                </w:tcPr>
                <w:p>
                  <w:pPr>
                    <w:widowControl/>
                    <w:spacing w:before="12" w:beforeLines="5" w:after="12" w:afterLines="5"/>
                    <w:jc w:val="center"/>
                    <w:rPr>
                      <w:kern w:val="0"/>
                      <w:szCs w:val="21"/>
                    </w:rPr>
                  </w:pPr>
                </w:p>
              </w:tc>
              <w:tc>
                <w:tcPr>
                  <w:tcW w:w="348" w:type="pct"/>
                  <w:tcBorders>
                    <w:top w:val="nil"/>
                    <w:left w:val="nil"/>
                    <w:bottom w:val="single" w:color="auto" w:sz="4" w:space="0"/>
                    <w:right w:val="single" w:color="auto" w:sz="4" w:space="0"/>
                  </w:tcBorders>
                  <w:noWrap/>
                  <w:vAlign w:val="center"/>
                </w:tcPr>
                <w:p>
                  <w:pPr>
                    <w:widowControl/>
                    <w:spacing w:before="12" w:beforeLines="5" w:after="12" w:afterLines="5"/>
                    <w:jc w:val="center"/>
                    <w:rPr>
                      <w:kern w:val="0"/>
                      <w:szCs w:val="21"/>
                    </w:rPr>
                  </w:pPr>
                </w:p>
              </w:tc>
              <w:tc>
                <w:tcPr>
                  <w:tcW w:w="314" w:type="pct"/>
                  <w:tcBorders>
                    <w:top w:val="nil"/>
                    <w:left w:val="nil"/>
                    <w:bottom w:val="single" w:color="auto" w:sz="4" w:space="0"/>
                    <w:right w:val="single" w:color="auto" w:sz="4" w:space="0"/>
                  </w:tcBorders>
                  <w:noWrap/>
                  <w:vAlign w:val="center"/>
                </w:tcPr>
                <w:p>
                  <w:pPr>
                    <w:widowControl/>
                    <w:spacing w:before="12" w:beforeLines="5" w:after="12" w:afterLines="5"/>
                    <w:jc w:val="center"/>
                    <w:rPr>
                      <w:kern w:val="0"/>
                      <w:szCs w:val="21"/>
                    </w:rPr>
                  </w:pPr>
                </w:p>
              </w:tc>
              <w:tc>
                <w:tcPr>
                  <w:tcW w:w="372" w:type="pct"/>
                  <w:tcBorders>
                    <w:top w:val="nil"/>
                    <w:left w:val="nil"/>
                    <w:bottom w:val="single" w:color="auto" w:sz="4" w:space="0"/>
                    <w:right w:val="single" w:color="auto" w:sz="4" w:space="0"/>
                  </w:tcBorders>
                  <w:noWrap/>
                  <w:vAlign w:val="center"/>
                </w:tcPr>
                <w:p>
                  <w:pPr>
                    <w:widowControl/>
                    <w:spacing w:before="12" w:beforeLines="5" w:after="12" w:afterLines="5"/>
                    <w:jc w:val="center"/>
                    <w:rPr>
                      <w:kern w:val="0"/>
                      <w:szCs w:val="21"/>
                    </w:rPr>
                  </w:pPr>
                  <w:r>
                    <w:rPr>
                      <w:szCs w:val="21"/>
                    </w:rPr>
                    <w:t>1套</w:t>
                  </w:r>
                </w:p>
              </w:tc>
            </w:tr>
            <w:tr>
              <w:tblPrEx>
                <w:tblCellMar>
                  <w:top w:w="0" w:type="dxa"/>
                  <w:left w:w="0" w:type="dxa"/>
                  <w:bottom w:w="0" w:type="dxa"/>
                  <w:right w:w="0" w:type="dxa"/>
                </w:tblCellMar>
              </w:tblPrEx>
              <w:tc>
                <w:tcPr>
                  <w:tcW w:w="234" w:type="pct"/>
                  <w:tcBorders>
                    <w:top w:val="nil"/>
                    <w:left w:val="single" w:color="auto" w:sz="4" w:space="0"/>
                    <w:bottom w:val="single" w:color="auto" w:sz="4" w:space="0"/>
                    <w:right w:val="single" w:color="auto" w:sz="4" w:space="0"/>
                  </w:tcBorders>
                  <w:vAlign w:val="center"/>
                </w:tcPr>
                <w:p>
                  <w:pPr>
                    <w:widowControl/>
                    <w:spacing w:before="12" w:beforeLines="5" w:after="12" w:afterLines="5"/>
                    <w:jc w:val="center"/>
                    <w:rPr>
                      <w:kern w:val="0"/>
                      <w:szCs w:val="21"/>
                    </w:rPr>
                  </w:pPr>
                  <w:r>
                    <w:rPr>
                      <w:kern w:val="0"/>
                      <w:szCs w:val="21"/>
                    </w:rPr>
                    <w:t>22</w:t>
                  </w:r>
                </w:p>
              </w:tc>
              <w:tc>
                <w:tcPr>
                  <w:tcW w:w="2610" w:type="pct"/>
                  <w:tcBorders>
                    <w:top w:val="nil"/>
                    <w:left w:val="nil"/>
                    <w:bottom w:val="single" w:color="auto" w:sz="4" w:space="0"/>
                    <w:right w:val="single" w:color="auto" w:sz="4" w:space="0"/>
                  </w:tcBorders>
                  <w:noWrap/>
                  <w:vAlign w:val="center"/>
                </w:tcPr>
                <w:p>
                  <w:pPr>
                    <w:widowControl/>
                    <w:spacing w:before="12" w:beforeLines="5" w:after="12" w:afterLines="5"/>
                    <w:jc w:val="center"/>
                    <w:rPr>
                      <w:kern w:val="0"/>
                      <w:szCs w:val="21"/>
                    </w:rPr>
                  </w:pPr>
                  <w:r>
                    <w:rPr>
                      <w:kern w:val="0"/>
                      <w:szCs w:val="21"/>
                    </w:rPr>
                    <w:t>顶部驱动钻井系统</w:t>
                  </w:r>
                </w:p>
              </w:tc>
              <w:tc>
                <w:tcPr>
                  <w:tcW w:w="1122" w:type="pct"/>
                  <w:tcBorders>
                    <w:top w:val="nil"/>
                    <w:left w:val="nil"/>
                    <w:bottom w:val="single" w:color="auto" w:sz="4" w:space="0"/>
                    <w:right w:val="single" w:color="auto" w:sz="4" w:space="0"/>
                  </w:tcBorders>
                  <w:noWrap/>
                  <w:vAlign w:val="center"/>
                </w:tcPr>
                <w:p>
                  <w:pPr>
                    <w:widowControl/>
                    <w:spacing w:before="12" w:beforeLines="5" w:after="12" w:afterLines="5"/>
                    <w:jc w:val="center"/>
                    <w:rPr>
                      <w:kern w:val="0"/>
                      <w:szCs w:val="21"/>
                    </w:rPr>
                  </w:pPr>
                </w:p>
              </w:tc>
              <w:tc>
                <w:tcPr>
                  <w:tcW w:w="348" w:type="pct"/>
                  <w:tcBorders>
                    <w:top w:val="nil"/>
                    <w:left w:val="nil"/>
                    <w:bottom w:val="single" w:color="auto" w:sz="4" w:space="0"/>
                    <w:right w:val="single" w:color="auto" w:sz="4" w:space="0"/>
                  </w:tcBorders>
                  <w:noWrap/>
                  <w:vAlign w:val="center"/>
                </w:tcPr>
                <w:p>
                  <w:pPr>
                    <w:widowControl/>
                    <w:spacing w:before="12" w:beforeLines="5" w:after="12" w:afterLines="5"/>
                    <w:jc w:val="center"/>
                    <w:rPr>
                      <w:kern w:val="0"/>
                      <w:szCs w:val="21"/>
                    </w:rPr>
                  </w:pPr>
                </w:p>
              </w:tc>
              <w:tc>
                <w:tcPr>
                  <w:tcW w:w="314" w:type="pct"/>
                  <w:tcBorders>
                    <w:top w:val="nil"/>
                    <w:left w:val="nil"/>
                    <w:bottom w:val="single" w:color="auto" w:sz="4" w:space="0"/>
                    <w:right w:val="single" w:color="auto" w:sz="4" w:space="0"/>
                  </w:tcBorders>
                  <w:noWrap/>
                  <w:vAlign w:val="center"/>
                </w:tcPr>
                <w:p>
                  <w:pPr>
                    <w:widowControl/>
                    <w:spacing w:before="12" w:beforeLines="5" w:after="12" w:afterLines="5"/>
                    <w:jc w:val="center"/>
                    <w:rPr>
                      <w:kern w:val="0"/>
                      <w:szCs w:val="21"/>
                    </w:rPr>
                  </w:pPr>
                </w:p>
              </w:tc>
              <w:tc>
                <w:tcPr>
                  <w:tcW w:w="372" w:type="pct"/>
                  <w:tcBorders>
                    <w:top w:val="nil"/>
                    <w:left w:val="nil"/>
                    <w:bottom w:val="single" w:color="auto" w:sz="4" w:space="0"/>
                    <w:right w:val="single" w:color="auto" w:sz="4" w:space="0"/>
                  </w:tcBorders>
                  <w:noWrap/>
                  <w:vAlign w:val="center"/>
                </w:tcPr>
                <w:p>
                  <w:pPr>
                    <w:widowControl/>
                    <w:spacing w:before="12" w:beforeLines="5" w:after="12" w:afterLines="5"/>
                    <w:jc w:val="center"/>
                    <w:rPr>
                      <w:kern w:val="0"/>
                      <w:szCs w:val="21"/>
                    </w:rPr>
                  </w:pPr>
                  <w:r>
                    <w:rPr>
                      <w:kern w:val="0"/>
                      <w:szCs w:val="21"/>
                    </w:rPr>
                    <w:t>1套</w:t>
                  </w:r>
                </w:p>
              </w:tc>
            </w:tr>
            <w:tr>
              <w:tblPrEx>
                <w:tblCellMar>
                  <w:top w:w="0" w:type="dxa"/>
                  <w:left w:w="0" w:type="dxa"/>
                  <w:bottom w:w="0" w:type="dxa"/>
                  <w:right w:w="0" w:type="dxa"/>
                </w:tblCellMar>
              </w:tblPrEx>
              <w:tc>
                <w:tcPr>
                  <w:tcW w:w="234" w:type="pct"/>
                  <w:tcBorders>
                    <w:top w:val="nil"/>
                    <w:left w:val="single" w:color="auto" w:sz="4" w:space="0"/>
                    <w:bottom w:val="single" w:color="auto" w:sz="4" w:space="0"/>
                    <w:right w:val="single" w:color="auto" w:sz="4" w:space="0"/>
                  </w:tcBorders>
                  <w:vAlign w:val="center"/>
                </w:tcPr>
                <w:p>
                  <w:pPr>
                    <w:widowControl/>
                    <w:spacing w:before="12" w:beforeLines="5" w:after="12" w:afterLines="5"/>
                    <w:jc w:val="center"/>
                    <w:rPr>
                      <w:kern w:val="0"/>
                      <w:szCs w:val="21"/>
                    </w:rPr>
                  </w:pPr>
                  <w:r>
                    <w:rPr>
                      <w:kern w:val="0"/>
                      <w:szCs w:val="21"/>
                    </w:rPr>
                    <w:t>二</w:t>
                  </w:r>
                </w:p>
              </w:tc>
              <w:tc>
                <w:tcPr>
                  <w:tcW w:w="2610" w:type="pct"/>
                  <w:tcBorders>
                    <w:top w:val="nil"/>
                    <w:left w:val="nil"/>
                    <w:bottom w:val="single" w:color="auto" w:sz="4" w:space="0"/>
                    <w:right w:val="single" w:color="auto" w:sz="4" w:space="0"/>
                  </w:tcBorders>
                  <w:vAlign w:val="center"/>
                </w:tcPr>
                <w:p>
                  <w:pPr>
                    <w:widowControl/>
                    <w:spacing w:before="12" w:beforeLines="5" w:after="12" w:afterLines="5"/>
                    <w:jc w:val="center"/>
                    <w:rPr>
                      <w:b/>
                      <w:bCs/>
                      <w:kern w:val="0"/>
                      <w:szCs w:val="21"/>
                    </w:rPr>
                  </w:pPr>
                  <w:r>
                    <w:rPr>
                      <w:b/>
                      <w:bCs/>
                      <w:kern w:val="0"/>
                      <w:szCs w:val="21"/>
                    </w:rPr>
                    <w:t>救生及消防</w:t>
                  </w:r>
                </w:p>
              </w:tc>
              <w:tc>
                <w:tcPr>
                  <w:tcW w:w="2157" w:type="pct"/>
                  <w:gridSpan w:val="4"/>
                  <w:tcBorders>
                    <w:top w:val="single" w:color="auto" w:sz="4" w:space="0"/>
                    <w:left w:val="nil"/>
                    <w:bottom w:val="single" w:color="auto" w:sz="4" w:space="0"/>
                    <w:right w:val="single" w:color="auto" w:sz="4" w:space="0"/>
                  </w:tcBorders>
                  <w:vAlign w:val="center"/>
                </w:tcPr>
                <w:p>
                  <w:pPr>
                    <w:widowControl/>
                    <w:spacing w:before="12" w:beforeLines="5" w:after="12" w:afterLines="5"/>
                    <w:jc w:val="center"/>
                    <w:rPr>
                      <w:kern w:val="0"/>
                      <w:szCs w:val="21"/>
                    </w:rPr>
                  </w:pPr>
                </w:p>
              </w:tc>
            </w:tr>
            <w:tr>
              <w:tblPrEx>
                <w:tblCellMar>
                  <w:top w:w="0" w:type="dxa"/>
                  <w:left w:w="0" w:type="dxa"/>
                  <w:bottom w:w="0" w:type="dxa"/>
                  <w:right w:w="0" w:type="dxa"/>
                </w:tblCellMar>
              </w:tblPrEx>
              <w:tc>
                <w:tcPr>
                  <w:tcW w:w="234" w:type="pct"/>
                  <w:tcBorders>
                    <w:top w:val="nil"/>
                    <w:left w:val="single" w:color="auto" w:sz="4" w:space="0"/>
                    <w:bottom w:val="single" w:color="auto" w:sz="4" w:space="0"/>
                    <w:right w:val="single" w:color="auto" w:sz="4" w:space="0"/>
                  </w:tcBorders>
                  <w:vAlign w:val="center"/>
                </w:tcPr>
                <w:p>
                  <w:pPr>
                    <w:widowControl/>
                    <w:spacing w:before="12" w:beforeLines="5" w:after="12" w:afterLines="5"/>
                    <w:jc w:val="center"/>
                    <w:rPr>
                      <w:kern w:val="0"/>
                      <w:szCs w:val="21"/>
                    </w:rPr>
                  </w:pPr>
                  <w:r>
                    <w:rPr>
                      <w:kern w:val="0"/>
                      <w:szCs w:val="21"/>
                    </w:rPr>
                    <w:t>1</w:t>
                  </w:r>
                </w:p>
              </w:tc>
              <w:tc>
                <w:tcPr>
                  <w:tcW w:w="2610" w:type="pct"/>
                  <w:tcBorders>
                    <w:top w:val="nil"/>
                    <w:left w:val="nil"/>
                    <w:bottom w:val="single" w:color="auto" w:sz="4" w:space="0"/>
                    <w:right w:val="single" w:color="auto" w:sz="4" w:space="0"/>
                  </w:tcBorders>
                  <w:vAlign w:val="center"/>
                </w:tcPr>
                <w:p>
                  <w:pPr>
                    <w:widowControl/>
                    <w:spacing w:before="12" w:beforeLines="5" w:after="12" w:afterLines="5"/>
                    <w:jc w:val="center"/>
                    <w:rPr>
                      <w:kern w:val="0"/>
                      <w:szCs w:val="21"/>
                    </w:rPr>
                  </w:pPr>
                  <w:r>
                    <w:rPr>
                      <w:kern w:val="0"/>
                      <w:szCs w:val="21"/>
                    </w:rPr>
                    <w:t>消防房及消防工具</w:t>
                  </w:r>
                </w:p>
              </w:tc>
              <w:tc>
                <w:tcPr>
                  <w:tcW w:w="1122" w:type="pct"/>
                  <w:tcBorders>
                    <w:top w:val="nil"/>
                    <w:left w:val="nil"/>
                    <w:bottom w:val="single" w:color="auto" w:sz="4" w:space="0"/>
                    <w:right w:val="single" w:color="auto" w:sz="4" w:space="0"/>
                  </w:tcBorders>
                  <w:vAlign w:val="center"/>
                </w:tcPr>
                <w:p>
                  <w:pPr>
                    <w:widowControl/>
                    <w:spacing w:before="12" w:beforeLines="5" w:after="12" w:afterLines="5"/>
                    <w:jc w:val="center"/>
                    <w:rPr>
                      <w:kern w:val="0"/>
                      <w:szCs w:val="21"/>
                    </w:rPr>
                  </w:pPr>
                  <w:r>
                    <w:rPr>
                      <w:kern w:val="0"/>
                      <w:szCs w:val="21"/>
                    </w:rPr>
                    <w:t>6.5×2.5×2.6</w:t>
                  </w:r>
                </w:p>
              </w:tc>
              <w:tc>
                <w:tcPr>
                  <w:tcW w:w="348" w:type="pct"/>
                  <w:tcBorders>
                    <w:top w:val="nil"/>
                    <w:left w:val="nil"/>
                    <w:bottom w:val="single" w:color="auto" w:sz="4" w:space="0"/>
                    <w:right w:val="single" w:color="auto" w:sz="4" w:space="0"/>
                  </w:tcBorders>
                  <w:vAlign w:val="center"/>
                </w:tcPr>
                <w:p>
                  <w:pPr>
                    <w:widowControl/>
                    <w:spacing w:before="12" w:beforeLines="5" w:after="12" w:afterLines="5"/>
                    <w:jc w:val="center"/>
                    <w:rPr>
                      <w:kern w:val="0"/>
                      <w:szCs w:val="21"/>
                    </w:rPr>
                  </w:pPr>
                </w:p>
              </w:tc>
              <w:tc>
                <w:tcPr>
                  <w:tcW w:w="314" w:type="pct"/>
                  <w:tcBorders>
                    <w:top w:val="nil"/>
                    <w:left w:val="nil"/>
                    <w:bottom w:val="single" w:color="auto" w:sz="4" w:space="0"/>
                    <w:right w:val="single" w:color="auto" w:sz="4" w:space="0"/>
                  </w:tcBorders>
                  <w:vAlign w:val="center"/>
                </w:tcPr>
                <w:p>
                  <w:pPr>
                    <w:widowControl/>
                    <w:spacing w:before="12" w:beforeLines="5" w:after="12" w:afterLines="5"/>
                    <w:jc w:val="center"/>
                    <w:rPr>
                      <w:kern w:val="0"/>
                      <w:szCs w:val="21"/>
                    </w:rPr>
                  </w:pPr>
                  <w:r>
                    <w:rPr>
                      <w:kern w:val="0"/>
                      <w:szCs w:val="21"/>
                    </w:rPr>
                    <w:t>套</w:t>
                  </w:r>
                </w:p>
              </w:tc>
              <w:tc>
                <w:tcPr>
                  <w:tcW w:w="372" w:type="pct"/>
                  <w:tcBorders>
                    <w:top w:val="nil"/>
                    <w:left w:val="nil"/>
                    <w:bottom w:val="single" w:color="auto" w:sz="4" w:space="0"/>
                    <w:right w:val="single" w:color="auto" w:sz="4" w:space="0"/>
                  </w:tcBorders>
                </w:tcPr>
                <w:p>
                  <w:pPr>
                    <w:spacing w:before="12" w:beforeLines="5" w:after="12" w:afterLines="5"/>
                    <w:jc w:val="center"/>
                    <w:rPr>
                      <w:szCs w:val="21"/>
                    </w:rPr>
                  </w:pPr>
                  <w:r>
                    <w:rPr>
                      <w:kern w:val="0"/>
                      <w:szCs w:val="21"/>
                    </w:rPr>
                    <w:t>1套</w:t>
                  </w:r>
                </w:p>
              </w:tc>
            </w:tr>
            <w:tr>
              <w:tblPrEx>
                <w:tblCellMar>
                  <w:top w:w="0" w:type="dxa"/>
                  <w:left w:w="0" w:type="dxa"/>
                  <w:bottom w:w="0" w:type="dxa"/>
                  <w:right w:w="0" w:type="dxa"/>
                </w:tblCellMar>
              </w:tblPrEx>
              <w:tc>
                <w:tcPr>
                  <w:tcW w:w="234" w:type="pct"/>
                  <w:tcBorders>
                    <w:top w:val="nil"/>
                    <w:left w:val="single" w:color="auto" w:sz="4" w:space="0"/>
                    <w:bottom w:val="single" w:color="auto" w:sz="4" w:space="0"/>
                    <w:right w:val="single" w:color="auto" w:sz="4" w:space="0"/>
                  </w:tcBorders>
                  <w:vAlign w:val="center"/>
                </w:tcPr>
                <w:p>
                  <w:pPr>
                    <w:widowControl/>
                    <w:spacing w:before="12" w:beforeLines="5" w:after="12" w:afterLines="5"/>
                    <w:jc w:val="center"/>
                    <w:rPr>
                      <w:kern w:val="0"/>
                      <w:szCs w:val="21"/>
                    </w:rPr>
                  </w:pPr>
                  <w:r>
                    <w:rPr>
                      <w:kern w:val="0"/>
                      <w:szCs w:val="21"/>
                    </w:rPr>
                    <w:t>2</w:t>
                  </w:r>
                </w:p>
              </w:tc>
              <w:tc>
                <w:tcPr>
                  <w:tcW w:w="2610" w:type="pct"/>
                  <w:tcBorders>
                    <w:top w:val="nil"/>
                    <w:left w:val="nil"/>
                    <w:bottom w:val="single" w:color="auto" w:sz="4" w:space="0"/>
                    <w:right w:val="single" w:color="auto" w:sz="4" w:space="0"/>
                  </w:tcBorders>
                  <w:vAlign w:val="center"/>
                </w:tcPr>
                <w:p>
                  <w:pPr>
                    <w:widowControl/>
                    <w:spacing w:before="12" w:beforeLines="5" w:after="12" w:afterLines="5"/>
                    <w:jc w:val="center"/>
                    <w:rPr>
                      <w:kern w:val="0"/>
                      <w:szCs w:val="21"/>
                    </w:rPr>
                  </w:pPr>
                  <w:r>
                    <w:rPr>
                      <w:kern w:val="0"/>
                      <w:szCs w:val="21"/>
                    </w:rPr>
                    <w:t>二层台逃生装置</w:t>
                  </w:r>
                </w:p>
              </w:tc>
              <w:tc>
                <w:tcPr>
                  <w:tcW w:w="1122" w:type="pct"/>
                  <w:tcBorders>
                    <w:top w:val="nil"/>
                    <w:left w:val="nil"/>
                    <w:bottom w:val="single" w:color="auto" w:sz="4" w:space="0"/>
                    <w:right w:val="single" w:color="auto" w:sz="4" w:space="0"/>
                  </w:tcBorders>
                  <w:vAlign w:val="center"/>
                </w:tcPr>
                <w:p>
                  <w:pPr>
                    <w:widowControl/>
                    <w:spacing w:before="12" w:beforeLines="5" w:after="12" w:afterLines="5"/>
                    <w:jc w:val="center"/>
                    <w:rPr>
                      <w:kern w:val="0"/>
                      <w:szCs w:val="21"/>
                    </w:rPr>
                  </w:pPr>
                </w:p>
              </w:tc>
              <w:tc>
                <w:tcPr>
                  <w:tcW w:w="348" w:type="pct"/>
                  <w:tcBorders>
                    <w:top w:val="nil"/>
                    <w:left w:val="nil"/>
                    <w:bottom w:val="single" w:color="auto" w:sz="4" w:space="0"/>
                    <w:right w:val="single" w:color="auto" w:sz="4" w:space="0"/>
                  </w:tcBorders>
                  <w:vAlign w:val="center"/>
                </w:tcPr>
                <w:p>
                  <w:pPr>
                    <w:widowControl/>
                    <w:spacing w:before="12" w:beforeLines="5" w:after="12" w:afterLines="5"/>
                    <w:jc w:val="center"/>
                    <w:rPr>
                      <w:kern w:val="0"/>
                      <w:szCs w:val="21"/>
                    </w:rPr>
                  </w:pPr>
                </w:p>
              </w:tc>
              <w:tc>
                <w:tcPr>
                  <w:tcW w:w="314" w:type="pct"/>
                  <w:tcBorders>
                    <w:top w:val="nil"/>
                    <w:left w:val="nil"/>
                    <w:bottom w:val="single" w:color="auto" w:sz="4" w:space="0"/>
                    <w:right w:val="single" w:color="auto" w:sz="4" w:space="0"/>
                  </w:tcBorders>
                  <w:vAlign w:val="center"/>
                </w:tcPr>
                <w:p>
                  <w:pPr>
                    <w:widowControl/>
                    <w:spacing w:before="12" w:beforeLines="5" w:after="12" w:afterLines="5"/>
                    <w:jc w:val="center"/>
                    <w:rPr>
                      <w:kern w:val="0"/>
                      <w:szCs w:val="21"/>
                    </w:rPr>
                  </w:pPr>
                  <w:r>
                    <w:rPr>
                      <w:kern w:val="0"/>
                      <w:szCs w:val="21"/>
                    </w:rPr>
                    <w:t>套</w:t>
                  </w:r>
                </w:p>
              </w:tc>
              <w:tc>
                <w:tcPr>
                  <w:tcW w:w="372" w:type="pct"/>
                  <w:tcBorders>
                    <w:top w:val="nil"/>
                    <w:left w:val="nil"/>
                    <w:bottom w:val="single" w:color="auto" w:sz="4" w:space="0"/>
                    <w:right w:val="single" w:color="auto" w:sz="4" w:space="0"/>
                  </w:tcBorders>
                </w:tcPr>
                <w:p>
                  <w:pPr>
                    <w:spacing w:before="12" w:beforeLines="5" w:after="12" w:afterLines="5"/>
                    <w:jc w:val="center"/>
                    <w:rPr>
                      <w:szCs w:val="21"/>
                    </w:rPr>
                  </w:pPr>
                  <w:r>
                    <w:rPr>
                      <w:kern w:val="0"/>
                      <w:szCs w:val="21"/>
                    </w:rPr>
                    <w:t>1套</w:t>
                  </w:r>
                </w:p>
              </w:tc>
            </w:tr>
            <w:tr>
              <w:tblPrEx>
                <w:tblCellMar>
                  <w:top w:w="0" w:type="dxa"/>
                  <w:left w:w="0" w:type="dxa"/>
                  <w:bottom w:w="0" w:type="dxa"/>
                  <w:right w:w="0" w:type="dxa"/>
                </w:tblCellMar>
              </w:tblPrEx>
              <w:tc>
                <w:tcPr>
                  <w:tcW w:w="234" w:type="pct"/>
                  <w:tcBorders>
                    <w:top w:val="nil"/>
                    <w:left w:val="single" w:color="auto" w:sz="4" w:space="0"/>
                    <w:bottom w:val="single" w:color="auto" w:sz="4" w:space="0"/>
                    <w:right w:val="single" w:color="auto" w:sz="4" w:space="0"/>
                  </w:tcBorders>
                  <w:vAlign w:val="center"/>
                </w:tcPr>
                <w:p>
                  <w:pPr>
                    <w:widowControl/>
                    <w:spacing w:before="12" w:beforeLines="5" w:after="12" w:afterLines="5"/>
                    <w:jc w:val="center"/>
                    <w:rPr>
                      <w:kern w:val="0"/>
                      <w:szCs w:val="21"/>
                    </w:rPr>
                  </w:pPr>
                  <w:r>
                    <w:rPr>
                      <w:kern w:val="0"/>
                      <w:szCs w:val="21"/>
                    </w:rPr>
                    <w:t>3</w:t>
                  </w:r>
                </w:p>
              </w:tc>
              <w:tc>
                <w:tcPr>
                  <w:tcW w:w="2610" w:type="pct"/>
                  <w:tcBorders>
                    <w:top w:val="nil"/>
                    <w:left w:val="nil"/>
                    <w:bottom w:val="single" w:color="auto" w:sz="4" w:space="0"/>
                    <w:right w:val="single" w:color="auto" w:sz="4" w:space="0"/>
                  </w:tcBorders>
                  <w:vAlign w:val="center"/>
                </w:tcPr>
                <w:p>
                  <w:pPr>
                    <w:widowControl/>
                    <w:spacing w:before="12" w:beforeLines="5" w:after="12" w:afterLines="5"/>
                    <w:jc w:val="center"/>
                    <w:rPr>
                      <w:kern w:val="0"/>
                      <w:szCs w:val="21"/>
                    </w:rPr>
                  </w:pPr>
                  <w:r>
                    <w:rPr>
                      <w:kern w:val="0"/>
                      <w:szCs w:val="21"/>
                    </w:rPr>
                    <w:t>钻台紧急滑道</w:t>
                  </w:r>
                </w:p>
              </w:tc>
              <w:tc>
                <w:tcPr>
                  <w:tcW w:w="1122" w:type="pct"/>
                  <w:tcBorders>
                    <w:top w:val="nil"/>
                    <w:left w:val="nil"/>
                    <w:bottom w:val="single" w:color="auto" w:sz="4" w:space="0"/>
                    <w:right w:val="single" w:color="auto" w:sz="4" w:space="0"/>
                  </w:tcBorders>
                  <w:vAlign w:val="center"/>
                </w:tcPr>
                <w:p>
                  <w:pPr>
                    <w:widowControl/>
                    <w:spacing w:before="12" w:beforeLines="5" w:after="12" w:afterLines="5"/>
                    <w:jc w:val="center"/>
                    <w:rPr>
                      <w:kern w:val="0"/>
                      <w:szCs w:val="21"/>
                    </w:rPr>
                  </w:pPr>
                </w:p>
              </w:tc>
              <w:tc>
                <w:tcPr>
                  <w:tcW w:w="348" w:type="pct"/>
                  <w:tcBorders>
                    <w:top w:val="nil"/>
                    <w:left w:val="nil"/>
                    <w:bottom w:val="single" w:color="auto" w:sz="4" w:space="0"/>
                    <w:right w:val="single" w:color="auto" w:sz="4" w:space="0"/>
                  </w:tcBorders>
                  <w:vAlign w:val="center"/>
                </w:tcPr>
                <w:p>
                  <w:pPr>
                    <w:widowControl/>
                    <w:spacing w:before="12" w:beforeLines="5" w:after="12" w:afterLines="5"/>
                    <w:jc w:val="center"/>
                    <w:rPr>
                      <w:kern w:val="0"/>
                      <w:szCs w:val="21"/>
                    </w:rPr>
                  </w:pPr>
                </w:p>
              </w:tc>
              <w:tc>
                <w:tcPr>
                  <w:tcW w:w="314" w:type="pct"/>
                  <w:tcBorders>
                    <w:top w:val="nil"/>
                    <w:left w:val="nil"/>
                    <w:bottom w:val="single" w:color="auto" w:sz="4" w:space="0"/>
                    <w:right w:val="single" w:color="auto" w:sz="4" w:space="0"/>
                  </w:tcBorders>
                  <w:vAlign w:val="center"/>
                </w:tcPr>
                <w:p>
                  <w:pPr>
                    <w:widowControl/>
                    <w:spacing w:before="12" w:beforeLines="5" w:after="12" w:afterLines="5"/>
                    <w:jc w:val="center"/>
                    <w:rPr>
                      <w:kern w:val="0"/>
                      <w:szCs w:val="21"/>
                    </w:rPr>
                  </w:pPr>
                  <w:r>
                    <w:rPr>
                      <w:kern w:val="0"/>
                      <w:szCs w:val="21"/>
                    </w:rPr>
                    <w:t>套</w:t>
                  </w:r>
                </w:p>
              </w:tc>
              <w:tc>
                <w:tcPr>
                  <w:tcW w:w="372" w:type="pct"/>
                  <w:tcBorders>
                    <w:top w:val="nil"/>
                    <w:left w:val="nil"/>
                    <w:bottom w:val="single" w:color="auto" w:sz="4" w:space="0"/>
                    <w:right w:val="single" w:color="auto" w:sz="4" w:space="0"/>
                  </w:tcBorders>
                </w:tcPr>
                <w:p>
                  <w:pPr>
                    <w:spacing w:before="12" w:beforeLines="5" w:after="12" w:afterLines="5"/>
                    <w:jc w:val="center"/>
                    <w:rPr>
                      <w:szCs w:val="21"/>
                    </w:rPr>
                  </w:pPr>
                  <w:r>
                    <w:rPr>
                      <w:kern w:val="0"/>
                      <w:szCs w:val="21"/>
                    </w:rPr>
                    <w:t>1套</w:t>
                  </w:r>
                </w:p>
              </w:tc>
            </w:tr>
            <w:tr>
              <w:tblPrEx>
                <w:tblCellMar>
                  <w:top w:w="0" w:type="dxa"/>
                  <w:left w:w="0" w:type="dxa"/>
                  <w:bottom w:w="0" w:type="dxa"/>
                  <w:right w:w="0" w:type="dxa"/>
                </w:tblCellMar>
              </w:tblPrEx>
              <w:tc>
                <w:tcPr>
                  <w:tcW w:w="234" w:type="pct"/>
                  <w:tcBorders>
                    <w:top w:val="nil"/>
                    <w:left w:val="single" w:color="auto" w:sz="4" w:space="0"/>
                    <w:bottom w:val="single" w:color="auto" w:sz="4" w:space="0"/>
                    <w:right w:val="single" w:color="auto" w:sz="4" w:space="0"/>
                  </w:tcBorders>
                  <w:vAlign w:val="center"/>
                </w:tcPr>
                <w:p>
                  <w:pPr>
                    <w:widowControl/>
                    <w:spacing w:before="12" w:beforeLines="5" w:after="12" w:afterLines="5"/>
                    <w:jc w:val="center"/>
                    <w:rPr>
                      <w:kern w:val="0"/>
                      <w:szCs w:val="21"/>
                    </w:rPr>
                  </w:pPr>
                  <w:r>
                    <w:rPr>
                      <w:kern w:val="0"/>
                      <w:szCs w:val="21"/>
                    </w:rPr>
                    <w:t>4</w:t>
                  </w:r>
                </w:p>
              </w:tc>
              <w:tc>
                <w:tcPr>
                  <w:tcW w:w="2610" w:type="pct"/>
                  <w:tcBorders>
                    <w:top w:val="nil"/>
                    <w:left w:val="nil"/>
                    <w:bottom w:val="single" w:color="auto" w:sz="4" w:space="0"/>
                    <w:right w:val="single" w:color="auto" w:sz="4" w:space="0"/>
                  </w:tcBorders>
                  <w:vAlign w:val="center"/>
                </w:tcPr>
                <w:p>
                  <w:pPr>
                    <w:widowControl/>
                    <w:spacing w:before="12" w:beforeLines="5" w:after="12" w:afterLines="5"/>
                    <w:jc w:val="center"/>
                    <w:rPr>
                      <w:kern w:val="0"/>
                      <w:szCs w:val="21"/>
                    </w:rPr>
                  </w:pPr>
                  <w:r>
                    <w:rPr>
                      <w:kern w:val="0"/>
                      <w:szCs w:val="21"/>
                    </w:rPr>
                    <w:t>可燃气体监测仪</w:t>
                  </w:r>
                </w:p>
              </w:tc>
              <w:tc>
                <w:tcPr>
                  <w:tcW w:w="1122" w:type="pct"/>
                  <w:tcBorders>
                    <w:top w:val="nil"/>
                    <w:left w:val="nil"/>
                    <w:bottom w:val="single" w:color="auto" w:sz="4" w:space="0"/>
                    <w:right w:val="single" w:color="auto" w:sz="4" w:space="0"/>
                  </w:tcBorders>
                  <w:vAlign w:val="center"/>
                </w:tcPr>
                <w:p>
                  <w:pPr>
                    <w:widowControl/>
                    <w:spacing w:before="12" w:beforeLines="5" w:after="12" w:afterLines="5"/>
                    <w:jc w:val="center"/>
                    <w:rPr>
                      <w:kern w:val="0"/>
                      <w:szCs w:val="21"/>
                    </w:rPr>
                  </w:pPr>
                </w:p>
              </w:tc>
              <w:tc>
                <w:tcPr>
                  <w:tcW w:w="348" w:type="pct"/>
                  <w:tcBorders>
                    <w:top w:val="nil"/>
                    <w:left w:val="nil"/>
                    <w:bottom w:val="single" w:color="auto" w:sz="4" w:space="0"/>
                    <w:right w:val="single" w:color="auto" w:sz="4" w:space="0"/>
                  </w:tcBorders>
                  <w:vAlign w:val="center"/>
                </w:tcPr>
                <w:p>
                  <w:pPr>
                    <w:widowControl/>
                    <w:spacing w:before="12" w:beforeLines="5" w:after="12" w:afterLines="5"/>
                    <w:jc w:val="center"/>
                    <w:rPr>
                      <w:kern w:val="0"/>
                      <w:szCs w:val="21"/>
                    </w:rPr>
                  </w:pPr>
                </w:p>
              </w:tc>
              <w:tc>
                <w:tcPr>
                  <w:tcW w:w="314" w:type="pct"/>
                  <w:tcBorders>
                    <w:top w:val="nil"/>
                    <w:left w:val="nil"/>
                    <w:bottom w:val="single" w:color="auto" w:sz="4" w:space="0"/>
                    <w:right w:val="single" w:color="auto" w:sz="4" w:space="0"/>
                  </w:tcBorders>
                  <w:vAlign w:val="center"/>
                </w:tcPr>
                <w:p>
                  <w:pPr>
                    <w:widowControl/>
                    <w:spacing w:before="12" w:beforeLines="5" w:after="12" w:afterLines="5"/>
                    <w:jc w:val="center"/>
                    <w:rPr>
                      <w:kern w:val="0"/>
                      <w:szCs w:val="21"/>
                    </w:rPr>
                  </w:pPr>
                  <w:r>
                    <w:rPr>
                      <w:kern w:val="0"/>
                      <w:szCs w:val="21"/>
                    </w:rPr>
                    <w:t>台</w:t>
                  </w:r>
                </w:p>
              </w:tc>
              <w:tc>
                <w:tcPr>
                  <w:tcW w:w="372" w:type="pct"/>
                  <w:tcBorders>
                    <w:top w:val="nil"/>
                    <w:left w:val="nil"/>
                    <w:bottom w:val="single" w:color="auto" w:sz="4" w:space="0"/>
                    <w:right w:val="single" w:color="auto" w:sz="4" w:space="0"/>
                  </w:tcBorders>
                </w:tcPr>
                <w:p>
                  <w:pPr>
                    <w:spacing w:before="12" w:beforeLines="5" w:after="12" w:afterLines="5"/>
                    <w:jc w:val="center"/>
                    <w:rPr>
                      <w:szCs w:val="21"/>
                    </w:rPr>
                  </w:pPr>
                  <w:r>
                    <w:rPr>
                      <w:kern w:val="0"/>
                      <w:szCs w:val="21"/>
                    </w:rPr>
                    <w:t>2套</w:t>
                  </w:r>
                </w:p>
              </w:tc>
            </w:tr>
            <w:tr>
              <w:tblPrEx>
                <w:tblCellMar>
                  <w:top w:w="0" w:type="dxa"/>
                  <w:left w:w="0" w:type="dxa"/>
                  <w:bottom w:w="0" w:type="dxa"/>
                  <w:right w:w="0" w:type="dxa"/>
                </w:tblCellMar>
              </w:tblPrEx>
              <w:tc>
                <w:tcPr>
                  <w:tcW w:w="234" w:type="pct"/>
                  <w:tcBorders>
                    <w:top w:val="nil"/>
                    <w:left w:val="single" w:color="auto" w:sz="4" w:space="0"/>
                    <w:bottom w:val="single" w:color="auto" w:sz="4" w:space="0"/>
                    <w:right w:val="single" w:color="auto" w:sz="4" w:space="0"/>
                  </w:tcBorders>
                  <w:vAlign w:val="center"/>
                </w:tcPr>
                <w:p>
                  <w:pPr>
                    <w:widowControl/>
                    <w:spacing w:before="12" w:beforeLines="5" w:after="12" w:afterLines="5"/>
                    <w:jc w:val="center"/>
                    <w:rPr>
                      <w:kern w:val="0"/>
                      <w:szCs w:val="21"/>
                    </w:rPr>
                  </w:pPr>
                  <w:r>
                    <w:rPr>
                      <w:kern w:val="0"/>
                      <w:szCs w:val="21"/>
                    </w:rPr>
                    <w:t>三</w:t>
                  </w:r>
                </w:p>
              </w:tc>
              <w:tc>
                <w:tcPr>
                  <w:tcW w:w="2610" w:type="pct"/>
                  <w:tcBorders>
                    <w:top w:val="nil"/>
                    <w:left w:val="nil"/>
                    <w:bottom w:val="single" w:color="auto" w:sz="4" w:space="0"/>
                    <w:right w:val="single" w:color="auto" w:sz="4" w:space="0"/>
                  </w:tcBorders>
                  <w:vAlign w:val="center"/>
                </w:tcPr>
                <w:p>
                  <w:pPr>
                    <w:widowControl/>
                    <w:spacing w:before="12" w:beforeLines="5" w:after="12" w:afterLines="5"/>
                    <w:jc w:val="center"/>
                    <w:rPr>
                      <w:b/>
                      <w:bCs/>
                      <w:kern w:val="0"/>
                      <w:szCs w:val="21"/>
                    </w:rPr>
                  </w:pPr>
                  <w:r>
                    <w:rPr>
                      <w:b/>
                      <w:bCs/>
                      <w:kern w:val="0"/>
                      <w:szCs w:val="21"/>
                    </w:rPr>
                    <w:t>硫化氢防护设备</w:t>
                  </w:r>
                </w:p>
              </w:tc>
              <w:tc>
                <w:tcPr>
                  <w:tcW w:w="2157" w:type="pct"/>
                  <w:gridSpan w:val="4"/>
                  <w:tcBorders>
                    <w:top w:val="single" w:color="auto" w:sz="4" w:space="0"/>
                    <w:left w:val="nil"/>
                    <w:bottom w:val="single" w:color="auto" w:sz="4" w:space="0"/>
                    <w:right w:val="single" w:color="auto" w:sz="4" w:space="0"/>
                  </w:tcBorders>
                  <w:vAlign w:val="center"/>
                </w:tcPr>
                <w:p>
                  <w:pPr>
                    <w:widowControl/>
                    <w:spacing w:before="12" w:beforeLines="5" w:after="12" w:afterLines="5"/>
                    <w:jc w:val="center"/>
                    <w:rPr>
                      <w:kern w:val="0"/>
                      <w:szCs w:val="21"/>
                    </w:rPr>
                  </w:pPr>
                </w:p>
              </w:tc>
            </w:tr>
            <w:tr>
              <w:tblPrEx>
                <w:tblCellMar>
                  <w:top w:w="0" w:type="dxa"/>
                  <w:left w:w="0" w:type="dxa"/>
                  <w:bottom w:w="0" w:type="dxa"/>
                  <w:right w:w="0" w:type="dxa"/>
                </w:tblCellMar>
              </w:tblPrEx>
              <w:tc>
                <w:tcPr>
                  <w:tcW w:w="234" w:type="pct"/>
                  <w:tcBorders>
                    <w:top w:val="nil"/>
                    <w:left w:val="single" w:color="auto" w:sz="4" w:space="0"/>
                    <w:bottom w:val="single" w:color="auto" w:sz="4" w:space="0"/>
                    <w:right w:val="single" w:color="auto" w:sz="4" w:space="0"/>
                  </w:tcBorders>
                  <w:vAlign w:val="center"/>
                </w:tcPr>
                <w:p>
                  <w:pPr>
                    <w:widowControl/>
                    <w:spacing w:before="12" w:beforeLines="5" w:after="12" w:afterLines="5"/>
                    <w:jc w:val="center"/>
                    <w:rPr>
                      <w:kern w:val="0"/>
                      <w:szCs w:val="21"/>
                    </w:rPr>
                  </w:pPr>
                  <w:r>
                    <w:rPr>
                      <w:kern w:val="0"/>
                      <w:szCs w:val="21"/>
                    </w:rPr>
                    <w:t>1</w:t>
                  </w:r>
                </w:p>
              </w:tc>
              <w:tc>
                <w:tcPr>
                  <w:tcW w:w="2610" w:type="pct"/>
                  <w:tcBorders>
                    <w:top w:val="nil"/>
                    <w:left w:val="nil"/>
                    <w:bottom w:val="single" w:color="auto" w:sz="4" w:space="0"/>
                    <w:right w:val="single" w:color="auto" w:sz="4" w:space="0"/>
                  </w:tcBorders>
                  <w:vAlign w:val="center"/>
                </w:tcPr>
                <w:p>
                  <w:pPr>
                    <w:widowControl/>
                    <w:spacing w:before="12" w:beforeLines="5" w:after="12" w:afterLines="5"/>
                    <w:jc w:val="center"/>
                    <w:rPr>
                      <w:kern w:val="0"/>
                      <w:szCs w:val="21"/>
                    </w:rPr>
                  </w:pPr>
                  <w:r>
                    <w:rPr>
                      <w:kern w:val="0"/>
                      <w:szCs w:val="21"/>
                    </w:rPr>
                    <w:t>固定式H</w:t>
                  </w:r>
                  <w:r>
                    <w:rPr>
                      <w:kern w:val="0"/>
                      <w:szCs w:val="21"/>
                      <w:vertAlign w:val="subscript"/>
                    </w:rPr>
                    <w:t>2</w:t>
                  </w:r>
                  <w:r>
                    <w:rPr>
                      <w:kern w:val="0"/>
                      <w:szCs w:val="21"/>
                    </w:rPr>
                    <w:t>S监测仪</w:t>
                  </w:r>
                </w:p>
              </w:tc>
              <w:tc>
                <w:tcPr>
                  <w:tcW w:w="1122" w:type="pct"/>
                  <w:tcBorders>
                    <w:top w:val="nil"/>
                    <w:left w:val="nil"/>
                    <w:bottom w:val="single" w:color="auto" w:sz="4" w:space="0"/>
                    <w:right w:val="single" w:color="auto" w:sz="4" w:space="0"/>
                  </w:tcBorders>
                  <w:vAlign w:val="center"/>
                </w:tcPr>
                <w:p>
                  <w:pPr>
                    <w:widowControl/>
                    <w:spacing w:before="12" w:beforeLines="5" w:after="12" w:afterLines="5"/>
                    <w:jc w:val="center"/>
                    <w:rPr>
                      <w:kern w:val="0"/>
                      <w:szCs w:val="21"/>
                    </w:rPr>
                  </w:pPr>
                </w:p>
              </w:tc>
              <w:tc>
                <w:tcPr>
                  <w:tcW w:w="348" w:type="pct"/>
                  <w:tcBorders>
                    <w:top w:val="nil"/>
                    <w:left w:val="nil"/>
                    <w:bottom w:val="single" w:color="auto" w:sz="4" w:space="0"/>
                    <w:right w:val="single" w:color="auto" w:sz="4" w:space="0"/>
                  </w:tcBorders>
                  <w:vAlign w:val="center"/>
                </w:tcPr>
                <w:p>
                  <w:pPr>
                    <w:widowControl/>
                    <w:spacing w:before="12" w:beforeLines="5" w:after="12" w:afterLines="5"/>
                    <w:jc w:val="center"/>
                    <w:rPr>
                      <w:kern w:val="0"/>
                      <w:szCs w:val="21"/>
                    </w:rPr>
                  </w:pPr>
                </w:p>
              </w:tc>
              <w:tc>
                <w:tcPr>
                  <w:tcW w:w="314" w:type="pct"/>
                  <w:tcBorders>
                    <w:top w:val="nil"/>
                    <w:left w:val="nil"/>
                    <w:bottom w:val="single" w:color="auto" w:sz="4" w:space="0"/>
                    <w:right w:val="single" w:color="auto" w:sz="4" w:space="0"/>
                  </w:tcBorders>
                  <w:vAlign w:val="center"/>
                </w:tcPr>
                <w:p>
                  <w:pPr>
                    <w:widowControl/>
                    <w:spacing w:before="12" w:beforeLines="5" w:after="12" w:afterLines="5"/>
                    <w:jc w:val="center"/>
                    <w:rPr>
                      <w:kern w:val="0"/>
                      <w:szCs w:val="21"/>
                    </w:rPr>
                  </w:pPr>
                  <w:r>
                    <w:rPr>
                      <w:kern w:val="0"/>
                      <w:szCs w:val="21"/>
                    </w:rPr>
                    <w:t>套</w:t>
                  </w:r>
                </w:p>
              </w:tc>
              <w:tc>
                <w:tcPr>
                  <w:tcW w:w="372" w:type="pct"/>
                  <w:tcBorders>
                    <w:top w:val="nil"/>
                    <w:left w:val="nil"/>
                    <w:bottom w:val="single" w:color="auto" w:sz="4" w:space="0"/>
                    <w:right w:val="single" w:color="auto" w:sz="4" w:space="0"/>
                  </w:tcBorders>
                </w:tcPr>
                <w:p>
                  <w:pPr>
                    <w:spacing w:before="12" w:beforeLines="5" w:after="12" w:afterLines="5"/>
                    <w:jc w:val="center"/>
                    <w:rPr>
                      <w:szCs w:val="21"/>
                    </w:rPr>
                  </w:pPr>
                  <w:r>
                    <w:rPr>
                      <w:kern w:val="0"/>
                      <w:szCs w:val="21"/>
                    </w:rPr>
                    <w:t>1套</w:t>
                  </w:r>
                </w:p>
              </w:tc>
            </w:tr>
            <w:tr>
              <w:tblPrEx>
                <w:tblCellMar>
                  <w:top w:w="0" w:type="dxa"/>
                  <w:left w:w="0" w:type="dxa"/>
                  <w:bottom w:w="0" w:type="dxa"/>
                  <w:right w:w="0" w:type="dxa"/>
                </w:tblCellMar>
              </w:tblPrEx>
              <w:tc>
                <w:tcPr>
                  <w:tcW w:w="234" w:type="pct"/>
                  <w:tcBorders>
                    <w:top w:val="nil"/>
                    <w:left w:val="single" w:color="auto" w:sz="4" w:space="0"/>
                    <w:bottom w:val="single" w:color="auto" w:sz="4" w:space="0"/>
                    <w:right w:val="single" w:color="auto" w:sz="4" w:space="0"/>
                  </w:tcBorders>
                  <w:vAlign w:val="center"/>
                </w:tcPr>
                <w:p>
                  <w:pPr>
                    <w:widowControl/>
                    <w:spacing w:before="12" w:beforeLines="5" w:after="12" w:afterLines="5"/>
                    <w:jc w:val="center"/>
                    <w:rPr>
                      <w:kern w:val="0"/>
                      <w:szCs w:val="21"/>
                    </w:rPr>
                  </w:pPr>
                  <w:r>
                    <w:rPr>
                      <w:kern w:val="0"/>
                      <w:szCs w:val="21"/>
                    </w:rPr>
                    <w:t>2</w:t>
                  </w:r>
                </w:p>
              </w:tc>
              <w:tc>
                <w:tcPr>
                  <w:tcW w:w="2610" w:type="pct"/>
                  <w:tcBorders>
                    <w:top w:val="nil"/>
                    <w:left w:val="nil"/>
                    <w:bottom w:val="single" w:color="auto" w:sz="4" w:space="0"/>
                    <w:right w:val="single" w:color="auto" w:sz="4" w:space="0"/>
                  </w:tcBorders>
                  <w:vAlign w:val="center"/>
                </w:tcPr>
                <w:p>
                  <w:pPr>
                    <w:widowControl/>
                    <w:spacing w:before="12" w:beforeLines="5" w:after="12" w:afterLines="5"/>
                    <w:jc w:val="center"/>
                    <w:rPr>
                      <w:kern w:val="0"/>
                      <w:szCs w:val="21"/>
                    </w:rPr>
                  </w:pPr>
                  <w:r>
                    <w:rPr>
                      <w:kern w:val="0"/>
                      <w:szCs w:val="21"/>
                    </w:rPr>
                    <w:t>便携式H</w:t>
                  </w:r>
                  <w:r>
                    <w:rPr>
                      <w:kern w:val="0"/>
                      <w:szCs w:val="21"/>
                      <w:vertAlign w:val="subscript"/>
                    </w:rPr>
                    <w:t>2</w:t>
                  </w:r>
                  <w:r>
                    <w:rPr>
                      <w:kern w:val="0"/>
                      <w:szCs w:val="21"/>
                    </w:rPr>
                    <w:t>S监测仪</w:t>
                  </w:r>
                </w:p>
              </w:tc>
              <w:tc>
                <w:tcPr>
                  <w:tcW w:w="1122" w:type="pct"/>
                  <w:tcBorders>
                    <w:top w:val="nil"/>
                    <w:left w:val="nil"/>
                    <w:bottom w:val="single" w:color="auto" w:sz="4" w:space="0"/>
                    <w:right w:val="single" w:color="auto" w:sz="4" w:space="0"/>
                  </w:tcBorders>
                  <w:vAlign w:val="center"/>
                </w:tcPr>
                <w:p>
                  <w:pPr>
                    <w:widowControl/>
                    <w:spacing w:before="12" w:beforeLines="5" w:after="12" w:afterLines="5"/>
                    <w:jc w:val="center"/>
                    <w:rPr>
                      <w:kern w:val="0"/>
                      <w:szCs w:val="21"/>
                    </w:rPr>
                  </w:pPr>
                </w:p>
              </w:tc>
              <w:tc>
                <w:tcPr>
                  <w:tcW w:w="348" w:type="pct"/>
                  <w:tcBorders>
                    <w:top w:val="nil"/>
                    <w:left w:val="nil"/>
                    <w:bottom w:val="single" w:color="auto" w:sz="4" w:space="0"/>
                    <w:right w:val="single" w:color="auto" w:sz="4" w:space="0"/>
                  </w:tcBorders>
                  <w:vAlign w:val="center"/>
                </w:tcPr>
                <w:p>
                  <w:pPr>
                    <w:widowControl/>
                    <w:spacing w:before="12" w:beforeLines="5" w:after="12" w:afterLines="5"/>
                    <w:jc w:val="center"/>
                    <w:rPr>
                      <w:kern w:val="0"/>
                      <w:szCs w:val="21"/>
                    </w:rPr>
                  </w:pPr>
                </w:p>
              </w:tc>
              <w:tc>
                <w:tcPr>
                  <w:tcW w:w="314" w:type="pct"/>
                  <w:tcBorders>
                    <w:top w:val="nil"/>
                    <w:left w:val="nil"/>
                    <w:bottom w:val="single" w:color="auto" w:sz="4" w:space="0"/>
                    <w:right w:val="single" w:color="auto" w:sz="4" w:space="0"/>
                  </w:tcBorders>
                  <w:vAlign w:val="center"/>
                </w:tcPr>
                <w:p>
                  <w:pPr>
                    <w:widowControl/>
                    <w:spacing w:before="12" w:beforeLines="5" w:after="12" w:afterLines="5"/>
                    <w:jc w:val="center"/>
                    <w:rPr>
                      <w:kern w:val="0"/>
                      <w:szCs w:val="21"/>
                    </w:rPr>
                  </w:pPr>
                  <w:r>
                    <w:rPr>
                      <w:kern w:val="0"/>
                      <w:szCs w:val="21"/>
                    </w:rPr>
                    <w:t>套</w:t>
                  </w:r>
                </w:p>
              </w:tc>
              <w:tc>
                <w:tcPr>
                  <w:tcW w:w="372" w:type="pct"/>
                  <w:tcBorders>
                    <w:top w:val="nil"/>
                    <w:left w:val="nil"/>
                    <w:bottom w:val="single" w:color="auto" w:sz="4" w:space="0"/>
                    <w:right w:val="single" w:color="auto" w:sz="4" w:space="0"/>
                  </w:tcBorders>
                </w:tcPr>
                <w:p>
                  <w:pPr>
                    <w:spacing w:before="12" w:beforeLines="5" w:after="12" w:afterLines="5"/>
                    <w:jc w:val="center"/>
                    <w:rPr>
                      <w:szCs w:val="21"/>
                    </w:rPr>
                  </w:pPr>
                  <w:r>
                    <w:rPr>
                      <w:kern w:val="0"/>
                      <w:szCs w:val="21"/>
                    </w:rPr>
                    <w:t>5套</w:t>
                  </w:r>
                </w:p>
              </w:tc>
            </w:tr>
            <w:tr>
              <w:tblPrEx>
                <w:tblCellMar>
                  <w:top w:w="0" w:type="dxa"/>
                  <w:left w:w="0" w:type="dxa"/>
                  <w:bottom w:w="0" w:type="dxa"/>
                  <w:right w:w="0" w:type="dxa"/>
                </w:tblCellMar>
              </w:tblPrEx>
              <w:tc>
                <w:tcPr>
                  <w:tcW w:w="234" w:type="pct"/>
                  <w:tcBorders>
                    <w:top w:val="nil"/>
                    <w:left w:val="single" w:color="auto" w:sz="4" w:space="0"/>
                    <w:bottom w:val="single" w:color="auto" w:sz="4" w:space="0"/>
                    <w:right w:val="single" w:color="auto" w:sz="4" w:space="0"/>
                  </w:tcBorders>
                  <w:vAlign w:val="center"/>
                </w:tcPr>
                <w:p>
                  <w:pPr>
                    <w:widowControl/>
                    <w:spacing w:before="12" w:beforeLines="5" w:after="12" w:afterLines="5"/>
                    <w:jc w:val="center"/>
                    <w:rPr>
                      <w:kern w:val="0"/>
                      <w:szCs w:val="21"/>
                    </w:rPr>
                  </w:pPr>
                  <w:r>
                    <w:rPr>
                      <w:kern w:val="0"/>
                      <w:szCs w:val="21"/>
                    </w:rPr>
                    <w:t>3</w:t>
                  </w:r>
                </w:p>
              </w:tc>
              <w:tc>
                <w:tcPr>
                  <w:tcW w:w="2610" w:type="pct"/>
                  <w:tcBorders>
                    <w:top w:val="nil"/>
                    <w:left w:val="nil"/>
                    <w:bottom w:val="single" w:color="auto" w:sz="4" w:space="0"/>
                    <w:right w:val="single" w:color="auto" w:sz="4" w:space="0"/>
                  </w:tcBorders>
                  <w:vAlign w:val="center"/>
                </w:tcPr>
                <w:p>
                  <w:pPr>
                    <w:widowControl/>
                    <w:spacing w:before="12" w:beforeLines="5" w:after="12" w:afterLines="5"/>
                    <w:jc w:val="center"/>
                    <w:rPr>
                      <w:kern w:val="0"/>
                      <w:szCs w:val="21"/>
                    </w:rPr>
                  </w:pPr>
                  <w:r>
                    <w:rPr>
                      <w:kern w:val="0"/>
                      <w:szCs w:val="21"/>
                    </w:rPr>
                    <w:t>H</w:t>
                  </w:r>
                  <w:r>
                    <w:rPr>
                      <w:kern w:val="0"/>
                      <w:szCs w:val="21"/>
                      <w:vertAlign w:val="subscript"/>
                    </w:rPr>
                    <w:t>2</w:t>
                  </w:r>
                  <w:r>
                    <w:rPr>
                      <w:kern w:val="0"/>
                      <w:szCs w:val="21"/>
                    </w:rPr>
                    <w:t>S监测仪</w:t>
                  </w:r>
                </w:p>
              </w:tc>
              <w:tc>
                <w:tcPr>
                  <w:tcW w:w="1122" w:type="pct"/>
                  <w:tcBorders>
                    <w:top w:val="nil"/>
                    <w:left w:val="nil"/>
                    <w:bottom w:val="single" w:color="auto" w:sz="4" w:space="0"/>
                    <w:right w:val="single" w:color="auto" w:sz="4" w:space="0"/>
                  </w:tcBorders>
                  <w:vAlign w:val="center"/>
                </w:tcPr>
                <w:p>
                  <w:pPr>
                    <w:widowControl/>
                    <w:spacing w:before="12" w:beforeLines="5" w:after="12" w:afterLines="5"/>
                    <w:jc w:val="center"/>
                    <w:rPr>
                      <w:kern w:val="0"/>
                      <w:szCs w:val="21"/>
                    </w:rPr>
                  </w:pPr>
                  <w:r>
                    <w:rPr>
                      <w:kern w:val="0"/>
                      <w:szCs w:val="21"/>
                    </w:rPr>
                    <w:t>≥1000ppm</w:t>
                  </w:r>
                </w:p>
              </w:tc>
              <w:tc>
                <w:tcPr>
                  <w:tcW w:w="348" w:type="pct"/>
                  <w:tcBorders>
                    <w:top w:val="nil"/>
                    <w:left w:val="nil"/>
                    <w:bottom w:val="single" w:color="auto" w:sz="4" w:space="0"/>
                    <w:right w:val="single" w:color="auto" w:sz="4" w:space="0"/>
                  </w:tcBorders>
                  <w:vAlign w:val="center"/>
                </w:tcPr>
                <w:p>
                  <w:pPr>
                    <w:widowControl/>
                    <w:spacing w:before="12" w:beforeLines="5" w:after="12" w:afterLines="5"/>
                    <w:jc w:val="center"/>
                    <w:rPr>
                      <w:kern w:val="0"/>
                      <w:szCs w:val="21"/>
                    </w:rPr>
                  </w:pPr>
                </w:p>
              </w:tc>
              <w:tc>
                <w:tcPr>
                  <w:tcW w:w="314" w:type="pct"/>
                  <w:tcBorders>
                    <w:top w:val="nil"/>
                    <w:left w:val="nil"/>
                    <w:bottom w:val="single" w:color="auto" w:sz="4" w:space="0"/>
                    <w:right w:val="single" w:color="auto" w:sz="4" w:space="0"/>
                  </w:tcBorders>
                  <w:vAlign w:val="center"/>
                </w:tcPr>
                <w:p>
                  <w:pPr>
                    <w:widowControl/>
                    <w:spacing w:before="12" w:beforeLines="5" w:after="12" w:afterLines="5"/>
                    <w:jc w:val="center"/>
                    <w:rPr>
                      <w:kern w:val="0"/>
                      <w:szCs w:val="21"/>
                    </w:rPr>
                  </w:pPr>
                  <w:r>
                    <w:rPr>
                      <w:kern w:val="0"/>
                      <w:szCs w:val="21"/>
                    </w:rPr>
                    <w:t>套</w:t>
                  </w:r>
                </w:p>
              </w:tc>
              <w:tc>
                <w:tcPr>
                  <w:tcW w:w="372" w:type="pct"/>
                  <w:tcBorders>
                    <w:top w:val="nil"/>
                    <w:left w:val="nil"/>
                    <w:bottom w:val="single" w:color="auto" w:sz="4" w:space="0"/>
                    <w:right w:val="single" w:color="auto" w:sz="4" w:space="0"/>
                  </w:tcBorders>
                </w:tcPr>
                <w:p>
                  <w:pPr>
                    <w:spacing w:before="12" w:beforeLines="5" w:after="12" w:afterLines="5"/>
                    <w:jc w:val="center"/>
                    <w:rPr>
                      <w:kern w:val="0"/>
                      <w:szCs w:val="21"/>
                    </w:rPr>
                  </w:pPr>
                  <w:r>
                    <w:rPr>
                      <w:kern w:val="0"/>
                      <w:szCs w:val="21"/>
                    </w:rPr>
                    <w:t>1套</w:t>
                  </w:r>
                </w:p>
              </w:tc>
            </w:tr>
            <w:tr>
              <w:tblPrEx>
                <w:tblCellMar>
                  <w:top w:w="0" w:type="dxa"/>
                  <w:left w:w="0" w:type="dxa"/>
                  <w:bottom w:w="0" w:type="dxa"/>
                  <w:right w:w="0" w:type="dxa"/>
                </w:tblCellMar>
              </w:tblPrEx>
              <w:tc>
                <w:tcPr>
                  <w:tcW w:w="234" w:type="pct"/>
                  <w:vMerge w:val="restart"/>
                  <w:tcBorders>
                    <w:top w:val="nil"/>
                    <w:left w:val="single" w:color="auto" w:sz="4" w:space="0"/>
                    <w:right w:val="single" w:color="auto" w:sz="4" w:space="0"/>
                  </w:tcBorders>
                  <w:noWrap/>
                  <w:vAlign w:val="center"/>
                </w:tcPr>
                <w:p>
                  <w:pPr>
                    <w:widowControl/>
                    <w:spacing w:before="12" w:beforeLines="5" w:after="12" w:afterLines="5"/>
                    <w:jc w:val="center"/>
                    <w:rPr>
                      <w:kern w:val="0"/>
                      <w:szCs w:val="21"/>
                    </w:rPr>
                  </w:pPr>
                  <w:r>
                    <w:rPr>
                      <w:kern w:val="0"/>
                      <w:szCs w:val="21"/>
                    </w:rPr>
                    <w:t>4</w:t>
                  </w:r>
                </w:p>
              </w:tc>
              <w:tc>
                <w:tcPr>
                  <w:tcW w:w="2610" w:type="pct"/>
                  <w:tcBorders>
                    <w:top w:val="nil"/>
                    <w:left w:val="nil"/>
                    <w:bottom w:val="single" w:color="auto" w:sz="4" w:space="0"/>
                    <w:right w:val="single" w:color="auto" w:sz="4" w:space="0"/>
                  </w:tcBorders>
                  <w:vAlign w:val="center"/>
                </w:tcPr>
                <w:p>
                  <w:pPr>
                    <w:widowControl/>
                    <w:spacing w:before="12" w:beforeLines="5" w:after="12" w:afterLines="5"/>
                    <w:jc w:val="center"/>
                    <w:rPr>
                      <w:kern w:val="0"/>
                      <w:szCs w:val="21"/>
                    </w:rPr>
                  </w:pPr>
                  <w:r>
                    <w:rPr>
                      <w:kern w:val="0"/>
                      <w:szCs w:val="21"/>
                    </w:rPr>
                    <w:t>空气呼吸器</w:t>
                  </w:r>
                </w:p>
              </w:tc>
              <w:tc>
                <w:tcPr>
                  <w:tcW w:w="1122" w:type="pct"/>
                  <w:tcBorders>
                    <w:top w:val="nil"/>
                    <w:left w:val="nil"/>
                    <w:bottom w:val="single" w:color="auto" w:sz="4" w:space="0"/>
                    <w:right w:val="single" w:color="auto" w:sz="4" w:space="0"/>
                  </w:tcBorders>
                  <w:noWrap/>
                  <w:vAlign w:val="center"/>
                </w:tcPr>
                <w:p>
                  <w:pPr>
                    <w:widowControl/>
                    <w:spacing w:before="12" w:beforeLines="5" w:after="12" w:afterLines="5"/>
                    <w:jc w:val="center"/>
                    <w:rPr>
                      <w:kern w:val="0"/>
                      <w:szCs w:val="21"/>
                    </w:rPr>
                  </w:pPr>
                </w:p>
              </w:tc>
              <w:tc>
                <w:tcPr>
                  <w:tcW w:w="348" w:type="pct"/>
                  <w:tcBorders>
                    <w:top w:val="nil"/>
                    <w:left w:val="nil"/>
                    <w:bottom w:val="single" w:color="auto" w:sz="4" w:space="0"/>
                    <w:right w:val="single" w:color="auto" w:sz="4" w:space="0"/>
                  </w:tcBorders>
                  <w:noWrap/>
                  <w:vAlign w:val="center"/>
                </w:tcPr>
                <w:p>
                  <w:pPr>
                    <w:widowControl/>
                    <w:spacing w:before="12" w:beforeLines="5" w:after="12" w:afterLines="5"/>
                    <w:jc w:val="center"/>
                    <w:rPr>
                      <w:kern w:val="0"/>
                      <w:szCs w:val="21"/>
                    </w:rPr>
                  </w:pPr>
                </w:p>
              </w:tc>
              <w:tc>
                <w:tcPr>
                  <w:tcW w:w="314" w:type="pct"/>
                  <w:tcBorders>
                    <w:top w:val="nil"/>
                    <w:left w:val="nil"/>
                    <w:bottom w:val="single" w:color="auto" w:sz="4" w:space="0"/>
                    <w:right w:val="single" w:color="auto" w:sz="4" w:space="0"/>
                  </w:tcBorders>
                  <w:vAlign w:val="center"/>
                </w:tcPr>
                <w:p>
                  <w:pPr>
                    <w:widowControl/>
                    <w:spacing w:before="12" w:beforeLines="5" w:after="12" w:afterLines="5"/>
                    <w:jc w:val="center"/>
                    <w:rPr>
                      <w:kern w:val="0"/>
                      <w:szCs w:val="21"/>
                    </w:rPr>
                  </w:pPr>
                  <w:r>
                    <w:rPr>
                      <w:kern w:val="0"/>
                      <w:szCs w:val="21"/>
                    </w:rPr>
                    <w:t>套</w:t>
                  </w:r>
                </w:p>
              </w:tc>
              <w:tc>
                <w:tcPr>
                  <w:tcW w:w="372" w:type="pct"/>
                  <w:tcBorders>
                    <w:top w:val="nil"/>
                    <w:left w:val="nil"/>
                    <w:bottom w:val="single" w:color="auto" w:sz="4" w:space="0"/>
                    <w:right w:val="single" w:color="auto" w:sz="4" w:space="0"/>
                  </w:tcBorders>
                </w:tcPr>
                <w:p>
                  <w:pPr>
                    <w:spacing w:before="12" w:beforeLines="5" w:after="12" w:afterLines="5"/>
                    <w:jc w:val="center"/>
                    <w:rPr>
                      <w:szCs w:val="21"/>
                    </w:rPr>
                  </w:pPr>
                  <w:r>
                    <w:rPr>
                      <w:kern w:val="0"/>
                      <w:szCs w:val="21"/>
                    </w:rPr>
                    <w:t>18套</w:t>
                  </w:r>
                </w:p>
              </w:tc>
            </w:tr>
            <w:tr>
              <w:tblPrEx>
                <w:tblCellMar>
                  <w:top w:w="0" w:type="dxa"/>
                  <w:left w:w="0" w:type="dxa"/>
                  <w:bottom w:w="0" w:type="dxa"/>
                  <w:right w:w="0" w:type="dxa"/>
                </w:tblCellMar>
              </w:tblPrEx>
              <w:tc>
                <w:tcPr>
                  <w:tcW w:w="234" w:type="pct"/>
                  <w:vMerge w:val="continue"/>
                  <w:tcBorders>
                    <w:left w:val="single" w:color="auto" w:sz="4" w:space="0"/>
                    <w:bottom w:val="single" w:color="auto" w:sz="4" w:space="0"/>
                    <w:right w:val="single" w:color="auto" w:sz="4" w:space="0"/>
                  </w:tcBorders>
                  <w:noWrap/>
                  <w:vAlign w:val="center"/>
                </w:tcPr>
                <w:p>
                  <w:pPr>
                    <w:widowControl/>
                    <w:spacing w:before="12" w:beforeLines="5" w:after="12" w:afterLines="5"/>
                    <w:jc w:val="center"/>
                    <w:rPr>
                      <w:kern w:val="0"/>
                      <w:szCs w:val="21"/>
                    </w:rPr>
                  </w:pPr>
                </w:p>
              </w:tc>
              <w:tc>
                <w:tcPr>
                  <w:tcW w:w="4766" w:type="pct"/>
                  <w:gridSpan w:val="5"/>
                  <w:tcBorders>
                    <w:top w:val="nil"/>
                    <w:left w:val="nil"/>
                    <w:bottom w:val="single" w:color="auto" w:sz="4" w:space="0"/>
                    <w:right w:val="single" w:color="auto" w:sz="4" w:space="0"/>
                  </w:tcBorders>
                  <w:vAlign w:val="center"/>
                </w:tcPr>
                <w:p>
                  <w:pPr>
                    <w:spacing w:before="12" w:beforeLines="5" w:after="12" w:afterLines="5"/>
                    <w:ind w:firstLine="420" w:firstLineChars="200"/>
                    <w:jc w:val="left"/>
                    <w:rPr>
                      <w:kern w:val="0"/>
                      <w:szCs w:val="21"/>
                    </w:rPr>
                  </w:pPr>
                  <w:r>
                    <w:rPr>
                      <w:kern w:val="0"/>
                      <w:szCs w:val="21"/>
                    </w:rPr>
                    <w:t xml:space="preserve">空气呼吸器现场实际配备数量以满足当班作业人员每人1套，按井队人数的20%比例备用和按在岗人员数20%备用气瓶。 </w:t>
                  </w:r>
                </w:p>
              </w:tc>
            </w:tr>
            <w:tr>
              <w:tblPrEx>
                <w:tblCellMar>
                  <w:top w:w="0" w:type="dxa"/>
                  <w:left w:w="0" w:type="dxa"/>
                  <w:bottom w:w="0" w:type="dxa"/>
                  <w:right w:w="0" w:type="dxa"/>
                </w:tblCellMar>
              </w:tblPrEx>
              <w:tc>
                <w:tcPr>
                  <w:tcW w:w="234" w:type="pct"/>
                  <w:tcBorders>
                    <w:top w:val="nil"/>
                    <w:left w:val="single" w:color="auto" w:sz="4" w:space="0"/>
                    <w:bottom w:val="single" w:color="auto" w:sz="4" w:space="0"/>
                    <w:right w:val="single" w:color="auto" w:sz="4" w:space="0"/>
                  </w:tcBorders>
                  <w:vAlign w:val="center"/>
                </w:tcPr>
                <w:p>
                  <w:pPr>
                    <w:widowControl/>
                    <w:spacing w:before="12" w:beforeLines="5" w:after="12" w:afterLines="5"/>
                    <w:jc w:val="center"/>
                    <w:rPr>
                      <w:kern w:val="0"/>
                      <w:szCs w:val="21"/>
                    </w:rPr>
                  </w:pPr>
                  <w:r>
                    <w:rPr>
                      <w:kern w:val="0"/>
                      <w:szCs w:val="21"/>
                    </w:rPr>
                    <w:t>5</w:t>
                  </w:r>
                </w:p>
              </w:tc>
              <w:tc>
                <w:tcPr>
                  <w:tcW w:w="2610" w:type="pct"/>
                  <w:tcBorders>
                    <w:top w:val="nil"/>
                    <w:left w:val="nil"/>
                    <w:bottom w:val="single" w:color="auto" w:sz="4" w:space="0"/>
                    <w:right w:val="single" w:color="auto" w:sz="4" w:space="0"/>
                  </w:tcBorders>
                  <w:vAlign w:val="center"/>
                </w:tcPr>
                <w:p>
                  <w:pPr>
                    <w:widowControl/>
                    <w:spacing w:before="12" w:beforeLines="5" w:after="12" w:afterLines="5"/>
                    <w:jc w:val="center"/>
                    <w:rPr>
                      <w:kern w:val="0"/>
                      <w:szCs w:val="21"/>
                    </w:rPr>
                  </w:pPr>
                  <w:r>
                    <w:rPr>
                      <w:kern w:val="0"/>
                      <w:szCs w:val="21"/>
                    </w:rPr>
                    <w:t>空气压缩机</w:t>
                  </w:r>
                </w:p>
              </w:tc>
              <w:tc>
                <w:tcPr>
                  <w:tcW w:w="1122" w:type="pct"/>
                  <w:tcBorders>
                    <w:top w:val="nil"/>
                    <w:left w:val="nil"/>
                    <w:bottom w:val="single" w:color="auto" w:sz="4" w:space="0"/>
                    <w:right w:val="single" w:color="auto" w:sz="4" w:space="0"/>
                  </w:tcBorders>
                  <w:noWrap/>
                  <w:vAlign w:val="center"/>
                </w:tcPr>
                <w:p>
                  <w:pPr>
                    <w:widowControl/>
                    <w:spacing w:before="12" w:beforeLines="5" w:after="12" w:afterLines="5"/>
                    <w:jc w:val="center"/>
                    <w:rPr>
                      <w:kern w:val="0"/>
                      <w:szCs w:val="21"/>
                    </w:rPr>
                  </w:pPr>
                </w:p>
              </w:tc>
              <w:tc>
                <w:tcPr>
                  <w:tcW w:w="348" w:type="pct"/>
                  <w:tcBorders>
                    <w:top w:val="nil"/>
                    <w:left w:val="nil"/>
                    <w:bottom w:val="single" w:color="auto" w:sz="4" w:space="0"/>
                    <w:right w:val="single" w:color="auto" w:sz="4" w:space="0"/>
                  </w:tcBorders>
                  <w:noWrap/>
                  <w:vAlign w:val="center"/>
                </w:tcPr>
                <w:p>
                  <w:pPr>
                    <w:widowControl/>
                    <w:spacing w:before="12" w:beforeLines="5" w:after="12" w:afterLines="5"/>
                    <w:jc w:val="center"/>
                    <w:rPr>
                      <w:kern w:val="0"/>
                      <w:szCs w:val="21"/>
                    </w:rPr>
                  </w:pPr>
                </w:p>
              </w:tc>
              <w:tc>
                <w:tcPr>
                  <w:tcW w:w="314" w:type="pct"/>
                  <w:tcBorders>
                    <w:top w:val="nil"/>
                    <w:left w:val="nil"/>
                    <w:bottom w:val="single" w:color="auto" w:sz="4" w:space="0"/>
                    <w:right w:val="single" w:color="auto" w:sz="4" w:space="0"/>
                  </w:tcBorders>
                  <w:vAlign w:val="center"/>
                </w:tcPr>
                <w:p>
                  <w:pPr>
                    <w:widowControl/>
                    <w:spacing w:before="12" w:beforeLines="5" w:after="12" w:afterLines="5"/>
                    <w:jc w:val="center"/>
                    <w:rPr>
                      <w:kern w:val="0"/>
                      <w:szCs w:val="21"/>
                    </w:rPr>
                  </w:pPr>
                  <w:r>
                    <w:rPr>
                      <w:kern w:val="0"/>
                      <w:szCs w:val="21"/>
                    </w:rPr>
                    <w:t>台</w:t>
                  </w:r>
                </w:p>
              </w:tc>
              <w:tc>
                <w:tcPr>
                  <w:tcW w:w="372" w:type="pct"/>
                  <w:tcBorders>
                    <w:top w:val="nil"/>
                    <w:left w:val="nil"/>
                    <w:bottom w:val="single" w:color="auto" w:sz="4" w:space="0"/>
                    <w:right w:val="single" w:color="auto" w:sz="4" w:space="0"/>
                  </w:tcBorders>
                  <w:noWrap/>
                </w:tcPr>
                <w:p>
                  <w:pPr>
                    <w:spacing w:before="12" w:beforeLines="5" w:after="12" w:afterLines="5"/>
                    <w:jc w:val="center"/>
                    <w:rPr>
                      <w:szCs w:val="21"/>
                    </w:rPr>
                  </w:pPr>
                  <w:r>
                    <w:rPr>
                      <w:kern w:val="0"/>
                      <w:szCs w:val="21"/>
                    </w:rPr>
                    <w:t>1台</w:t>
                  </w:r>
                </w:p>
              </w:tc>
            </w:tr>
            <w:tr>
              <w:tblPrEx>
                <w:tblCellMar>
                  <w:top w:w="0" w:type="dxa"/>
                  <w:left w:w="0" w:type="dxa"/>
                  <w:bottom w:w="0" w:type="dxa"/>
                  <w:right w:w="0" w:type="dxa"/>
                </w:tblCellMar>
              </w:tblPrEx>
              <w:tc>
                <w:tcPr>
                  <w:tcW w:w="234" w:type="pct"/>
                  <w:tcBorders>
                    <w:top w:val="nil"/>
                    <w:left w:val="single" w:color="auto" w:sz="4" w:space="0"/>
                    <w:bottom w:val="single" w:color="auto" w:sz="4" w:space="0"/>
                    <w:right w:val="single" w:color="auto" w:sz="4" w:space="0"/>
                  </w:tcBorders>
                  <w:vAlign w:val="center"/>
                </w:tcPr>
                <w:p>
                  <w:pPr>
                    <w:widowControl/>
                    <w:spacing w:before="12" w:beforeLines="5" w:after="12" w:afterLines="5"/>
                    <w:jc w:val="center"/>
                    <w:rPr>
                      <w:kern w:val="0"/>
                      <w:szCs w:val="21"/>
                    </w:rPr>
                  </w:pPr>
                  <w:r>
                    <w:rPr>
                      <w:kern w:val="0"/>
                      <w:szCs w:val="21"/>
                    </w:rPr>
                    <w:t>6</w:t>
                  </w:r>
                </w:p>
              </w:tc>
              <w:tc>
                <w:tcPr>
                  <w:tcW w:w="2610" w:type="pct"/>
                  <w:tcBorders>
                    <w:top w:val="nil"/>
                    <w:left w:val="nil"/>
                    <w:bottom w:val="single" w:color="auto" w:sz="4" w:space="0"/>
                    <w:right w:val="single" w:color="auto" w:sz="4" w:space="0"/>
                  </w:tcBorders>
                  <w:vAlign w:val="center"/>
                </w:tcPr>
                <w:p>
                  <w:pPr>
                    <w:widowControl/>
                    <w:spacing w:before="12" w:beforeLines="5" w:after="12" w:afterLines="5"/>
                    <w:jc w:val="center"/>
                    <w:rPr>
                      <w:kern w:val="0"/>
                      <w:szCs w:val="21"/>
                    </w:rPr>
                  </w:pPr>
                  <w:r>
                    <w:rPr>
                      <w:kern w:val="0"/>
                      <w:szCs w:val="21"/>
                    </w:rPr>
                    <w:t>大功率防爆排风扇</w:t>
                  </w:r>
                </w:p>
              </w:tc>
              <w:tc>
                <w:tcPr>
                  <w:tcW w:w="1122" w:type="pct"/>
                  <w:tcBorders>
                    <w:top w:val="nil"/>
                    <w:left w:val="nil"/>
                    <w:bottom w:val="single" w:color="auto" w:sz="4" w:space="0"/>
                    <w:right w:val="single" w:color="auto" w:sz="4" w:space="0"/>
                  </w:tcBorders>
                  <w:noWrap/>
                  <w:vAlign w:val="center"/>
                </w:tcPr>
                <w:p>
                  <w:pPr>
                    <w:widowControl/>
                    <w:spacing w:before="12" w:beforeLines="5" w:after="12" w:afterLines="5"/>
                    <w:jc w:val="center"/>
                    <w:rPr>
                      <w:kern w:val="0"/>
                      <w:szCs w:val="21"/>
                    </w:rPr>
                  </w:pPr>
                </w:p>
              </w:tc>
              <w:tc>
                <w:tcPr>
                  <w:tcW w:w="348" w:type="pct"/>
                  <w:tcBorders>
                    <w:top w:val="nil"/>
                    <w:left w:val="nil"/>
                    <w:bottom w:val="single" w:color="auto" w:sz="4" w:space="0"/>
                    <w:right w:val="single" w:color="auto" w:sz="4" w:space="0"/>
                  </w:tcBorders>
                  <w:noWrap/>
                  <w:vAlign w:val="center"/>
                </w:tcPr>
                <w:p>
                  <w:pPr>
                    <w:widowControl/>
                    <w:spacing w:before="12" w:beforeLines="5" w:after="12" w:afterLines="5"/>
                    <w:jc w:val="center"/>
                    <w:rPr>
                      <w:kern w:val="0"/>
                      <w:szCs w:val="21"/>
                    </w:rPr>
                  </w:pPr>
                </w:p>
              </w:tc>
              <w:tc>
                <w:tcPr>
                  <w:tcW w:w="314" w:type="pct"/>
                  <w:tcBorders>
                    <w:top w:val="nil"/>
                    <w:left w:val="nil"/>
                    <w:bottom w:val="single" w:color="auto" w:sz="4" w:space="0"/>
                    <w:right w:val="single" w:color="auto" w:sz="4" w:space="0"/>
                  </w:tcBorders>
                  <w:vAlign w:val="center"/>
                </w:tcPr>
                <w:p>
                  <w:pPr>
                    <w:widowControl/>
                    <w:spacing w:before="12" w:beforeLines="5" w:after="12" w:afterLines="5"/>
                    <w:jc w:val="center"/>
                    <w:rPr>
                      <w:kern w:val="0"/>
                      <w:szCs w:val="21"/>
                    </w:rPr>
                  </w:pPr>
                  <w:r>
                    <w:rPr>
                      <w:kern w:val="0"/>
                      <w:szCs w:val="21"/>
                    </w:rPr>
                    <w:t>台</w:t>
                  </w:r>
                </w:p>
              </w:tc>
              <w:tc>
                <w:tcPr>
                  <w:tcW w:w="372" w:type="pct"/>
                  <w:tcBorders>
                    <w:top w:val="nil"/>
                    <w:left w:val="nil"/>
                    <w:bottom w:val="single" w:color="auto" w:sz="4" w:space="0"/>
                    <w:right w:val="single" w:color="auto" w:sz="4" w:space="0"/>
                  </w:tcBorders>
                  <w:noWrap/>
                </w:tcPr>
                <w:p>
                  <w:pPr>
                    <w:spacing w:before="12" w:beforeLines="5" w:after="12" w:afterLines="5"/>
                    <w:jc w:val="center"/>
                    <w:rPr>
                      <w:szCs w:val="21"/>
                    </w:rPr>
                  </w:pPr>
                  <w:r>
                    <w:rPr>
                      <w:kern w:val="0"/>
                      <w:szCs w:val="21"/>
                    </w:rPr>
                    <w:t>5台</w:t>
                  </w:r>
                </w:p>
              </w:tc>
            </w:tr>
            <w:tr>
              <w:tblPrEx>
                <w:tblCellMar>
                  <w:top w:w="0" w:type="dxa"/>
                  <w:left w:w="0" w:type="dxa"/>
                  <w:bottom w:w="0" w:type="dxa"/>
                  <w:right w:w="0" w:type="dxa"/>
                </w:tblCellMar>
              </w:tblPrEx>
              <w:tc>
                <w:tcPr>
                  <w:tcW w:w="234" w:type="pct"/>
                  <w:tcBorders>
                    <w:top w:val="nil"/>
                    <w:left w:val="single" w:color="auto" w:sz="4" w:space="0"/>
                    <w:bottom w:val="single" w:color="auto" w:sz="4" w:space="0"/>
                    <w:right w:val="single" w:color="auto" w:sz="4" w:space="0"/>
                  </w:tcBorders>
                  <w:vAlign w:val="center"/>
                </w:tcPr>
                <w:p>
                  <w:pPr>
                    <w:widowControl/>
                    <w:spacing w:before="12" w:beforeLines="5" w:after="12" w:afterLines="5"/>
                    <w:jc w:val="center"/>
                    <w:rPr>
                      <w:kern w:val="0"/>
                      <w:szCs w:val="21"/>
                    </w:rPr>
                  </w:pPr>
                  <w:r>
                    <w:rPr>
                      <w:kern w:val="0"/>
                      <w:szCs w:val="21"/>
                    </w:rPr>
                    <w:t>7</w:t>
                  </w:r>
                </w:p>
              </w:tc>
              <w:tc>
                <w:tcPr>
                  <w:tcW w:w="2610" w:type="pct"/>
                  <w:tcBorders>
                    <w:top w:val="nil"/>
                    <w:left w:val="nil"/>
                    <w:bottom w:val="single" w:color="auto" w:sz="4" w:space="0"/>
                    <w:right w:val="single" w:color="auto" w:sz="4" w:space="0"/>
                  </w:tcBorders>
                  <w:vAlign w:val="center"/>
                </w:tcPr>
                <w:p>
                  <w:pPr>
                    <w:widowControl/>
                    <w:spacing w:before="12" w:beforeLines="5" w:after="12" w:afterLines="5"/>
                    <w:jc w:val="center"/>
                    <w:rPr>
                      <w:kern w:val="0"/>
                      <w:szCs w:val="21"/>
                    </w:rPr>
                  </w:pPr>
                  <w:r>
                    <w:rPr>
                      <w:kern w:val="0"/>
                      <w:szCs w:val="21"/>
                    </w:rPr>
                    <w:t>点火装置</w:t>
                  </w:r>
                </w:p>
              </w:tc>
              <w:tc>
                <w:tcPr>
                  <w:tcW w:w="1122" w:type="pct"/>
                  <w:tcBorders>
                    <w:top w:val="nil"/>
                    <w:left w:val="nil"/>
                    <w:bottom w:val="single" w:color="auto" w:sz="4" w:space="0"/>
                    <w:right w:val="single" w:color="auto" w:sz="4" w:space="0"/>
                  </w:tcBorders>
                  <w:noWrap/>
                  <w:vAlign w:val="center"/>
                </w:tcPr>
                <w:p>
                  <w:pPr>
                    <w:widowControl/>
                    <w:spacing w:before="12" w:beforeLines="5" w:after="12" w:afterLines="5"/>
                    <w:jc w:val="center"/>
                    <w:rPr>
                      <w:kern w:val="0"/>
                      <w:szCs w:val="21"/>
                    </w:rPr>
                  </w:pPr>
                </w:p>
              </w:tc>
              <w:tc>
                <w:tcPr>
                  <w:tcW w:w="348" w:type="pct"/>
                  <w:tcBorders>
                    <w:top w:val="nil"/>
                    <w:left w:val="nil"/>
                    <w:bottom w:val="single" w:color="auto" w:sz="4" w:space="0"/>
                    <w:right w:val="single" w:color="auto" w:sz="4" w:space="0"/>
                  </w:tcBorders>
                  <w:noWrap/>
                  <w:vAlign w:val="center"/>
                </w:tcPr>
                <w:p>
                  <w:pPr>
                    <w:widowControl/>
                    <w:spacing w:before="12" w:beforeLines="5" w:after="12" w:afterLines="5"/>
                    <w:jc w:val="center"/>
                    <w:rPr>
                      <w:kern w:val="0"/>
                      <w:szCs w:val="21"/>
                    </w:rPr>
                  </w:pPr>
                </w:p>
              </w:tc>
              <w:tc>
                <w:tcPr>
                  <w:tcW w:w="314" w:type="pct"/>
                  <w:tcBorders>
                    <w:top w:val="nil"/>
                    <w:left w:val="nil"/>
                    <w:bottom w:val="single" w:color="auto" w:sz="4" w:space="0"/>
                    <w:right w:val="single" w:color="auto" w:sz="4" w:space="0"/>
                  </w:tcBorders>
                  <w:noWrap/>
                  <w:vAlign w:val="center"/>
                </w:tcPr>
                <w:p>
                  <w:pPr>
                    <w:widowControl/>
                    <w:spacing w:before="12" w:beforeLines="5" w:after="12" w:afterLines="5"/>
                    <w:jc w:val="center"/>
                    <w:rPr>
                      <w:kern w:val="0"/>
                      <w:szCs w:val="21"/>
                    </w:rPr>
                  </w:pPr>
                  <w:r>
                    <w:rPr>
                      <w:kern w:val="0"/>
                      <w:szCs w:val="21"/>
                    </w:rPr>
                    <w:t>台</w:t>
                  </w:r>
                </w:p>
              </w:tc>
              <w:tc>
                <w:tcPr>
                  <w:tcW w:w="372" w:type="pct"/>
                  <w:tcBorders>
                    <w:top w:val="nil"/>
                    <w:left w:val="nil"/>
                    <w:bottom w:val="single" w:color="auto" w:sz="4" w:space="0"/>
                    <w:right w:val="single" w:color="auto" w:sz="4" w:space="0"/>
                  </w:tcBorders>
                  <w:noWrap/>
                </w:tcPr>
                <w:p>
                  <w:pPr>
                    <w:spacing w:before="12" w:beforeLines="5" w:after="12" w:afterLines="5"/>
                    <w:jc w:val="center"/>
                    <w:rPr>
                      <w:szCs w:val="21"/>
                    </w:rPr>
                  </w:pPr>
                  <w:r>
                    <w:rPr>
                      <w:kern w:val="0"/>
                      <w:szCs w:val="21"/>
                    </w:rPr>
                    <w:t>1台</w:t>
                  </w:r>
                </w:p>
              </w:tc>
            </w:tr>
            <w:tr>
              <w:tblPrEx>
                <w:tblCellMar>
                  <w:top w:w="0" w:type="dxa"/>
                  <w:left w:w="0" w:type="dxa"/>
                  <w:bottom w:w="0" w:type="dxa"/>
                  <w:right w:w="0" w:type="dxa"/>
                </w:tblCellMar>
              </w:tblPrEx>
              <w:tc>
                <w:tcPr>
                  <w:tcW w:w="234" w:type="pct"/>
                  <w:tcBorders>
                    <w:top w:val="nil"/>
                    <w:left w:val="single" w:color="auto" w:sz="4" w:space="0"/>
                    <w:bottom w:val="single" w:color="auto" w:sz="4" w:space="0"/>
                    <w:right w:val="single" w:color="auto" w:sz="4" w:space="0"/>
                  </w:tcBorders>
                  <w:vAlign w:val="center"/>
                </w:tcPr>
                <w:p>
                  <w:pPr>
                    <w:widowControl/>
                    <w:spacing w:before="12" w:beforeLines="5" w:after="12" w:afterLines="5"/>
                    <w:jc w:val="center"/>
                    <w:rPr>
                      <w:kern w:val="0"/>
                      <w:szCs w:val="21"/>
                    </w:rPr>
                  </w:pPr>
                  <w:r>
                    <w:rPr>
                      <w:kern w:val="0"/>
                      <w:szCs w:val="21"/>
                    </w:rPr>
                    <w:t>8</w:t>
                  </w:r>
                </w:p>
              </w:tc>
              <w:tc>
                <w:tcPr>
                  <w:tcW w:w="2610" w:type="pct"/>
                  <w:tcBorders>
                    <w:top w:val="nil"/>
                    <w:left w:val="nil"/>
                    <w:bottom w:val="single" w:color="auto" w:sz="4" w:space="0"/>
                    <w:right w:val="single" w:color="auto" w:sz="4" w:space="0"/>
                  </w:tcBorders>
                  <w:vAlign w:val="center"/>
                </w:tcPr>
                <w:p>
                  <w:pPr>
                    <w:widowControl/>
                    <w:spacing w:before="12" w:beforeLines="5" w:after="12" w:afterLines="5"/>
                    <w:jc w:val="center"/>
                    <w:rPr>
                      <w:kern w:val="0"/>
                      <w:szCs w:val="21"/>
                    </w:rPr>
                  </w:pPr>
                  <w:r>
                    <w:rPr>
                      <w:kern w:val="0"/>
                      <w:szCs w:val="21"/>
                    </w:rPr>
                    <w:t>小型汽油发电机</w:t>
                  </w:r>
                </w:p>
              </w:tc>
              <w:tc>
                <w:tcPr>
                  <w:tcW w:w="1122" w:type="pct"/>
                  <w:tcBorders>
                    <w:top w:val="nil"/>
                    <w:left w:val="nil"/>
                    <w:bottom w:val="single" w:color="auto" w:sz="4" w:space="0"/>
                    <w:right w:val="single" w:color="auto" w:sz="4" w:space="0"/>
                  </w:tcBorders>
                  <w:noWrap/>
                  <w:vAlign w:val="center"/>
                </w:tcPr>
                <w:p>
                  <w:pPr>
                    <w:widowControl/>
                    <w:spacing w:before="12" w:beforeLines="5" w:after="12" w:afterLines="5"/>
                    <w:jc w:val="center"/>
                    <w:rPr>
                      <w:kern w:val="0"/>
                      <w:szCs w:val="21"/>
                    </w:rPr>
                  </w:pPr>
                </w:p>
              </w:tc>
              <w:tc>
                <w:tcPr>
                  <w:tcW w:w="348" w:type="pct"/>
                  <w:tcBorders>
                    <w:top w:val="nil"/>
                    <w:left w:val="nil"/>
                    <w:bottom w:val="single" w:color="auto" w:sz="4" w:space="0"/>
                    <w:right w:val="single" w:color="auto" w:sz="4" w:space="0"/>
                  </w:tcBorders>
                  <w:noWrap/>
                  <w:vAlign w:val="center"/>
                </w:tcPr>
                <w:p>
                  <w:pPr>
                    <w:widowControl/>
                    <w:spacing w:before="12" w:beforeLines="5" w:after="12" w:afterLines="5"/>
                    <w:jc w:val="center"/>
                    <w:rPr>
                      <w:kern w:val="0"/>
                      <w:szCs w:val="21"/>
                    </w:rPr>
                  </w:pPr>
                </w:p>
              </w:tc>
              <w:tc>
                <w:tcPr>
                  <w:tcW w:w="314" w:type="pct"/>
                  <w:tcBorders>
                    <w:top w:val="nil"/>
                    <w:left w:val="nil"/>
                    <w:bottom w:val="single" w:color="auto" w:sz="4" w:space="0"/>
                    <w:right w:val="single" w:color="auto" w:sz="4" w:space="0"/>
                  </w:tcBorders>
                  <w:vAlign w:val="center"/>
                </w:tcPr>
                <w:p>
                  <w:pPr>
                    <w:widowControl/>
                    <w:spacing w:before="12" w:beforeLines="5" w:after="12" w:afterLines="5"/>
                    <w:jc w:val="center"/>
                    <w:rPr>
                      <w:kern w:val="0"/>
                      <w:szCs w:val="21"/>
                    </w:rPr>
                  </w:pPr>
                  <w:r>
                    <w:rPr>
                      <w:kern w:val="0"/>
                      <w:szCs w:val="21"/>
                    </w:rPr>
                    <w:t>台</w:t>
                  </w:r>
                </w:p>
              </w:tc>
              <w:tc>
                <w:tcPr>
                  <w:tcW w:w="372" w:type="pct"/>
                  <w:tcBorders>
                    <w:top w:val="nil"/>
                    <w:left w:val="nil"/>
                    <w:bottom w:val="single" w:color="auto" w:sz="4" w:space="0"/>
                    <w:right w:val="single" w:color="auto" w:sz="4" w:space="0"/>
                  </w:tcBorders>
                  <w:noWrap/>
                </w:tcPr>
                <w:p>
                  <w:pPr>
                    <w:spacing w:before="12" w:beforeLines="5" w:after="12" w:afterLines="5"/>
                    <w:jc w:val="center"/>
                    <w:rPr>
                      <w:szCs w:val="21"/>
                    </w:rPr>
                  </w:pPr>
                  <w:r>
                    <w:rPr>
                      <w:kern w:val="0"/>
                      <w:szCs w:val="21"/>
                    </w:rPr>
                    <w:t>1台</w:t>
                  </w:r>
                </w:p>
              </w:tc>
            </w:tr>
            <w:tr>
              <w:tblPrEx>
                <w:tblCellMar>
                  <w:top w:w="0" w:type="dxa"/>
                  <w:left w:w="0" w:type="dxa"/>
                  <w:bottom w:w="0" w:type="dxa"/>
                  <w:right w:w="0" w:type="dxa"/>
                </w:tblCellMar>
              </w:tblPrEx>
              <w:tc>
                <w:tcPr>
                  <w:tcW w:w="234" w:type="pct"/>
                  <w:tcBorders>
                    <w:top w:val="nil"/>
                    <w:left w:val="single" w:color="auto" w:sz="4" w:space="0"/>
                    <w:bottom w:val="single" w:color="auto" w:sz="4" w:space="0"/>
                    <w:right w:val="single" w:color="auto" w:sz="4" w:space="0"/>
                  </w:tcBorders>
                  <w:vAlign w:val="center"/>
                </w:tcPr>
                <w:p>
                  <w:pPr>
                    <w:widowControl/>
                    <w:spacing w:before="12" w:beforeLines="5" w:after="12" w:afterLines="5"/>
                    <w:jc w:val="center"/>
                    <w:rPr>
                      <w:kern w:val="0"/>
                      <w:szCs w:val="21"/>
                    </w:rPr>
                  </w:pPr>
                  <w:r>
                    <w:rPr>
                      <w:kern w:val="0"/>
                      <w:szCs w:val="21"/>
                    </w:rPr>
                    <w:t>9</w:t>
                  </w:r>
                </w:p>
              </w:tc>
              <w:tc>
                <w:tcPr>
                  <w:tcW w:w="2610" w:type="pct"/>
                  <w:tcBorders>
                    <w:top w:val="nil"/>
                    <w:left w:val="nil"/>
                    <w:bottom w:val="single" w:color="auto" w:sz="4" w:space="0"/>
                    <w:right w:val="single" w:color="auto" w:sz="4" w:space="0"/>
                  </w:tcBorders>
                  <w:vAlign w:val="center"/>
                </w:tcPr>
                <w:p>
                  <w:pPr>
                    <w:widowControl/>
                    <w:spacing w:before="12" w:beforeLines="5" w:after="12" w:afterLines="5"/>
                    <w:jc w:val="center"/>
                    <w:rPr>
                      <w:kern w:val="0"/>
                      <w:szCs w:val="21"/>
                    </w:rPr>
                  </w:pPr>
                  <w:r>
                    <w:rPr>
                      <w:kern w:val="0"/>
                      <w:szCs w:val="21"/>
                    </w:rPr>
                    <w:t>移动式点火装置(钻开油气层前配备)</w:t>
                  </w:r>
                </w:p>
              </w:tc>
              <w:tc>
                <w:tcPr>
                  <w:tcW w:w="1122" w:type="pct"/>
                  <w:tcBorders>
                    <w:top w:val="nil"/>
                    <w:left w:val="nil"/>
                    <w:bottom w:val="single" w:color="auto" w:sz="4" w:space="0"/>
                    <w:right w:val="single" w:color="auto" w:sz="4" w:space="0"/>
                  </w:tcBorders>
                  <w:noWrap/>
                  <w:vAlign w:val="center"/>
                </w:tcPr>
                <w:p>
                  <w:pPr>
                    <w:widowControl/>
                    <w:spacing w:before="12" w:beforeLines="5" w:after="12" w:afterLines="5"/>
                    <w:jc w:val="center"/>
                    <w:rPr>
                      <w:kern w:val="0"/>
                      <w:szCs w:val="21"/>
                    </w:rPr>
                  </w:pPr>
                </w:p>
              </w:tc>
              <w:tc>
                <w:tcPr>
                  <w:tcW w:w="348" w:type="pct"/>
                  <w:tcBorders>
                    <w:top w:val="nil"/>
                    <w:left w:val="nil"/>
                    <w:bottom w:val="single" w:color="auto" w:sz="4" w:space="0"/>
                    <w:right w:val="single" w:color="auto" w:sz="4" w:space="0"/>
                  </w:tcBorders>
                  <w:noWrap/>
                  <w:vAlign w:val="center"/>
                </w:tcPr>
                <w:p>
                  <w:pPr>
                    <w:widowControl/>
                    <w:spacing w:before="12" w:beforeLines="5" w:after="12" w:afterLines="5"/>
                    <w:jc w:val="center"/>
                    <w:rPr>
                      <w:kern w:val="0"/>
                      <w:szCs w:val="21"/>
                    </w:rPr>
                  </w:pPr>
                </w:p>
              </w:tc>
              <w:tc>
                <w:tcPr>
                  <w:tcW w:w="314" w:type="pct"/>
                  <w:tcBorders>
                    <w:top w:val="nil"/>
                    <w:left w:val="nil"/>
                    <w:bottom w:val="single" w:color="auto" w:sz="4" w:space="0"/>
                    <w:right w:val="single" w:color="auto" w:sz="4" w:space="0"/>
                  </w:tcBorders>
                  <w:vAlign w:val="center"/>
                </w:tcPr>
                <w:p>
                  <w:pPr>
                    <w:widowControl/>
                    <w:spacing w:before="12" w:beforeLines="5" w:after="12" w:afterLines="5"/>
                    <w:jc w:val="center"/>
                    <w:rPr>
                      <w:kern w:val="0"/>
                      <w:szCs w:val="21"/>
                    </w:rPr>
                  </w:pPr>
                  <w:r>
                    <w:rPr>
                      <w:kern w:val="0"/>
                      <w:szCs w:val="21"/>
                    </w:rPr>
                    <w:t>台</w:t>
                  </w:r>
                </w:p>
              </w:tc>
              <w:tc>
                <w:tcPr>
                  <w:tcW w:w="372" w:type="pct"/>
                  <w:tcBorders>
                    <w:top w:val="nil"/>
                    <w:left w:val="nil"/>
                    <w:bottom w:val="single" w:color="auto" w:sz="4" w:space="0"/>
                    <w:right w:val="single" w:color="auto" w:sz="4" w:space="0"/>
                  </w:tcBorders>
                  <w:noWrap/>
                  <w:vAlign w:val="center"/>
                </w:tcPr>
                <w:p>
                  <w:pPr>
                    <w:spacing w:before="12" w:beforeLines="5" w:after="12" w:afterLines="5"/>
                    <w:jc w:val="center"/>
                    <w:rPr>
                      <w:szCs w:val="21"/>
                    </w:rPr>
                  </w:pPr>
                  <w:r>
                    <w:rPr>
                      <w:kern w:val="0"/>
                      <w:szCs w:val="21"/>
                    </w:rPr>
                    <w:t>1台</w:t>
                  </w:r>
                </w:p>
              </w:tc>
            </w:tr>
          </w:tbl>
          <w:p>
            <w:pPr>
              <w:tabs>
                <w:tab w:val="left" w:pos="2321"/>
                <w:tab w:val="left" w:pos="5925"/>
              </w:tabs>
              <w:adjustRightInd w:val="0"/>
              <w:spacing w:line="360" w:lineRule="auto"/>
              <w:ind w:firstLine="422" w:firstLineChars="200"/>
              <w:rPr>
                <w:b/>
                <w:bCs/>
                <w:szCs w:val="21"/>
              </w:rPr>
            </w:pPr>
          </w:p>
          <w:p>
            <w:pPr>
              <w:spacing w:line="360" w:lineRule="auto"/>
              <w:rPr>
                <w:b/>
                <w:szCs w:val="21"/>
              </w:rPr>
            </w:pPr>
            <w:r>
              <w:rPr>
                <w:b/>
                <w:szCs w:val="21"/>
              </w:rPr>
              <w:t>2.6主要原辅材料及能源消耗情况</w:t>
            </w:r>
          </w:p>
          <w:p>
            <w:pPr>
              <w:widowControl/>
              <w:spacing w:line="360" w:lineRule="auto"/>
              <w:ind w:firstLine="422" w:firstLineChars="200"/>
              <w:rPr>
                <w:b/>
                <w:bCs/>
                <w:kern w:val="0"/>
                <w:szCs w:val="21"/>
                <w:lang w:bidi="ar"/>
              </w:rPr>
            </w:pPr>
            <w:r>
              <w:rPr>
                <w:b/>
                <w:bCs/>
                <w:kern w:val="0"/>
                <w:szCs w:val="21"/>
                <w:lang w:bidi="ar"/>
              </w:rPr>
              <w:t>（1）主要原辅材料、能源消耗及来源统计</w:t>
            </w:r>
          </w:p>
          <w:p>
            <w:pPr>
              <w:widowControl/>
              <w:spacing w:line="360" w:lineRule="auto"/>
              <w:ind w:firstLine="420" w:firstLineChars="200"/>
              <w:rPr>
                <w:kern w:val="0"/>
                <w:szCs w:val="21"/>
                <w:lang w:bidi="ar"/>
              </w:rPr>
            </w:pPr>
            <w:r>
              <w:rPr>
                <w:kern w:val="0"/>
                <w:szCs w:val="21"/>
                <w:lang w:bidi="ar"/>
              </w:rPr>
              <w:t>本工程采用网电钻井，消耗的能源主要是电力，根据统计，钻井期间每钻进100m耗电量约3.5万千瓦时，则本工程用电量约143万千瓦时</w:t>
            </w:r>
            <w:r>
              <w:rPr>
                <w:rFonts w:hint="eastAsia"/>
                <w:kern w:val="0"/>
                <w:szCs w:val="21"/>
                <w:lang w:bidi="ar"/>
              </w:rPr>
              <w:t>。当网电</w:t>
            </w:r>
            <w:r>
              <w:rPr>
                <w:kern w:val="0"/>
                <w:szCs w:val="21"/>
                <w:lang w:bidi="ar"/>
              </w:rPr>
              <w:t>不能使用时，采用备用</w:t>
            </w:r>
            <w:r>
              <w:rPr>
                <w:color w:val="auto"/>
                <w:kern w:val="0"/>
                <w:szCs w:val="21"/>
                <w:lang w:bidi="ar"/>
              </w:rPr>
              <w:t>柴油机发电机</w:t>
            </w:r>
            <w:r>
              <w:rPr>
                <w:kern w:val="0"/>
                <w:szCs w:val="21"/>
                <w:lang w:bidi="ar"/>
              </w:rPr>
              <w:t>组</w:t>
            </w:r>
            <w:r>
              <w:rPr>
                <w:rFonts w:hint="eastAsia"/>
                <w:kern w:val="0"/>
                <w:szCs w:val="21"/>
                <w:lang w:bidi="ar"/>
              </w:rPr>
              <w:t>提供</w:t>
            </w:r>
            <w:r>
              <w:rPr>
                <w:kern w:val="0"/>
                <w:szCs w:val="21"/>
                <w:lang w:bidi="ar"/>
              </w:rPr>
              <w:t>电力，备用</w:t>
            </w:r>
            <w:r>
              <w:rPr>
                <w:color w:val="auto"/>
                <w:kern w:val="0"/>
                <w:szCs w:val="21"/>
                <w:lang w:bidi="ar"/>
              </w:rPr>
              <w:t>柴油机发电机</w:t>
            </w:r>
            <w:r>
              <w:rPr>
                <w:kern w:val="0"/>
                <w:szCs w:val="21"/>
                <w:lang w:bidi="ar"/>
              </w:rPr>
              <w:t>组使用时间少，预计柴油用量约19t。</w:t>
            </w:r>
          </w:p>
          <w:p>
            <w:pPr>
              <w:widowControl/>
              <w:spacing w:line="360" w:lineRule="auto"/>
              <w:ind w:firstLine="420" w:firstLineChars="200"/>
              <w:rPr>
                <w:kern w:val="0"/>
                <w:szCs w:val="21"/>
                <w:lang w:bidi="ar"/>
              </w:rPr>
            </w:pPr>
            <w:r>
              <w:rPr>
                <w:kern w:val="0"/>
                <w:szCs w:val="21"/>
                <w:lang w:bidi="ar"/>
              </w:rPr>
              <w:t>钻井工程钻井液材料用量设计见表2-7，导管段采用清水钻井，一开、二开、三开段采用水基钻井液钻井（不使用钾聚磺体系钻井液）。钻井过程消耗的原辅料及能源主要有水、水泥、防塌润滑剂、降失水剂，以及污水处理用的净水剂等。</w:t>
            </w:r>
          </w:p>
          <w:p>
            <w:pPr>
              <w:widowControl/>
              <w:spacing w:line="360" w:lineRule="auto"/>
              <w:ind w:firstLine="420" w:firstLineChars="200"/>
              <w:rPr>
                <w:kern w:val="0"/>
                <w:szCs w:val="21"/>
                <w:lang w:bidi="ar"/>
              </w:rPr>
            </w:pPr>
            <w:r>
              <w:rPr>
                <w:kern w:val="0"/>
                <w:szCs w:val="21"/>
                <w:lang w:bidi="ar"/>
              </w:rPr>
              <w:t>本工程压裂方式采用裂材料用量见</w:t>
            </w:r>
            <w:r>
              <w:rPr>
                <w:rFonts w:hint="eastAsia"/>
                <w:kern w:val="0"/>
                <w:szCs w:val="21"/>
                <w:lang w:bidi="ar"/>
              </w:rPr>
              <w:t>下表</w:t>
            </w:r>
            <w:r>
              <w:rPr>
                <w:kern w:val="0"/>
                <w:szCs w:val="21"/>
                <w:lang w:bidi="ar"/>
              </w:rPr>
              <w:t>。</w:t>
            </w:r>
          </w:p>
          <w:p>
            <w:pPr>
              <w:pStyle w:val="19"/>
              <w:numPr>
                <w:ilvl w:val="0"/>
                <w:numId w:val="5"/>
              </w:numPr>
              <w:tabs>
                <w:tab w:val="left" w:pos="0"/>
                <w:tab w:val="left" w:pos="833"/>
              </w:tabs>
              <w:spacing w:before="0" w:after="0" w:line="360" w:lineRule="auto"/>
              <w:ind w:left="0" w:right="0" w:firstLine="0"/>
              <w:jc w:val="center"/>
              <w:rPr>
                <w:b/>
                <w:sz w:val="21"/>
                <w:szCs w:val="21"/>
                <w:lang w:bidi="ar"/>
              </w:rPr>
            </w:pPr>
            <w:r>
              <w:rPr>
                <w:b/>
                <w:sz w:val="21"/>
                <w:szCs w:val="21"/>
                <w:lang w:bidi="ar"/>
              </w:rPr>
              <w:t>平安101井主要原辅材料及能源消耗量统计</w:t>
            </w:r>
          </w:p>
          <w:tbl>
            <w:tblPr>
              <w:tblStyle w:val="42"/>
              <w:tblW w:w="77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2"/>
              <w:gridCol w:w="1486"/>
              <w:gridCol w:w="1115"/>
              <w:gridCol w:w="677"/>
              <w:gridCol w:w="938"/>
              <w:gridCol w:w="595"/>
              <w:gridCol w:w="17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1" w:hRule="atLeast"/>
                <w:jc w:val="center"/>
              </w:trPr>
              <w:tc>
                <w:tcPr>
                  <w:tcW w:w="1182" w:type="dxa"/>
                  <w:vAlign w:val="center"/>
                </w:tcPr>
                <w:p>
                  <w:pPr>
                    <w:pStyle w:val="361"/>
                    <w:rPr>
                      <w:szCs w:val="21"/>
                    </w:rPr>
                  </w:pPr>
                  <w:r>
                    <w:rPr>
                      <w:szCs w:val="21"/>
                      <w:lang w:bidi="ar"/>
                    </w:rPr>
                    <w:t>类型</w:t>
                  </w:r>
                </w:p>
              </w:tc>
              <w:tc>
                <w:tcPr>
                  <w:tcW w:w="1486" w:type="dxa"/>
                  <w:vAlign w:val="center"/>
                </w:tcPr>
                <w:p>
                  <w:pPr>
                    <w:pStyle w:val="361"/>
                    <w:rPr>
                      <w:szCs w:val="21"/>
                    </w:rPr>
                  </w:pPr>
                  <w:r>
                    <w:rPr>
                      <w:szCs w:val="21"/>
                      <w:lang w:bidi="ar"/>
                    </w:rPr>
                    <w:t>材料名称</w:t>
                  </w:r>
                </w:p>
              </w:tc>
              <w:tc>
                <w:tcPr>
                  <w:tcW w:w="1115" w:type="dxa"/>
                  <w:vAlign w:val="center"/>
                </w:tcPr>
                <w:p>
                  <w:pPr>
                    <w:pStyle w:val="361"/>
                    <w:rPr>
                      <w:szCs w:val="21"/>
                    </w:rPr>
                  </w:pPr>
                  <w:r>
                    <w:rPr>
                      <w:szCs w:val="21"/>
                      <w:lang w:bidi="ar"/>
                    </w:rPr>
                    <w:t>规格型号</w:t>
                  </w:r>
                </w:p>
              </w:tc>
              <w:tc>
                <w:tcPr>
                  <w:tcW w:w="677" w:type="dxa"/>
                  <w:vAlign w:val="center"/>
                </w:tcPr>
                <w:p>
                  <w:pPr>
                    <w:pStyle w:val="361"/>
                    <w:rPr>
                      <w:szCs w:val="21"/>
                    </w:rPr>
                  </w:pPr>
                  <w:r>
                    <w:rPr>
                      <w:szCs w:val="21"/>
                      <w:lang w:bidi="ar"/>
                    </w:rPr>
                    <w:t>单位</w:t>
                  </w:r>
                </w:p>
              </w:tc>
              <w:tc>
                <w:tcPr>
                  <w:tcW w:w="938" w:type="dxa"/>
                  <w:vAlign w:val="center"/>
                </w:tcPr>
                <w:p>
                  <w:pPr>
                    <w:pStyle w:val="361"/>
                    <w:rPr>
                      <w:szCs w:val="21"/>
                    </w:rPr>
                  </w:pPr>
                  <w:r>
                    <w:rPr>
                      <w:szCs w:val="21"/>
                      <w:lang w:bidi="ar"/>
                    </w:rPr>
                    <w:t>用量</w:t>
                  </w:r>
                </w:p>
              </w:tc>
              <w:tc>
                <w:tcPr>
                  <w:tcW w:w="595" w:type="dxa"/>
                  <w:vAlign w:val="center"/>
                </w:tcPr>
                <w:p>
                  <w:pPr>
                    <w:pStyle w:val="361"/>
                    <w:rPr>
                      <w:szCs w:val="21"/>
                    </w:rPr>
                  </w:pPr>
                  <w:r>
                    <w:rPr>
                      <w:szCs w:val="21"/>
                      <w:lang w:bidi="ar"/>
                    </w:rPr>
                    <w:t>最大储量</w:t>
                  </w:r>
                </w:p>
              </w:tc>
              <w:tc>
                <w:tcPr>
                  <w:tcW w:w="1785" w:type="dxa"/>
                  <w:vAlign w:val="center"/>
                </w:tcPr>
                <w:p>
                  <w:pPr>
                    <w:pStyle w:val="361"/>
                    <w:rPr>
                      <w:szCs w:val="21"/>
                      <w:lang w:bidi="ar"/>
                    </w:rPr>
                  </w:pPr>
                  <w:r>
                    <w:rPr>
                      <w:szCs w:val="21"/>
                      <w:lang w:bidi="ar"/>
                    </w:rPr>
                    <w:t>储存位置、方式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1182" w:type="dxa"/>
                  <w:vMerge w:val="restart"/>
                  <w:vAlign w:val="center"/>
                </w:tcPr>
                <w:p>
                  <w:pPr>
                    <w:pStyle w:val="361"/>
                    <w:rPr>
                      <w:szCs w:val="21"/>
                    </w:rPr>
                  </w:pPr>
                  <w:r>
                    <w:rPr>
                      <w:szCs w:val="21"/>
                      <w:lang w:bidi="ar"/>
                    </w:rPr>
                    <w:t>能源</w:t>
                  </w:r>
                </w:p>
              </w:tc>
              <w:tc>
                <w:tcPr>
                  <w:tcW w:w="1486" w:type="dxa"/>
                  <w:vAlign w:val="center"/>
                </w:tcPr>
                <w:p>
                  <w:pPr>
                    <w:pStyle w:val="361"/>
                    <w:rPr>
                      <w:szCs w:val="21"/>
                    </w:rPr>
                  </w:pPr>
                  <w:r>
                    <w:rPr>
                      <w:szCs w:val="21"/>
                    </w:rPr>
                    <w:t>电</w:t>
                  </w:r>
                </w:p>
              </w:tc>
              <w:tc>
                <w:tcPr>
                  <w:tcW w:w="1115" w:type="dxa"/>
                  <w:vAlign w:val="center"/>
                </w:tcPr>
                <w:p>
                  <w:pPr>
                    <w:pStyle w:val="361"/>
                    <w:rPr>
                      <w:szCs w:val="21"/>
                    </w:rPr>
                  </w:pPr>
                  <w:r>
                    <w:rPr>
                      <w:szCs w:val="21"/>
                    </w:rPr>
                    <w:t>/</w:t>
                  </w:r>
                </w:p>
              </w:tc>
              <w:tc>
                <w:tcPr>
                  <w:tcW w:w="677" w:type="dxa"/>
                  <w:vAlign w:val="center"/>
                </w:tcPr>
                <w:p>
                  <w:pPr>
                    <w:pStyle w:val="361"/>
                    <w:rPr>
                      <w:szCs w:val="21"/>
                    </w:rPr>
                  </w:pPr>
                  <w:r>
                    <w:rPr>
                      <w:szCs w:val="21"/>
                    </w:rPr>
                    <w:t>万kw</w:t>
                  </w:r>
                </w:p>
              </w:tc>
              <w:tc>
                <w:tcPr>
                  <w:tcW w:w="938" w:type="dxa"/>
                  <w:vAlign w:val="center"/>
                </w:tcPr>
                <w:p>
                  <w:pPr>
                    <w:pStyle w:val="361"/>
                    <w:rPr>
                      <w:szCs w:val="21"/>
                    </w:rPr>
                  </w:pPr>
                  <w:r>
                    <w:rPr>
                      <w:szCs w:val="21"/>
                    </w:rPr>
                    <w:t>143</w:t>
                  </w:r>
                </w:p>
              </w:tc>
              <w:tc>
                <w:tcPr>
                  <w:tcW w:w="595" w:type="dxa"/>
                  <w:vAlign w:val="center"/>
                </w:tcPr>
                <w:p>
                  <w:pPr>
                    <w:pStyle w:val="361"/>
                    <w:rPr>
                      <w:szCs w:val="21"/>
                    </w:rPr>
                  </w:pPr>
                  <w:r>
                    <w:rPr>
                      <w:szCs w:val="21"/>
                    </w:rPr>
                    <w:t>/</w:t>
                  </w:r>
                </w:p>
              </w:tc>
              <w:tc>
                <w:tcPr>
                  <w:tcW w:w="1785" w:type="dxa"/>
                  <w:vAlign w:val="center"/>
                </w:tcPr>
                <w:p>
                  <w:pPr>
                    <w:pStyle w:val="361"/>
                    <w:rPr>
                      <w:szCs w:val="21"/>
                    </w:rPr>
                  </w:pPr>
                  <w:r>
                    <w:rPr>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1" w:hRule="atLeast"/>
                <w:jc w:val="center"/>
              </w:trPr>
              <w:tc>
                <w:tcPr>
                  <w:tcW w:w="1182" w:type="dxa"/>
                  <w:vMerge w:val="continue"/>
                  <w:vAlign w:val="center"/>
                </w:tcPr>
                <w:p>
                  <w:pPr>
                    <w:pStyle w:val="361"/>
                    <w:rPr>
                      <w:szCs w:val="21"/>
                      <w:lang w:bidi="ar"/>
                    </w:rPr>
                  </w:pPr>
                </w:p>
              </w:tc>
              <w:tc>
                <w:tcPr>
                  <w:tcW w:w="1486" w:type="dxa"/>
                  <w:vAlign w:val="center"/>
                </w:tcPr>
                <w:p>
                  <w:pPr>
                    <w:pStyle w:val="361"/>
                    <w:rPr>
                      <w:szCs w:val="21"/>
                      <w:lang w:bidi="ar"/>
                    </w:rPr>
                  </w:pPr>
                  <w:r>
                    <w:rPr>
                      <w:szCs w:val="21"/>
                      <w:lang w:bidi="ar"/>
                    </w:rPr>
                    <w:t>柴油（备用）</w:t>
                  </w:r>
                </w:p>
              </w:tc>
              <w:tc>
                <w:tcPr>
                  <w:tcW w:w="1115" w:type="dxa"/>
                  <w:vAlign w:val="center"/>
                </w:tcPr>
                <w:p>
                  <w:pPr>
                    <w:pStyle w:val="361"/>
                    <w:rPr>
                      <w:szCs w:val="21"/>
                    </w:rPr>
                  </w:pPr>
                  <w:r>
                    <w:rPr>
                      <w:szCs w:val="21"/>
                    </w:rPr>
                    <w:t>/</w:t>
                  </w:r>
                </w:p>
              </w:tc>
              <w:tc>
                <w:tcPr>
                  <w:tcW w:w="677" w:type="dxa"/>
                  <w:vAlign w:val="center"/>
                </w:tcPr>
                <w:p>
                  <w:pPr>
                    <w:pStyle w:val="361"/>
                    <w:rPr>
                      <w:szCs w:val="21"/>
                      <w:lang w:bidi="ar"/>
                    </w:rPr>
                  </w:pPr>
                  <w:r>
                    <w:rPr>
                      <w:szCs w:val="21"/>
                      <w:lang w:bidi="ar"/>
                    </w:rPr>
                    <w:t>t</w:t>
                  </w:r>
                </w:p>
              </w:tc>
              <w:tc>
                <w:tcPr>
                  <w:tcW w:w="938" w:type="dxa"/>
                  <w:vAlign w:val="center"/>
                </w:tcPr>
                <w:p>
                  <w:pPr>
                    <w:pStyle w:val="361"/>
                    <w:rPr>
                      <w:szCs w:val="21"/>
                      <w:lang w:bidi="ar"/>
                    </w:rPr>
                  </w:pPr>
                  <w:r>
                    <w:rPr>
                      <w:szCs w:val="21"/>
                      <w:lang w:bidi="ar"/>
                    </w:rPr>
                    <w:t>19</w:t>
                  </w:r>
                </w:p>
              </w:tc>
              <w:tc>
                <w:tcPr>
                  <w:tcW w:w="595" w:type="dxa"/>
                  <w:vAlign w:val="center"/>
                </w:tcPr>
                <w:p>
                  <w:pPr>
                    <w:pStyle w:val="361"/>
                    <w:rPr>
                      <w:szCs w:val="21"/>
                      <w:lang w:bidi="ar"/>
                    </w:rPr>
                  </w:pPr>
                  <w:r>
                    <w:rPr>
                      <w:szCs w:val="21"/>
                      <w:lang w:bidi="ar"/>
                    </w:rPr>
                    <w:t>19</w:t>
                  </w:r>
                </w:p>
              </w:tc>
              <w:tc>
                <w:tcPr>
                  <w:tcW w:w="1785" w:type="dxa"/>
                  <w:vAlign w:val="center"/>
                </w:tcPr>
                <w:p>
                  <w:pPr>
                    <w:pStyle w:val="361"/>
                    <w:rPr>
                      <w:szCs w:val="21"/>
                      <w:lang w:bidi="ar"/>
                    </w:rPr>
                  </w:pPr>
                  <w:r>
                    <w:rPr>
                      <w:szCs w:val="21"/>
                      <w:lang w:bidi="ar"/>
                    </w:rPr>
                    <w:t>柴油罐区，容积为</w:t>
                  </w:r>
                  <w:r>
                    <w:rPr>
                      <w:szCs w:val="21"/>
                    </w:rPr>
                    <w:t>20m</w:t>
                  </w:r>
                  <w:r>
                    <w:rPr>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1182" w:type="dxa"/>
                  <w:vMerge w:val="restart"/>
                  <w:vAlign w:val="center"/>
                </w:tcPr>
                <w:p>
                  <w:pPr>
                    <w:pStyle w:val="361"/>
                    <w:rPr>
                      <w:szCs w:val="21"/>
                    </w:rPr>
                  </w:pPr>
                  <w:r>
                    <w:rPr>
                      <w:szCs w:val="21"/>
                      <w:lang w:bidi="ar"/>
                    </w:rPr>
                    <w:t>钻井、固井等作业</w:t>
                  </w:r>
                </w:p>
              </w:tc>
              <w:tc>
                <w:tcPr>
                  <w:tcW w:w="1486" w:type="dxa"/>
                  <w:vAlign w:val="center"/>
                </w:tcPr>
                <w:p>
                  <w:pPr>
                    <w:pStyle w:val="361"/>
                    <w:rPr>
                      <w:szCs w:val="21"/>
                    </w:rPr>
                  </w:pPr>
                  <w:r>
                    <w:rPr>
                      <w:szCs w:val="21"/>
                      <w:lang w:bidi="ar"/>
                    </w:rPr>
                    <w:t>钻头</w:t>
                  </w:r>
                </w:p>
              </w:tc>
              <w:tc>
                <w:tcPr>
                  <w:tcW w:w="1115" w:type="dxa"/>
                  <w:vAlign w:val="center"/>
                </w:tcPr>
                <w:p>
                  <w:pPr>
                    <w:pStyle w:val="361"/>
                    <w:rPr>
                      <w:szCs w:val="21"/>
                    </w:rPr>
                  </w:pPr>
                  <w:r>
                    <w:rPr>
                      <w:szCs w:val="21"/>
                      <w:lang w:bidi="ar"/>
                    </w:rPr>
                    <w:t>PDC</w:t>
                  </w:r>
                </w:p>
              </w:tc>
              <w:tc>
                <w:tcPr>
                  <w:tcW w:w="677" w:type="dxa"/>
                  <w:vAlign w:val="center"/>
                </w:tcPr>
                <w:p>
                  <w:pPr>
                    <w:pStyle w:val="361"/>
                    <w:rPr>
                      <w:szCs w:val="21"/>
                    </w:rPr>
                  </w:pPr>
                  <w:r>
                    <w:rPr>
                      <w:szCs w:val="21"/>
                      <w:lang w:bidi="ar"/>
                    </w:rPr>
                    <w:t>只</w:t>
                  </w:r>
                </w:p>
              </w:tc>
              <w:tc>
                <w:tcPr>
                  <w:tcW w:w="938" w:type="dxa"/>
                  <w:vAlign w:val="center"/>
                </w:tcPr>
                <w:p>
                  <w:pPr>
                    <w:pStyle w:val="361"/>
                    <w:rPr>
                      <w:szCs w:val="21"/>
                    </w:rPr>
                  </w:pPr>
                  <w:r>
                    <w:rPr>
                      <w:szCs w:val="21"/>
                      <w:lang w:bidi="ar"/>
                    </w:rPr>
                    <w:t>10</w:t>
                  </w:r>
                </w:p>
              </w:tc>
              <w:tc>
                <w:tcPr>
                  <w:tcW w:w="595" w:type="dxa"/>
                  <w:vAlign w:val="center"/>
                </w:tcPr>
                <w:p>
                  <w:pPr>
                    <w:pStyle w:val="361"/>
                    <w:rPr>
                      <w:szCs w:val="21"/>
                    </w:rPr>
                  </w:pPr>
                  <w:r>
                    <w:rPr>
                      <w:szCs w:val="21"/>
                      <w:lang w:bidi="ar"/>
                    </w:rPr>
                    <w:t>10</w:t>
                  </w:r>
                </w:p>
              </w:tc>
              <w:tc>
                <w:tcPr>
                  <w:tcW w:w="1785" w:type="dxa"/>
                  <w:vAlign w:val="center"/>
                </w:tcPr>
                <w:p>
                  <w:pPr>
                    <w:pStyle w:val="361"/>
                    <w:rPr>
                      <w:szCs w:val="21"/>
                    </w:rPr>
                  </w:pPr>
                  <w:r>
                    <w:rPr>
                      <w:szCs w:val="21"/>
                      <w:lang w:bidi="ar"/>
                    </w:rPr>
                    <w:t>工具房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1182" w:type="dxa"/>
                  <w:vMerge w:val="continue"/>
                  <w:vAlign w:val="center"/>
                </w:tcPr>
                <w:p>
                  <w:pPr>
                    <w:pStyle w:val="361"/>
                    <w:rPr>
                      <w:szCs w:val="21"/>
                    </w:rPr>
                  </w:pPr>
                </w:p>
              </w:tc>
              <w:tc>
                <w:tcPr>
                  <w:tcW w:w="1486" w:type="dxa"/>
                  <w:vAlign w:val="center"/>
                </w:tcPr>
                <w:p>
                  <w:pPr>
                    <w:pStyle w:val="361"/>
                    <w:rPr>
                      <w:szCs w:val="21"/>
                    </w:rPr>
                  </w:pPr>
                  <w:r>
                    <w:rPr>
                      <w:szCs w:val="21"/>
                      <w:lang w:bidi="ar"/>
                    </w:rPr>
                    <w:t>固井水泥</w:t>
                  </w:r>
                </w:p>
              </w:tc>
              <w:tc>
                <w:tcPr>
                  <w:tcW w:w="1115" w:type="dxa"/>
                  <w:vAlign w:val="center"/>
                </w:tcPr>
                <w:p>
                  <w:pPr>
                    <w:pStyle w:val="361"/>
                    <w:rPr>
                      <w:szCs w:val="21"/>
                    </w:rPr>
                  </w:pPr>
                  <w:r>
                    <w:rPr>
                      <w:szCs w:val="21"/>
                      <w:lang w:bidi="ar"/>
                    </w:rPr>
                    <w:t>G</w:t>
                  </w:r>
                </w:p>
              </w:tc>
              <w:tc>
                <w:tcPr>
                  <w:tcW w:w="677" w:type="dxa"/>
                  <w:vAlign w:val="center"/>
                </w:tcPr>
                <w:p>
                  <w:pPr>
                    <w:pStyle w:val="361"/>
                    <w:rPr>
                      <w:szCs w:val="21"/>
                    </w:rPr>
                  </w:pPr>
                  <w:r>
                    <w:rPr>
                      <w:szCs w:val="21"/>
                      <w:lang w:bidi="ar"/>
                    </w:rPr>
                    <w:t>t</w:t>
                  </w:r>
                </w:p>
              </w:tc>
              <w:tc>
                <w:tcPr>
                  <w:tcW w:w="938" w:type="dxa"/>
                  <w:vAlign w:val="center"/>
                </w:tcPr>
                <w:p>
                  <w:pPr>
                    <w:pStyle w:val="361"/>
                    <w:rPr>
                      <w:szCs w:val="21"/>
                    </w:rPr>
                  </w:pPr>
                  <w:r>
                    <w:rPr>
                      <w:szCs w:val="21"/>
                      <w:lang w:bidi="ar"/>
                    </w:rPr>
                    <w:t>174</w:t>
                  </w:r>
                </w:p>
              </w:tc>
              <w:tc>
                <w:tcPr>
                  <w:tcW w:w="595" w:type="dxa"/>
                  <w:vAlign w:val="center"/>
                </w:tcPr>
                <w:p>
                  <w:pPr>
                    <w:pStyle w:val="361"/>
                    <w:rPr>
                      <w:szCs w:val="21"/>
                    </w:rPr>
                  </w:pPr>
                  <w:r>
                    <w:rPr>
                      <w:szCs w:val="21"/>
                    </w:rPr>
                    <w:t>200</w:t>
                  </w:r>
                </w:p>
              </w:tc>
              <w:tc>
                <w:tcPr>
                  <w:tcW w:w="1785" w:type="dxa"/>
                  <w:vAlign w:val="center"/>
                </w:tcPr>
                <w:p>
                  <w:pPr>
                    <w:pStyle w:val="361"/>
                    <w:rPr>
                      <w:szCs w:val="21"/>
                    </w:rPr>
                  </w:pPr>
                  <w:r>
                    <w:rPr>
                      <w:szCs w:val="21"/>
                      <w:lang w:bidi="ar"/>
                    </w:rPr>
                    <w:t>材料区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1182" w:type="dxa"/>
                  <w:vAlign w:val="center"/>
                </w:tcPr>
                <w:p>
                  <w:pPr>
                    <w:pStyle w:val="361"/>
                    <w:rPr>
                      <w:szCs w:val="21"/>
                      <w:lang w:bidi="ar"/>
                    </w:rPr>
                  </w:pPr>
                  <w:r>
                    <w:rPr>
                      <w:szCs w:val="21"/>
                      <w:lang w:bidi="ar"/>
                    </w:rPr>
                    <w:t>试油、完井作业</w:t>
                  </w:r>
                </w:p>
              </w:tc>
              <w:tc>
                <w:tcPr>
                  <w:tcW w:w="1486" w:type="dxa"/>
                  <w:vAlign w:val="center"/>
                </w:tcPr>
                <w:p>
                  <w:pPr>
                    <w:pStyle w:val="361"/>
                    <w:rPr>
                      <w:szCs w:val="21"/>
                      <w:lang w:bidi="ar"/>
                    </w:rPr>
                  </w:pPr>
                  <w:r>
                    <w:rPr>
                      <w:szCs w:val="21"/>
                      <w:lang w:bidi="ar"/>
                    </w:rPr>
                    <w:t>酸化洗井用</w:t>
                  </w:r>
                </w:p>
                <w:p>
                  <w:pPr>
                    <w:pStyle w:val="361"/>
                    <w:rPr>
                      <w:szCs w:val="21"/>
                      <w:lang w:bidi="ar"/>
                    </w:rPr>
                  </w:pPr>
                  <w:r>
                    <w:rPr>
                      <w:szCs w:val="21"/>
                      <w:lang w:bidi="ar"/>
                    </w:rPr>
                    <w:t>胶束酸</w:t>
                  </w:r>
                </w:p>
              </w:tc>
              <w:tc>
                <w:tcPr>
                  <w:tcW w:w="1115" w:type="dxa"/>
                  <w:vAlign w:val="center"/>
                </w:tcPr>
                <w:p>
                  <w:pPr>
                    <w:pStyle w:val="361"/>
                    <w:rPr>
                      <w:szCs w:val="21"/>
                      <w:lang w:bidi="ar"/>
                    </w:rPr>
                  </w:pPr>
                  <w:r>
                    <w:rPr>
                      <w:szCs w:val="21"/>
                      <w:lang w:bidi="ar"/>
                    </w:rPr>
                    <w:t>稀盐酸、低分子醇、磷化物等，pH＜5。</w:t>
                  </w:r>
                </w:p>
              </w:tc>
              <w:tc>
                <w:tcPr>
                  <w:tcW w:w="677" w:type="dxa"/>
                  <w:vAlign w:val="center"/>
                </w:tcPr>
                <w:p>
                  <w:pPr>
                    <w:pStyle w:val="361"/>
                    <w:rPr>
                      <w:szCs w:val="21"/>
                      <w:lang w:bidi="ar"/>
                    </w:rPr>
                  </w:pPr>
                  <w:r>
                    <w:rPr>
                      <w:szCs w:val="21"/>
                      <w:lang w:bidi="ar"/>
                    </w:rPr>
                    <w:t>m</w:t>
                  </w:r>
                  <w:r>
                    <w:rPr>
                      <w:szCs w:val="21"/>
                      <w:vertAlign w:val="superscript"/>
                      <w:lang w:bidi="ar"/>
                    </w:rPr>
                    <w:t>3</w:t>
                  </w:r>
                </w:p>
              </w:tc>
              <w:tc>
                <w:tcPr>
                  <w:tcW w:w="938" w:type="dxa"/>
                  <w:vAlign w:val="center"/>
                </w:tcPr>
                <w:p>
                  <w:pPr>
                    <w:pStyle w:val="361"/>
                    <w:rPr>
                      <w:szCs w:val="21"/>
                      <w:lang w:bidi="ar"/>
                    </w:rPr>
                  </w:pPr>
                  <w:r>
                    <w:rPr>
                      <w:szCs w:val="21"/>
                      <w:lang w:bidi="ar"/>
                    </w:rPr>
                    <w:t>300</w:t>
                  </w:r>
                </w:p>
              </w:tc>
              <w:tc>
                <w:tcPr>
                  <w:tcW w:w="595" w:type="dxa"/>
                  <w:vAlign w:val="center"/>
                </w:tcPr>
                <w:p>
                  <w:pPr>
                    <w:pStyle w:val="361"/>
                    <w:rPr>
                      <w:szCs w:val="21"/>
                      <w:lang w:bidi="ar"/>
                    </w:rPr>
                  </w:pPr>
                  <w:r>
                    <w:rPr>
                      <w:szCs w:val="21"/>
                      <w:lang w:bidi="ar"/>
                    </w:rPr>
                    <w:t>100</w:t>
                  </w:r>
                </w:p>
              </w:tc>
              <w:tc>
                <w:tcPr>
                  <w:tcW w:w="1785" w:type="dxa"/>
                  <w:vAlign w:val="center"/>
                </w:tcPr>
                <w:p>
                  <w:pPr>
                    <w:pStyle w:val="361"/>
                    <w:rPr>
                      <w:szCs w:val="21"/>
                    </w:rPr>
                  </w:pPr>
                  <w:r>
                    <w:rPr>
                      <w:szCs w:val="21"/>
                    </w:rPr>
                    <w:t>2个50m</w:t>
                  </w:r>
                  <w:r>
                    <w:rPr>
                      <w:szCs w:val="21"/>
                      <w:vertAlign w:val="superscript"/>
                    </w:rPr>
                    <w:t>3</w:t>
                  </w:r>
                  <w:r>
                    <w:rPr>
                      <w:szCs w:val="21"/>
                    </w:rPr>
                    <w:t>玻璃钢罐，酸化前三天运至现场暂存。盐酸浓度7%。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1182" w:type="dxa"/>
                  <w:vMerge w:val="restart"/>
                  <w:vAlign w:val="center"/>
                </w:tcPr>
                <w:p>
                  <w:pPr>
                    <w:pStyle w:val="361"/>
                    <w:rPr>
                      <w:szCs w:val="21"/>
                      <w:lang w:bidi="ar"/>
                    </w:rPr>
                  </w:pPr>
                  <w:r>
                    <w:rPr>
                      <w:szCs w:val="21"/>
                      <w:lang w:bidi="ar"/>
                    </w:rPr>
                    <w:t>废水井场就地预处理药剂</w:t>
                  </w:r>
                </w:p>
              </w:tc>
              <w:tc>
                <w:tcPr>
                  <w:tcW w:w="1486" w:type="dxa"/>
                  <w:vAlign w:val="center"/>
                </w:tcPr>
                <w:p>
                  <w:pPr>
                    <w:pStyle w:val="361"/>
                    <w:rPr>
                      <w:szCs w:val="21"/>
                      <w:lang w:bidi="ar"/>
                    </w:rPr>
                  </w:pPr>
                  <w:r>
                    <w:rPr>
                      <w:szCs w:val="21"/>
                      <w:lang w:bidi="ar"/>
                    </w:rPr>
                    <w:t>无机盐混凝剂</w:t>
                  </w:r>
                </w:p>
              </w:tc>
              <w:tc>
                <w:tcPr>
                  <w:tcW w:w="1115" w:type="dxa"/>
                  <w:vAlign w:val="center"/>
                </w:tcPr>
                <w:p>
                  <w:pPr>
                    <w:pStyle w:val="361"/>
                    <w:rPr>
                      <w:szCs w:val="21"/>
                      <w:lang w:bidi="ar"/>
                    </w:rPr>
                  </w:pPr>
                  <w:r>
                    <w:rPr>
                      <w:szCs w:val="21"/>
                      <w:lang w:bidi="ar"/>
                    </w:rPr>
                    <w:t>/</w:t>
                  </w:r>
                </w:p>
              </w:tc>
              <w:tc>
                <w:tcPr>
                  <w:tcW w:w="677" w:type="dxa"/>
                  <w:vAlign w:val="center"/>
                </w:tcPr>
                <w:p>
                  <w:pPr>
                    <w:pStyle w:val="361"/>
                    <w:rPr>
                      <w:szCs w:val="21"/>
                      <w:lang w:bidi="ar"/>
                    </w:rPr>
                  </w:pPr>
                  <w:r>
                    <w:rPr>
                      <w:szCs w:val="21"/>
                      <w:lang w:bidi="ar"/>
                    </w:rPr>
                    <w:t>t</w:t>
                  </w:r>
                </w:p>
              </w:tc>
              <w:tc>
                <w:tcPr>
                  <w:tcW w:w="938" w:type="dxa"/>
                  <w:vAlign w:val="center"/>
                </w:tcPr>
                <w:p>
                  <w:pPr>
                    <w:pStyle w:val="361"/>
                    <w:rPr>
                      <w:szCs w:val="21"/>
                      <w:lang w:bidi="ar"/>
                    </w:rPr>
                  </w:pPr>
                  <w:r>
                    <w:rPr>
                      <w:szCs w:val="21"/>
                      <w:lang w:bidi="ar"/>
                    </w:rPr>
                    <w:t>5</w:t>
                  </w:r>
                </w:p>
              </w:tc>
              <w:tc>
                <w:tcPr>
                  <w:tcW w:w="595" w:type="dxa"/>
                  <w:vAlign w:val="center"/>
                </w:tcPr>
                <w:p>
                  <w:pPr>
                    <w:pStyle w:val="361"/>
                    <w:rPr>
                      <w:szCs w:val="21"/>
                      <w:lang w:bidi="ar"/>
                    </w:rPr>
                  </w:pPr>
                  <w:r>
                    <w:rPr>
                      <w:szCs w:val="21"/>
                      <w:lang w:bidi="ar"/>
                    </w:rPr>
                    <w:t>5</w:t>
                  </w:r>
                </w:p>
              </w:tc>
              <w:tc>
                <w:tcPr>
                  <w:tcW w:w="1785" w:type="dxa"/>
                  <w:vMerge w:val="restart"/>
                  <w:vAlign w:val="center"/>
                </w:tcPr>
                <w:p>
                  <w:pPr>
                    <w:pStyle w:val="361"/>
                    <w:rPr>
                      <w:szCs w:val="21"/>
                      <w:lang w:bidi="ar"/>
                    </w:rPr>
                  </w:pPr>
                  <w:r>
                    <w:rPr>
                      <w:szCs w:val="21"/>
                      <w:lang w:bidi="ar"/>
                    </w:rPr>
                    <w:t>材料区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1182" w:type="dxa"/>
                  <w:vMerge w:val="continue"/>
                  <w:vAlign w:val="center"/>
                </w:tcPr>
                <w:p>
                  <w:pPr>
                    <w:pStyle w:val="361"/>
                    <w:rPr>
                      <w:szCs w:val="21"/>
                      <w:lang w:bidi="ar"/>
                    </w:rPr>
                  </w:pPr>
                </w:p>
              </w:tc>
              <w:tc>
                <w:tcPr>
                  <w:tcW w:w="1486" w:type="dxa"/>
                  <w:vAlign w:val="center"/>
                </w:tcPr>
                <w:p>
                  <w:pPr>
                    <w:pStyle w:val="361"/>
                    <w:rPr>
                      <w:szCs w:val="21"/>
                      <w:lang w:bidi="ar"/>
                    </w:rPr>
                  </w:pPr>
                  <w:r>
                    <w:rPr>
                      <w:szCs w:val="21"/>
                      <w:lang w:bidi="ar"/>
                    </w:rPr>
                    <w:t>有机絮凝剂</w:t>
                  </w:r>
                </w:p>
              </w:tc>
              <w:tc>
                <w:tcPr>
                  <w:tcW w:w="1115" w:type="dxa"/>
                  <w:vAlign w:val="center"/>
                </w:tcPr>
                <w:p>
                  <w:pPr>
                    <w:pStyle w:val="361"/>
                    <w:rPr>
                      <w:szCs w:val="21"/>
                      <w:lang w:bidi="ar"/>
                    </w:rPr>
                  </w:pPr>
                  <w:r>
                    <w:rPr>
                      <w:szCs w:val="21"/>
                      <w:lang w:bidi="ar"/>
                    </w:rPr>
                    <w:t>/</w:t>
                  </w:r>
                </w:p>
              </w:tc>
              <w:tc>
                <w:tcPr>
                  <w:tcW w:w="677" w:type="dxa"/>
                  <w:vAlign w:val="center"/>
                </w:tcPr>
                <w:p>
                  <w:pPr>
                    <w:pStyle w:val="361"/>
                    <w:rPr>
                      <w:szCs w:val="21"/>
                      <w:lang w:bidi="ar"/>
                    </w:rPr>
                  </w:pPr>
                  <w:r>
                    <w:rPr>
                      <w:szCs w:val="21"/>
                      <w:lang w:bidi="ar"/>
                    </w:rPr>
                    <w:t>t</w:t>
                  </w:r>
                </w:p>
              </w:tc>
              <w:tc>
                <w:tcPr>
                  <w:tcW w:w="938" w:type="dxa"/>
                  <w:vAlign w:val="center"/>
                </w:tcPr>
                <w:p>
                  <w:pPr>
                    <w:pStyle w:val="361"/>
                    <w:rPr>
                      <w:szCs w:val="21"/>
                      <w:lang w:bidi="ar"/>
                    </w:rPr>
                  </w:pPr>
                  <w:r>
                    <w:rPr>
                      <w:szCs w:val="21"/>
                      <w:lang w:bidi="ar"/>
                    </w:rPr>
                    <w:t>0.3</w:t>
                  </w:r>
                </w:p>
              </w:tc>
              <w:tc>
                <w:tcPr>
                  <w:tcW w:w="595" w:type="dxa"/>
                  <w:vAlign w:val="center"/>
                </w:tcPr>
                <w:p>
                  <w:pPr>
                    <w:pStyle w:val="361"/>
                    <w:rPr>
                      <w:szCs w:val="21"/>
                      <w:lang w:bidi="ar"/>
                    </w:rPr>
                  </w:pPr>
                  <w:r>
                    <w:rPr>
                      <w:szCs w:val="21"/>
                      <w:lang w:bidi="ar"/>
                    </w:rPr>
                    <w:t>0.3</w:t>
                  </w:r>
                </w:p>
              </w:tc>
              <w:tc>
                <w:tcPr>
                  <w:tcW w:w="1785" w:type="dxa"/>
                  <w:vMerge w:val="continue"/>
                  <w:vAlign w:val="center"/>
                </w:tcPr>
                <w:p>
                  <w:pPr>
                    <w:pStyle w:val="361"/>
                    <w:rPr>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1182" w:type="dxa"/>
                  <w:vMerge w:val="continue"/>
                  <w:vAlign w:val="center"/>
                </w:tcPr>
                <w:p>
                  <w:pPr>
                    <w:pStyle w:val="361"/>
                    <w:rPr>
                      <w:szCs w:val="21"/>
                      <w:lang w:bidi="ar"/>
                    </w:rPr>
                  </w:pPr>
                </w:p>
              </w:tc>
              <w:tc>
                <w:tcPr>
                  <w:tcW w:w="1486" w:type="dxa"/>
                  <w:vAlign w:val="center"/>
                </w:tcPr>
                <w:p>
                  <w:pPr>
                    <w:pStyle w:val="361"/>
                    <w:rPr>
                      <w:szCs w:val="21"/>
                      <w:lang w:bidi="ar"/>
                    </w:rPr>
                  </w:pPr>
                  <w:r>
                    <w:rPr>
                      <w:szCs w:val="21"/>
                      <w:lang w:bidi="ar"/>
                    </w:rPr>
                    <w:t>次氯酸钠</w:t>
                  </w:r>
                </w:p>
              </w:tc>
              <w:tc>
                <w:tcPr>
                  <w:tcW w:w="1115" w:type="dxa"/>
                  <w:vAlign w:val="center"/>
                </w:tcPr>
                <w:p>
                  <w:pPr>
                    <w:pStyle w:val="361"/>
                    <w:rPr>
                      <w:szCs w:val="21"/>
                      <w:lang w:bidi="ar"/>
                    </w:rPr>
                  </w:pPr>
                  <w:r>
                    <w:rPr>
                      <w:szCs w:val="21"/>
                      <w:lang w:bidi="ar"/>
                    </w:rPr>
                    <w:t>/</w:t>
                  </w:r>
                </w:p>
              </w:tc>
              <w:tc>
                <w:tcPr>
                  <w:tcW w:w="677" w:type="dxa"/>
                  <w:vAlign w:val="center"/>
                </w:tcPr>
                <w:p>
                  <w:pPr>
                    <w:pStyle w:val="361"/>
                    <w:rPr>
                      <w:szCs w:val="21"/>
                      <w:lang w:bidi="ar"/>
                    </w:rPr>
                  </w:pPr>
                  <w:r>
                    <w:rPr>
                      <w:szCs w:val="21"/>
                      <w:lang w:bidi="ar"/>
                    </w:rPr>
                    <w:t>t</w:t>
                  </w:r>
                </w:p>
              </w:tc>
              <w:tc>
                <w:tcPr>
                  <w:tcW w:w="938" w:type="dxa"/>
                  <w:vAlign w:val="center"/>
                </w:tcPr>
                <w:p>
                  <w:pPr>
                    <w:pStyle w:val="361"/>
                    <w:rPr>
                      <w:szCs w:val="21"/>
                      <w:lang w:bidi="ar"/>
                    </w:rPr>
                  </w:pPr>
                  <w:r>
                    <w:rPr>
                      <w:szCs w:val="21"/>
                      <w:lang w:bidi="ar"/>
                    </w:rPr>
                    <w:t>0.2</w:t>
                  </w:r>
                </w:p>
              </w:tc>
              <w:tc>
                <w:tcPr>
                  <w:tcW w:w="595" w:type="dxa"/>
                  <w:vAlign w:val="center"/>
                </w:tcPr>
                <w:p>
                  <w:pPr>
                    <w:pStyle w:val="361"/>
                    <w:rPr>
                      <w:szCs w:val="21"/>
                      <w:lang w:bidi="ar"/>
                    </w:rPr>
                  </w:pPr>
                  <w:r>
                    <w:rPr>
                      <w:szCs w:val="21"/>
                      <w:lang w:bidi="ar"/>
                    </w:rPr>
                    <w:t>0.2</w:t>
                  </w:r>
                </w:p>
              </w:tc>
              <w:tc>
                <w:tcPr>
                  <w:tcW w:w="1785" w:type="dxa"/>
                  <w:vMerge w:val="continue"/>
                  <w:vAlign w:val="center"/>
                </w:tcPr>
                <w:p>
                  <w:pPr>
                    <w:pStyle w:val="361"/>
                    <w:rPr>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1182" w:type="dxa"/>
                  <w:vMerge w:val="continue"/>
                  <w:vAlign w:val="center"/>
                </w:tcPr>
                <w:p>
                  <w:pPr>
                    <w:pStyle w:val="361"/>
                    <w:rPr>
                      <w:szCs w:val="21"/>
                      <w:lang w:bidi="ar"/>
                    </w:rPr>
                  </w:pPr>
                </w:p>
              </w:tc>
              <w:tc>
                <w:tcPr>
                  <w:tcW w:w="1486" w:type="dxa"/>
                  <w:vAlign w:val="center"/>
                </w:tcPr>
                <w:p>
                  <w:pPr>
                    <w:pStyle w:val="361"/>
                    <w:rPr>
                      <w:szCs w:val="21"/>
                      <w:lang w:bidi="ar"/>
                    </w:rPr>
                  </w:pPr>
                  <w:r>
                    <w:rPr>
                      <w:szCs w:val="21"/>
                      <w:lang w:bidi="ar"/>
                    </w:rPr>
                    <w:t>氧化钙</w:t>
                  </w:r>
                </w:p>
              </w:tc>
              <w:tc>
                <w:tcPr>
                  <w:tcW w:w="1115" w:type="dxa"/>
                  <w:vAlign w:val="center"/>
                </w:tcPr>
                <w:p>
                  <w:pPr>
                    <w:pStyle w:val="361"/>
                    <w:rPr>
                      <w:szCs w:val="21"/>
                      <w:lang w:bidi="ar"/>
                    </w:rPr>
                  </w:pPr>
                  <w:r>
                    <w:rPr>
                      <w:szCs w:val="21"/>
                      <w:lang w:bidi="ar"/>
                    </w:rPr>
                    <w:t>/</w:t>
                  </w:r>
                </w:p>
              </w:tc>
              <w:tc>
                <w:tcPr>
                  <w:tcW w:w="677" w:type="dxa"/>
                  <w:vAlign w:val="center"/>
                </w:tcPr>
                <w:p>
                  <w:pPr>
                    <w:pStyle w:val="361"/>
                    <w:rPr>
                      <w:szCs w:val="21"/>
                      <w:lang w:bidi="ar"/>
                    </w:rPr>
                  </w:pPr>
                  <w:r>
                    <w:rPr>
                      <w:szCs w:val="21"/>
                      <w:lang w:bidi="ar"/>
                    </w:rPr>
                    <w:t>t</w:t>
                  </w:r>
                </w:p>
              </w:tc>
              <w:tc>
                <w:tcPr>
                  <w:tcW w:w="938" w:type="dxa"/>
                  <w:vAlign w:val="center"/>
                </w:tcPr>
                <w:p>
                  <w:pPr>
                    <w:pStyle w:val="361"/>
                    <w:rPr>
                      <w:szCs w:val="21"/>
                      <w:lang w:bidi="ar"/>
                    </w:rPr>
                  </w:pPr>
                  <w:r>
                    <w:rPr>
                      <w:szCs w:val="21"/>
                      <w:lang w:bidi="ar"/>
                    </w:rPr>
                    <w:t>0.2</w:t>
                  </w:r>
                </w:p>
              </w:tc>
              <w:tc>
                <w:tcPr>
                  <w:tcW w:w="595" w:type="dxa"/>
                  <w:vAlign w:val="center"/>
                </w:tcPr>
                <w:p>
                  <w:pPr>
                    <w:pStyle w:val="361"/>
                    <w:rPr>
                      <w:szCs w:val="21"/>
                      <w:lang w:bidi="ar"/>
                    </w:rPr>
                  </w:pPr>
                  <w:r>
                    <w:rPr>
                      <w:szCs w:val="21"/>
                      <w:lang w:bidi="ar"/>
                    </w:rPr>
                    <w:t>0.2</w:t>
                  </w:r>
                </w:p>
              </w:tc>
              <w:tc>
                <w:tcPr>
                  <w:tcW w:w="1785" w:type="dxa"/>
                  <w:vMerge w:val="continue"/>
                  <w:vAlign w:val="center"/>
                </w:tcPr>
                <w:p>
                  <w:pPr>
                    <w:pStyle w:val="361"/>
                    <w:rPr>
                      <w:szCs w:val="21"/>
                      <w:lang w:bidi="ar"/>
                    </w:rPr>
                  </w:pPr>
                </w:p>
              </w:tc>
            </w:tr>
          </w:tbl>
          <w:p>
            <w:pPr>
              <w:spacing w:line="360" w:lineRule="auto"/>
              <w:jc w:val="left"/>
              <w:rPr>
                <w:b/>
                <w:bCs/>
                <w:szCs w:val="21"/>
              </w:rPr>
            </w:pPr>
          </w:p>
          <w:p>
            <w:pPr>
              <w:pStyle w:val="19"/>
              <w:numPr>
                <w:ilvl w:val="0"/>
                <w:numId w:val="5"/>
              </w:numPr>
              <w:tabs>
                <w:tab w:val="left" w:pos="0"/>
                <w:tab w:val="left" w:pos="833"/>
              </w:tabs>
              <w:spacing w:before="0" w:after="0" w:line="360" w:lineRule="auto"/>
              <w:ind w:left="0" w:right="0" w:firstLine="0"/>
              <w:jc w:val="center"/>
              <w:rPr>
                <w:b/>
                <w:bCs/>
                <w:sz w:val="21"/>
                <w:szCs w:val="21"/>
              </w:rPr>
            </w:pPr>
            <w:r>
              <w:rPr>
                <w:b/>
                <w:bCs/>
                <w:sz w:val="21"/>
                <w:szCs w:val="21"/>
              </w:rPr>
              <w:t>平安101井钻井工程钻井液材料用量设计</w:t>
            </w:r>
          </w:p>
          <w:tbl>
            <w:tblPr>
              <w:tblStyle w:val="42"/>
              <w:tblW w:w="79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6"/>
              <w:gridCol w:w="992"/>
              <w:gridCol w:w="920"/>
              <w:gridCol w:w="1120"/>
              <w:gridCol w:w="65"/>
              <w:gridCol w:w="1185"/>
              <w:gridCol w:w="1102"/>
              <w:gridCol w:w="12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1296" w:type="dxa"/>
                  <w:vAlign w:val="center"/>
                </w:tcPr>
                <w:p>
                  <w:pPr>
                    <w:pStyle w:val="361"/>
                    <w:rPr>
                      <w:szCs w:val="21"/>
                    </w:rPr>
                  </w:pPr>
                  <w:r>
                    <w:rPr>
                      <w:szCs w:val="21"/>
                    </w:rPr>
                    <w:t>开钻次序</w:t>
                  </w:r>
                </w:p>
              </w:tc>
              <w:tc>
                <w:tcPr>
                  <w:tcW w:w="1912" w:type="dxa"/>
                  <w:gridSpan w:val="2"/>
                  <w:vAlign w:val="center"/>
                </w:tcPr>
                <w:p>
                  <w:pPr>
                    <w:pStyle w:val="361"/>
                    <w:rPr>
                      <w:szCs w:val="21"/>
                    </w:rPr>
                  </w:pPr>
                  <w:r>
                    <w:rPr>
                      <w:szCs w:val="21"/>
                    </w:rPr>
                    <w:t>导管段</w:t>
                  </w:r>
                </w:p>
              </w:tc>
              <w:tc>
                <w:tcPr>
                  <w:tcW w:w="1185" w:type="dxa"/>
                  <w:gridSpan w:val="2"/>
                  <w:vAlign w:val="center"/>
                </w:tcPr>
                <w:p>
                  <w:pPr>
                    <w:pStyle w:val="361"/>
                    <w:rPr>
                      <w:szCs w:val="21"/>
                    </w:rPr>
                  </w:pPr>
                  <w:r>
                    <w:rPr>
                      <w:szCs w:val="21"/>
                    </w:rPr>
                    <w:t>一开</w:t>
                  </w:r>
                </w:p>
              </w:tc>
              <w:tc>
                <w:tcPr>
                  <w:tcW w:w="1185" w:type="dxa"/>
                  <w:vAlign w:val="center"/>
                </w:tcPr>
                <w:p>
                  <w:pPr>
                    <w:pStyle w:val="361"/>
                    <w:rPr>
                      <w:szCs w:val="21"/>
                    </w:rPr>
                  </w:pPr>
                  <w:r>
                    <w:rPr>
                      <w:szCs w:val="21"/>
                    </w:rPr>
                    <w:t>二开</w:t>
                  </w:r>
                </w:p>
              </w:tc>
              <w:tc>
                <w:tcPr>
                  <w:tcW w:w="2371" w:type="dxa"/>
                  <w:gridSpan w:val="2"/>
                  <w:vAlign w:val="center"/>
                </w:tcPr>
                <w:p>
                  <w:pPr>
                    <w:pStyle w:val="361"/>
                    <w:rPr>
                      <w:szCs w:val="21"/>
                    </w:rPr>
                  </w:pPr>
                  <w:r>
                    <w:rPr>
                      <w:szCs w:val="21"/>
                    </w:rPr>
                    <w:t>三开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1296" w:type="dxa"/>
                  <w:vAlign w:val="center"/>
                </w:tcPr>
                <w:p>
                  <w:pPr>
                    <w:pStyle w:val="361"/>
                    <w:rPr>
                      <w:szCs w:val="21"/>
                    </w:rPr>
                  </w:pPr>
                  <w:r>
                    <w:rPr>
                      <w:szCs w:val="21"/>
                    </w:rPr>
                    <w:t>钻头尺寸mm</w:t>
                  </w:r>
                </w:p>
              </w:tc>
              <w:tc>
                <w:tcPr>
                  <w:tcW w:w="1912" w:type="dxa"/>
                  <w:gridSpan w:val="2"/>
                  <w:vAlign w:val="center"/>
                </w:tcPr>
                <w:p>
                  <w:pPr>
                    <w:pStyle w:val="361"/>
                    <w:rPr>
                      <w:szCs w:val="21"/>
                    </w:rPr>
                  </w:pPr>
                  <w:r>
                    <w:rPr>
                      <w:szCs w:val="21"/>
                    </w:rPr>
                    <w:t>660.4</w:t>
                  </w:r>
                </w:p>
              </w:tc>
              <w:tc>
                <w:tcPr>
                  <w:tcW w:w="1185" w:type="dxa"/>
                  <w:gridSpan w:val="2"/>
                  <w:vAlign w:val="center"/>
                </w:tcPr>
                <w:p>
                  <w:pPr>
                    <w:spacing w:before="24" w:beforeLines="10" w:after="24" w:afterLines="10"/>
                    <w:jc w:val="center"/>
                    <w:rPr>
                      <w:szCs w:val="21"/>
                    </w:rPr>
                  </w:pPr>
                  <w:r>
                    <w:rPr>
                      <w:szCs w:val="21"/>
                    </w:rPr>
                    <w:t>406.4</w:t>
                  </w:r>
                </w:p>
              </w:tc>
              <w:tc>
                <w:tcPr>
                  <w:tcW w:w="1185" w:type="dxa"/>
                  <w:vAlign w:val="center"/>
                </w:tcPr>
                <w:p>
                  <w:pPr>
                    <w:spacing w:before="24" w:beforeLines="10" w:after="24" w:afterLines="10"/>
                    <w:jc w:val="center"/>
                    <w:rPr>
                      <w:szCs w:val="21"/>
                    </w:rPr>
                  </w:pPr>
                  <w:r>
                    <w:rPr>
                      <w:szCs w:val="21"/>
                    </w:rPr>
                    <w:t>311.2</w:t>
                  </w:r>
                </w:p>
              </w:tc>
              <w:tc>
                <w:tcPr>
                  <w:tcW w:w="2371" w:type="dxa"/>
                  <w:gridSpan w:val="2"/>
                  <w:vAlign w:val="center"/>
                </w:tcPr>
                <w:p>
                  <w:pPr>
                    <w:spacing w:before="24" w:beforeLines="10" w:after="24" w:afterLines="10"/>
                    <w:jc w:val="center"/>
                    <w:rPr>
                      <w:szCs w:val="21"/>
                    </w:rPr>
                  </w:pPr>
                  <w:r>
                    <w:rPr>
                      <w:szCs w:val="21"/>
                    </w:rPr>
                    <w:t>215.9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1296" w:type="dxa"/>
                  <w:vAlign w:val="center"/>
                </w:tcPr>
                <w:p>
                  <w:pPr>
                    <w:pStyle w:val="361"/>
                    <w:rPr>
                      <w:szCs w:val="21"/>
                    </w:rPr>
                  </w:pPr>
                  <w:r>
                    <w:rPr>
                      <w:szCs w:val="21"/>
                    </w:rPr>
                    <w:t>井段m~m</w:t>
                  </w:r>
                </w:p>
              </w:tc>
              <w:tc>
                <w:tcPr>
                  <w:tcW w:w="1912" w:type="dxa"/>
                  <w:gridSpan w:val="2"/>
                  <w:vAlign w:val="center"/>
                </w:tcPr>
                <w:p>
                  <w:pPr>
                    <w:pStyle w:val="361"/>
                    <w:rPr>
                      <w:szCs w:val="21"/>
                    </w:rPr>
                  </w:pPr>
                  <w:r>
                    <w:rPr>
                      <w:szCs w:val="21"/>
                    </w:rPr>
                    <w:t>0~30</w:t>
                  </w:r>
                </w:p>
              </w:tc>
              <w:tc>
                <w:tcPr>
                  <w:tcW w:w="1185" w:type="dxa"/>
                  <w:gridSpan w:val="2"/>
                  <w:vAlign w:val="center"/>
                </w:tcPr>
                <w:p>
                  <w:pPr>
                    <w:spacing w:before="24" w:beforeLines="10" w:after="24" w:afterLines="10"/>
                    <w:jc w:val="center"/>
                    <w:rPr>
                      <w:szCs w:val="21"/>
                    </w:rPr>
                  </w:pPr>
                  <w:r>
                    <w:rPr>
                      <w:szCs w:val="21"/>
                    </w:rPr>
                    <w:t>30～300</w:t>
                  </w:r>
                </w:p>
              </w:tc>
              <w:tc>
                <w:tcPr>
                  <w:tcW w:w="1185" w:type="dxa"/>
                  <w:vAlign w:val="center"/>
                </w:tcPr>
                <w:p>
                  <w:pPr>
                    <w:spacing w:before="24" w:beforeLines="10" w:after="24" w:afterLines="10"/>
                    <w:jc w:val="center"/>
                    <w:rPr>
                      <w:szCs w:val="21"/>
                    </w:rPr>
                  </w:pPr>
                  <w:r>
                    <w:rPr>
                      <w:szCs w:val="21"/>
                    </w:rPr>
                    <w:t>300～2887</w:t>
                  </w:r>
                </w:p>
              </w:tc>
              <w:tc>
                <w:tcPr>
                  <w:tcW w:w="2371" w:type="dxa"/>
                  <w:gridSpan w:val="2"/>
                  <w:vAlign w:val="center"/>
                </w:tcPr>
                <w:p>
                  <w:pPr>
                    <w:spacing w:before="24" w:beforeLines="10" w:after="24" w:afterLines="10"/>
                    <w:jc w:val="center"/>
                    <w:rPr>
                      <w:szCs w:val="21"/>
                    </w:rPr>
                  </w:pPr>
                  <w:r>
                    <w:rPr>
                      <w:szCs w:val="21"/>
                    </w:rPr>
                    <w:t>2887～4087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1296" w:type="dxa"/>
                  <w:vAlign w:val="center"/>
                </w:tcPr>
                <w:p>
                  <w:pPr>
                    <w:pStyle w:val="361"/>
                    <w:rPr>
                      <w:szCs w:val="21"/>
                    </w:rPr>
                  </w:pPr>
                  <w:r>
                    <w:rPr>
                      <w:szCs w:val="21"/>
                    </w:rPr>
                    <w:t>套管尺寸mm</w:t>
                  </w:r>
                </w:p>
              </w:tc>
              <w:tc>
                <w:tcPr>
                  <w:tcW w:w="1912" w:type="dxa"/>
                  <w:gridSpan w:val="2"/>
                  <w:vAlign w:val="center"/>
                </w:tcPr>
                <w:p>
                  <w:pPr>
                    <w:pStyle w:val="361"/>
                    <w:rPr>
                      <w:szCs w:val="21"/>
                    </w:rPr>
                  </w:pPr>
                  <w:r>
                    <w:rPr>
                      <w:szCs w:val="21"/>
                    </w:rPr>
                    <w:t>508</w:t>
                  </w:r>
                </w:p>
              </w:tc>
              <w:tc>
                <w:tcPr>
                  <w:tcW w:w="1185" w:type="dxa"/>
                  <w:gridSpan w:val="2"/>
                  <w:vAlign w:val="center"/>
                </w:tcPr>
                <w:p>
                  <w:pPr>
                    <w:spacing w:before="24" w:beforeLines="10" w:after="24" w:afterLines="10"/>
                    <w:jc w:val="center"/>
                    <w:rPr>
                      <w:szCs w:val="21"/>
                    </w:rPr>
                  </w:pPr>
                  <w:r>
                    <w:rPr>
                      <w:szCs w:val="21"/>
                    </w:rPr>
                    <w:t>339.7</w:t>
                  </w:r>
                </w:p>
              </w:tc>
              <w:tc>
                <w:tcPr>
                  <w:tcW w:w="1185" w:type="dxa"/>
                  <w:vAlign w:val="center"/>
                </w:tcPr>
                <w:p>
                  <w:pPr>
                    <w:spacing w:before="24" w:beforeLines="10" w:after="24" w:afterLines="10"/>
                    <w:jc w:val="center"/>
                    <w:rPr>
                      <w:szCs w:val="21"/>
                    </w:rPr>
                  </w:pPr>
                  <w:r>
                    <w:rPr>
                      <w:szCs w:val="21"/>
                    </w:rPr>
                    <w:t>244.5</w:t>
                  </w:r>
                </w:p>
              </w:tc>
              <w:tc>
                <w:tcPr>
                  <w:tcW w:w="2371" w:type="dxa"/>
                  <w:gridSpan w:val="2"/>
                  <w:vAlign w:val="center"/>
                </w:tcPr>
                <w:p>
                  <w:pPr>
                    <w:spacing w:before="24" w:beforeLines="10" w:after="24" w:afterLines="10"/>
                    <w:jc w:val="center"/>
                    <w:rPr>
                      <w:szCs w:val="21"/>
                    </w:rPr>
                  </w:pPr>
                  <w:r>
                    <w:rPr>
                      <w:szCs w:val="21"/>
                    </w:rPr>
                    <w:t>139.7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1296" w:type="dxa"/>
                  <w:vAlign w:val="center"/>
                </w:tcPr>
                <w:p>
                  <w:pPr>
                    <w:pStyle w:val="361"/>
                    <w:rPr>
                      <w:szCs w:val="21"/>
                    </w:rPr>
                  </w:pPr>
                  <w:r>
                    <w:rPr>
                      <w:szCs w:val="21"/>
                    </w:rPr>
                    <w:t>钻井液用量，m</w:t>
                  </w:r>
                  <w:r>
                    <w:rPr>
                      <w:szCs w:val="21"/>
                      <w:vertAlign w:val="superscript"/>
                    </w:rPr>
                    <w:t>3</w:t>
                  </w:r>
                </w:p>
              </w:tc>
              <w:tc>
                <w:tcPr>
                  <w:tcW w:w="1912" w:type="dxa"/>
                  <w:gridSpan w:val="2"/>
                  <w:vAlign w:val="center"/>
                </w:tcPr>
                <w:p>
                  <w:pPr>
                    <w:pStyle w:val="361"/>
                    <w:rPr>
                      <w:szCs w:val="21"/>
                    </w:rPr>
                  </w:pPr>
                  <w:r>
                    <w:rPr>
                      <w:szCs w:val="21"/>
                    </w:rPr>
                    <w:t>32</w:t>
                  </w:r>
                </w:p>
              </w:tc>
              <w:tc>
                <w:tcPr>
                  <w:tcW w:w="1185" w:type="dxa"/>
                  <w:gridSpan w:val="2"/>
                  <w:vAlign w:val="center"/>
                </w:tcPr>
                <w:p>
                  <w:pPr>
                    <w:spacing w:before="24" w:beforeLines="10" w:after="24" w:afterLines="10"/>
                    <w:jc w:val="center"/>
                    <w:rPr>
                      <w:szCs w:val="21"/>
                    </w:rPr>
                  </w:pPr>
                  <w:r>
                    <w:rPr>
                      <w:szCs w:val="21"/>
                    </w:rPr>
                    <w:t>261</w:t>
                  </w:r>
                </w:p>
              </w:tc>
              <w:tc>
                <w:tcPr>
                  <w:tcW w:w="1185" w:type="dxa"/>
                  <w:vAlign w:val="center"/>
                </w:tcPr>
                <w:p>
                  <w:pPr>
                    <w:spacing w:before="24" w:beforeLines="10" w:after="24" w:afterLines="10"/>
                    <w:jc w:val="center"/>
                    <w:rPr>
                      <w:szCs w:val="21"/>
                    </w:rPr>
                  </w:pPr>
                  <w:r>
                    <w:rPr>
                      <w:szCs w:val="21"/>
                    </w:rPr>
                    <w:t>734</w:t>
                  </w:r>
                </w:p>
              </w:tc>
              <w:tc>
                <w:tcPr>
                  <w:tcW w:w="2371" w:type="dxa"/>
                  <w:gridSpan w:val="2"/>
                  <w:vAlign w:val="center"/>
                </w:tcPr>
                <w:p>
                  <w:pPr>
                    <w:spacing w:before="24" w:beforeLines="10" w:after="24" w:afterLines="10"/>
                    <w:jc w:val="center"/>
                    <w:rPr>
                      <w:szCs w:val="21"/>
                    </w:rPr>
                  </w:pPr>
                  <w:r>
                    <w:rPr>
                      <w:szCs w:val="21"/>
                    </w:rPr>
                    <w:t>325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1296" w:type="dxa"/>
                  <w:vAlign w:val="center"/>
                </w:tcPr>
                <w:p>
                  <w:pPr>
                    <w:pStyle w:val="361"/>
                    <w:rPr>
                      <w:szCs w:val="21"/>
                    </w:rPr>
                  </w:pPr>
                  <w:r>
                    <w:rPr>
                      <w:szCs w:val="21"/>
                    </w:rPr>
                    <w:t>钻井液体系</w:t>
                  </w:r>
                </w:p>
              </w:tc>
              <w:tc>
                <w:tcPr>
                  <w:tcW w:w="1912" w:type="dxa"/>
                  <w:gridSpan w:val="2"/>
                  <w:vAlign w:val="center"/>
                </w:tcPr>
                <w:p>
                  <w:pPr>
                    <w:pStyle w:val="361"/>
                    <w:rPr>
                      <w:szCs w:val="21"/>
                    </w:rPr>
                  </w:pPr>
                  <w:r>
                    <w:rPr>
                      <w:szCs w:val="21"/>
                    </w:rPr>
                    <w:t>清水钻井液</w:t>
                  </w:r>
                </w:p>
              </w:tc>
              <w:tc>
                <w:tcPr>
                  <w:tcW w:w="4741" w:type="dxa"/>
                  <w:gridSpan w:val="5"/>
                  <w:vAlign w:val="center"/>
                </w:tcPr>
                <w:p>
                  <w:pPr>
                    <w:pStyle w:val="361"/>
                    <w:rPr>
                      <w:szCs w:val="21"/>
                    </w:rPr>
                  </w:pPr>
                  <w:r>
                    <w:rPr>
                      <w:szCs w:val="21"/>
                    </w:rPr>
                    <w:t>聚合物钻井液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1296" w:type="dxa"/>
                  <w:vMerge w:val="restart"/>
                  <w:vAlign w:val="center"/>
                </w:tcPr>
                <w:p>
                  <w:pPr>
                    <w:pStyle w:val="361"/>
                    <w:rPr>
                      <w:szCs w:val="21"/>
                    </w:rPr>
                  </w:pPr>
                  <w:r>
                    <w:rPr>
                      <w:szCs w:val="21"/>
                    </w:rPr>
                    <w:t>钻井液材料</w:t>
                  </w:r>
                </w:p>
                <w:p>
                  <w:pPr>
                    <w:pStyle w:val="361"/>
                    <w:rPr>
                      <w:szCs w:val="21"/>
                    </w:rPr>
                  </w:pPr>
                  <w:r>
                    <w:rPr>
                      <w:szCs w:val="21"/>
                    </w:rPr>
                    <w:t>名称和用量</w:t>
                  </w:r>
                </w:p>
              </w:tc>
              <w:tc>
                <w:tcPr>
                  <w:tcW w:w="992" w:type="dxa"/>
                  <w:vAlign w:val="center"/>
                </w:tcPr>
                <w:p>
                  <w:pPr>
                    <w:pStyle w:val="361"/>
                    <w:rPr>
                      <w:szCs w:val="21"/>
                    </w:rPr>
                  </w:pPr>
                  <w:r>
                    <w:rPr>
                      <w:szCs w:val="21"/>
                    </w:rPr>
                    <w:t>材料</w:t>
                  </w:r>
                </w:p>
                <w:p>
                  <w:pPr>
                    <w:pStyle w:val="361"/>
                    <w:rPr>
                      <w:szCs w:val="21"/>
                    </w:rPr>
                  </w:pPr>
                  <w:r>
                    <w:rPr>
                      <w:szCs w:val="21"/>
                    </w:rPr>
                    <w:t>名称</w:t>
                  </w:r>
                </w:p>
              </w:tc>
              <w:tc>
                <w:tcPr>
                  <w:tcW w:w="920" w:type="dxa"/>
                  <w:vAlign w:val="center"/>
                </w:tcPr>
                <w:p>
                  <w:pPr>
                    <w:pStyle w:val="361"/>
                    <w:rPr>
                      <w:szCs w:val="21"/>
                    </w:rPr>
                  </w:pPr>
                  <w:r>
                    <w:rPr>
                      <w:szCs w:val="21"/>
                    </w:rPr>
                    <w:t>材料含量</w:t>
                  </w:r>
                </w:p>
              </w:tc>
              <w:tc>
                <w:tcPr>
                  <w:tcW w:w="1120" w:type="dxa"/>
                  <w:vAlign w:val="center"/>
                </w:tcPr>
                <w:p>
                  <w:pPr>
                    <w:pStyle w:val="361"/>
                    <w:rPr>
                      <w:szCs w:val="21"/>
                    </w:rPr>
                  </w:pPr>
                  <w:r>
                    <w:rPr>
                      <w:szCs w:val="21"/>
                    </w:rPr>
                    <w:t>材料</w:t>
                  </w:r>
                </w:p>
                <w:p>
                  <w:pPr>
                    <w:pStyle w:val="361"/>
                    <w:rPr>
                      <w:szCs w:val="21"/>
                    </w:rPr>
                  </w:pPr>
                  <w:r>
                    <w:rPr>
                      <w:szCs w:val="21"/>
                    </w:rPr>
                    <w:t>名称</w:t>
                  </w:r>
                </w:p>
              </w:tc>
              <w:tc>
                <w:tcPr>
                  <w:tcW w:w="1250" w:type="dxa"/>
                  <w:gridSpan w:val="2"/>
                  <w:vAlign w:val="center"/>
                </w:tcPr>
                <w:p>
                  <w:pPr>
                    <w:pStyle w:val="361"/>
                    <w:rPr>
                      <w:szCs w:val="21"/>
                    </w:rPr>
                  </w:pPr>
                  <w:r>
                    <w:rPr>
                      <w:szCs w:val="21"/>
                    </w:rPr>
                    <w:t>材料含量</w:t>
                  </w:r>
                </w:p>
              </w:tc>
              <w:tc>
                <w:tcPr>
                  <w:tcW w:w="1102" w:type="dxa"/>
                  <w:vAlign w:val="center"/>
                </w:tcPr>
                <w:p>
                  <w:pPr>
                    <w:pStyle w:val="361"/>
                    <w:rPr>
                      <w:szCs w:val="21"/>
                    </w:rPr>
                  </w:pPr>
                  <w:r>
                    <w:rPr>
                      <w:szCs w:val="21"/>
                    </w:rPr>
                    <w:t>材料</w:t>
                  </w:r>
                </w:p>
                <w:p>
                  <w:pPr>
                    <w:pStyle w:val="361"/>
                    <w:rPr>
                      <w:szCs w:val="21"/>
                    </w:rPr>
                  </w:pPr>
                  <w:r>
                    <w:rPr>
                      <w:szCs w:val="21"/>
                    </w:rPr>
                    <w:t>名称</w:t>
                  </w:r>
                </w:p>
              </w:tc>
              <w:tc>
                <w:tcPr>
                  <w:tcW w:w="1269" w:type="dxa"/>
                  <w:vAlign w:val="center"/>
                </w:tcPr>
                <w:p>
                  <w:pPr>
                    <w:pStyle w:val="361"/>
                    <w:rPr>
                      <w:szCs w:val="21"/>
                    </w:rPr>
                  </w:pPr>
                  <w:r>
                    <w:rPr>
                      <w:szCs w:val="21"/>
                    </w:rPr>
                    <w:t>材料含量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1296" w:type="dxa"/>
                  <w:vMerge w:val="continue"/>
                  <w:vAlign w:val="center"/>
                </w:tcPr>
                <w:p>
                  <w:pPr>
                    <w:pStyle w:val="361"/>
                    <w:rPr>
                      <w:szCs w:val="21"/>
                    </w:rPr>
                  </w:pPr>
                </w:p>
              </w:tc>
              <w:tc>
                <w:tcPr>
                  <w:tcW w:w="992" w:type="dxa"/>
                  <w:vAlign w:val="center"/>
                </w:tcPr>
                <w:p>
                  <w:pPr>
                    <w:pStyle w:val="361"/>
                    <w:rPr>
                      <w:szCs w:val="21"/>
                    </w:rPr>
                  </w:pPr>
                  <w:r>
                    <w:rPr>
                      <w:szCs w:val="21"/>
                    </w:rPr>
                    <w:t>清水</w:t>
                  </w:r>
                </w:p>
              </w:tc>
              <w:tc>
                <w:tcPr>
                  <w:tcW w:w="920" w:type="dxa"/>
                  <w:vAlign w:val="center"/>
                </w:tcPr>
                <w:p>
                  <w:pPr>
                    <w:pStyle w:val="361"/>
                    <w:rPr>
                      <w:szCs w:val="21"/>
                    </w:rPr>
                  </w:pPr>
                  <w:r>
                    <w:rPr>
                      <w:szCs w:val="21"/>
                    </w:rPr>
                    <w:t>40~50%</w:t>
                  </w:r>
                </w:p>
              </w:tc>
              <w:tc>
                <w:tcPr>
                  <w:tcW w:w="1120" w:type="dxa"/>
                  <w:vAlign w:val="center"/>
                </w:tcPr>
                <w:p>
                  <w:pPr>
                    <w:pStyle w:val="361"/>
                    <w:rPr>
                      <w:szCs w:val="21"/>
                    </w:rPr>
                  </w:pPr>
                  <w:r>
                    <w:rPr>
                      <w:szCs w:val="21"/>
                    </w:rPr>
                    <w:t>井浆</w:t>
                  </w:r>
                </w:p>
              </w:tc>
              <w:tc>
                <w:tcPr>
                  <w:tcW w:w="1250" w:type="dxa"/>
                  <w:gridSpan w:val="2"/>
                  <w:vAlign w:val="center"/>
                </w:tcPr>
                <w:p>
                  <w:pPr>
                    <w:pStyle w:val="361"/>
                    <w:rPr>
                      <w:szCs w:val="21"/>
                    </w:rPr>
                  </w:pPr>
                  <w:r>
                    <w:rPr>
                      <w:szCs w:val="21"/>
                    </w:rPr>
                    <w:t>/</w:t>
                  </w:r>
                </w:p>
              </w:tc>
              <w:tc>
                <w:tcPr>
                  <w:tcW w:w="1102" w:type="dxa"/>
                  <w:vAlign w:val="center"/>
                </w:tcPr>
                <w:p>
                  <w:pPr>
                    <w:pStyle w:val="361"/>
                    <w:rPr>
                      <w:szCs w:val="21"/>
                    </w:rPr>
                  </w:pPr>
                </w:p>
              </w:tc>
              <w:tc>
                <w:tcPr>
                  <w:tcW w:w="1269" w:type="dxa"/>
                  <w:vAlign w:val="center"/>
                </w:tcPr>
                <w:p>
                  <w:pPr>
                    <w:pStyle w:val="361"/>
                    <w:rPr>
                      <w:szCs w:val="21"/>
                    </w:rPr>
                  </w:pPr>
                  <w:r>
                    <w:rPr>
                      <w:szCs w:val="21"/>
                    </w:rPr>
                    <w:t>井浆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1296" w:type="dxa"/>
                  <w:vMerge w:val="continue"/>
                  <w:vAlign w:val="center"/>
                </w:tcPr>
                <w:p>
                  <w:pPr>
                    <w:pStyle w:val="361"/>
                    <w:rPr>
                      <w:szCs w:val="21"/>
                    </w:rPr>
                  </w:pPr>
                </w:p>
              </w:tc>
              <w:tc>
                <w:tcPr>
                  <w:tcW w:w="992" w:type="dxa"/>
                  <w:vAlign w:val="center"/>
                </w:tcPr>
                <w:p>
                  <w:pPr>
                    <w:pStyle w:val="361"/>
                    <w:rPr>
                      <w:szCs w:val="21"/>
                    </w:rPr>
                  </w:pPr>
                  <w:r>
                    <w:rPr>
                      <w:szCs w:val="21"/>
                    </w:rPr>
                    <w:t>GWDPMA</w:t>
                  </w:r>
                </w:p>
              </w:tc>
              <w:tc>
                <w:tcPr>
                  <w:tcW w:w="920" w:type="dxa"/>
                  <w:vAlign w:val="center"/>
                </w:tcPr>
                <w:p>
                  <w:pPr>
                    <w:pStyle w:val="361"/>
                    <w:rPr>
                      <w:szCs w:val="21"/>
                    </w:rPr>
                  </w:pPr>
                  <w:r>
                    <w:rPr>
                      <w:szCs w:val="21"/>
                    </w:rPr>
                    <w:t>0.2~0.3%</w:t>
                  </w:r>
                </w:p>
              </w:tc>
              <w:tc>
                <w:tcPr>
                  <w:tcW w:w="1120" w:type="dxa"/>
                  <w:vAlign w:val="center"/>
                </w:tcPr>
                <w:p>
                  <w:pPr>
                    <w:pStyle w:val="361"/>
                    <w:rPr>
                      <w:szCs w:val="21"/>
                    </w:rPr>
                  </w:pPr>
                  <w:r>
                    <w:rPr>
                      <w:szCs w:val="21"/>
                    </w:rPr>
                    <w:t>NaOH</w:t>
                  </w:r>
                </w:p>
              </w:tc>
              <w:tc>
                <w:tcPr>
                  <w:tcW w:w="1250" w:type="dxa"/>
                  <w:gridSpan w:val="2"/>
                  <w:vAlign w:val="center"/>
                </w:tcPr>
                <w:p>
                  <w:pPr>
                    <w:pStyle w:val="361"/>
                    <w:rPr>
                      <w:szCs w:val="21"/>
                    </w:rPr>
                  </w:pPr>
                  <w:r>
                    <w:rPr>
                      <w:szCs w:val="21"/>
                    </w:rPr>
                    <w:t>0.1％～0.3%</w:t>
                  </w:r>
                </w:p>
              </w:tc>
              <w:tc>
                <w:tcPr>
                  <w:tcW w:w="1102" w:type="dxa"/>
                  <w:vAlign w:val="center"/>
                </w:tcPr>
                <w:p>
                  <w:pPr>
                    <w:pStyle w:val="361"/>
                    <w:rPr>
                      <w:szCs w:val="21"/>
                    </w:rPr>
                  </w:pPr>
                  <w:r>
                    <w:rPr>
                      <w:szCs w:val="21"/>
                    </w:rPr>
                    <w:t>NaOH</w:t>
                  </w:r>
                </w:p>
              </w:tc>
              <w:tc>
                <w:tcPr>
                  <w:tcW w:w="1269" w:type="dxa"/>
                  <w:vAlign w:val="center"/>
                </w:tcPr>
                <w:p>
                  <w:pPr>
                    <w:pStyle w:val="361"/>
                    <w:rPr>
                      <w:szCs w:val="21"/>
                    </w:rPr>
                  </w:pPr>
                  <w:r>
                    <w:rPr>
                      <w:szCs w:val="21"/>
                    </w:rPr>
                    <w:t>0.1％～0.3%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1296" w:type="dxa"/>
                  <w:vMerge w:val="continue"/>
                  <w:vAlign w:val="center"/>
                </w:tcPr>
                <w:p>
                  <w:pPr>
                    <w:pStyle w:val="361"/>
                    <w:rPr>
                      <w:szCs w:val="21"/>
                    </w:rPr>
                  </w:pPr>
                </w:p>
              </w:tc>
              <w:tc>
                <w:tcPr>
                  <w:tcW w:w="992" w:type="dxa"/>
                  <w:vAlign w:val="center"/>
                </w:tcPr>
                <w:p>
                  <w:pPr>
                    <w:pStyle w:val="361"/>
                    <w:rPr>
                      <w:szCs w:val="21"/>
                    </w:rPr>
                  </w:pPr>
                  <w:r>
                    <w:rPr>
                      <w:szCs w:val="21"/>
                    </w:rPr>
                    <w:t>PAC-LV</w:t>
                  </w:r>
                </w:p>
              </w:tc>
              <w:tc>
                <w:tcPr>
                  <w:tcW w:w="920" w:type="dxa"/>
                  <w:vAlign w:val="center"/>
                </w:tcPr>
                <w:p>
                  <w:pPr>
                    <w:pStyle w:val="361"/>
                    <w:rPr>
                      <w:szCs w:val="21"/>
                    </w:rPr>
                  </w:pPr>
                  <w:r>
                    <w:rPr>
                      <w:szCs w:val="21"/>
                    </w:rPr>
                    <w:t>0.5~1%</w:t>
                  </w:r>
                </w:p>
              </w:tc>
              <w:tc>
                <w:tcPr>
                  <w:tcW w:w="1120" w:type="dxa"/>
                  <w:vAlign w:val="center"/>
                </w:tcPr>
                <w:p>
                  <w:pPr>
                    <w:pStyle w:val="361"/>
                    <w:rPr>
                      <w:szCs w:val="21"/>
                    </w:rPr>
                  </w:pPr>
                  <w:r>
                    <w:rPr>
                      <w:szCs w:val="21"/>
                    </w:rPr>
                    <w:t>KPAM</w:t>
                  </w:r>
                </w:p>
              </w:tc>
              <w:tc>
                <w:tcPr>
                  <w:tcW w:w="1250" w:type="dxa"/>
                  <w:gridSpan w:val="2"/>
                  <w:vAlign w:val="center"/>
                </w:tcPr>
                <w:p>
                  <w:pPr>
                    <w:pStyle w:val="361"/>
                    <w:rPr>
                      <w:szCs w:val="21"/>
                    </w:rPr>
                  </w:pPr>
                  <w:r>
                    <w:rPr>
                      <w:szCs w:val="21"/>
                    </w:rPr>
                    <w:t>0.1％～0.2％</w:t>
                  </w:r>
                </w:p>
                <w:p>
                  <w:pPr>
                    <w:pStyle w:val="361"/>
                    <w:rPr>
                      <w:szCs w:val="21"/>
                    </w:rPr>
                  </w:pPr>
                </w:p>
                <w:p>
                  <w:pPr>
                    <w:pStyle w:val="361"/>
                    <w:rPr>
                      <w:szCs w:val="21"/>
                    </w:rPr>
                  </w:pPr>
                </w:p>
              </w:tc>
              <w:tc>
                <w:tcPr>
                  <w:tcW w:w="1102" w:type="dxa"/>
                  <w:vAlign w:val="center"/>
                </w:tcPr>
                <w:p>
                  <w:pPr>
                    <w:pStyle w:val="361"/>
                    <w:rPr>
                      <w:szCs w:val="21"/>
                    </w:rPr>
                  </w:pPr>
                  <w:r>
                    <w:rPr>
                      <w:szCs w:val="21"/>
                    </w:rPr>
                    <w:t>KPAM</w:t>
                  </w:r>
                </w:p>
              </w:tc>
              <w:tc>
                <w:tcPr>
                  <w:tcW w:w="1269" w:type="dxa"/>
                  <w:vAlign w:val="center"/>
                </w:tcPr>
                <w:p>
                  <w:pPr>
                    <w:pStyle w:val="361"/>
                    <w:rPr>
                      <w:szCs w:val="21"/>
                    </w:rPr>
                  </w:pPr>
                  <w:r>
                    <w:rPr>
                      <w:szCs w:val="21"/>
                    </w:rPr>
                    <w:t>0.05％～0.1%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1296" w:type="dxa"/>
                  <w:vMerge w:val="continue"/>
                  <w:vAlign w:val="center"/>
                </w:tcPr>
                <w:p>
                  <w:pPr>
                    <w:pStyle w:val="361"/>
                    <w:rPr>
                      <w:szCs w:val="21"/>
                    </w:rPr>
                  </w:pPr>
                </w:p>
              </w:tc>
              <w:tc>
                <w:tcPr>
                  <w:tcW w:w="992" w:type="dxa"/>
                  <w:vAlign w:val="center"/>
                </w:tcPr>
                <w:p>
                  <w:pPr>
                    <w:pStyle w:val="361"/>
                    <w:rPr>
                      <w:szCs w:val="21"/>
                    </w:rPr>
                  </w:pPr>
                  <w:r>
                    <w:rPr>
                      <w:szCs w:val="21"/>
                    </w:rPr>
                    <w:t>加重剂</w:t>
                  </w:r>
                </w:p>
              </w:tc>
              <w:tc>
                <w:tcPr>
                  <w:tcW w:w="920" w:type="dxa"/>
                  <w:vAlign w:val="center"/>
                </w:tcPr>
                <w:p>
                  <w:pPr>
                    <w:pStyle w:val="361"/>
                    <w:rPr>
                      <w:szCs w:val="21"/>
                    </w:rPr>
                  </w:pPr>
                  <w:r>
                    <w:rPr>
                      <w:szCs w:val="21"/>
                    </w:rPr>
                    <w:t>按需</w:t>
                  </w:r>
                </w:p>
              </w:tc>
              <w:tc>
                <w:tcPr>
                  <w:tcW w:w="1120" w:type="dxa"/>
                  <w:vAlign w:val="center"/>
                </w:tcPr>
                <w:p>
                  <w:pPr>
                    <w:pStyle w:val="361"/>
                    <w:rPr>
                      <w:szCs w:val="21"/>
                    </w:rPr>
                  </w:pPr>
                  <w:r>
                    <w:rPr>
                      <w:szCs w:val="21"/>
                    </w:rPr>
                    <w:t>FA-367</w:t>
                  </w:r>
                </w:p>
              </w:tc>
              <w:tc>
                <w:tcPr>
                  <w:tcW w:w="1250" w:type="dxa"/>
                  <w:gridSpan w:val="2"/>
                  <w:vAlign w:val="center"/>
                </w:tcPr>
                <w:p>
                  <w:pPr>
                    <w:pStyle w:val="361"/>
                    <w:rPr>
                      <w:szCs w:val="21"/>
                    </w:rPr>
                  </w:pPr>
                  <w:r>
                    <w:rPr>
                      <w:szCs w:val="21"/>
                    </w:rPr>
                    <w:t>0.1％～0.2％</w:t>
                  </w:r>
                </w:p>
              </w:tc>
              <w:tc>
                <w:tcPr>
                  <w:tcW w:w="1102" w:type="dxa"/>
                  <w:vAlign w:val="center"/>
                </w:tcPr>
                <w:p>
                  <w:pPr>
                    <w:pStyle w:val="361"/>
                    <w:rPr>
                      <w:szCs w:val="21"/>
                    </w:rPr>
                  </w:pPr>
                  <w:r>
                    <w:rPr>
                      <w:szCs w:val="21"/>
                    </w:rPr>
                    <w:t>去磺化降滤失剂</w:t>
                  </w:r>
                </w:p>
              </w:tc>
              <w:tc>
                <w:tcPr>
                  <w:tcW w:w="1269" w:type="dxa"/>
                  <w:vAlign w:val="center"/>
                </w:tcPr>
                <w:p>
                  <w:pPr>
                    <w:pStyle w:val="361"/>
                    <w:rPr>
                      <w:szCs w:val="21"/>
                    </w:rPr>
                  </w:pPr>
                  <w:r>
                    <w:rPr>
                      <w:szCs w:val="21"/>
                    </w:rPr>
                    <w:t xml:space="preserve">5%~8%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1296" w:type="dxa"/>
                  <w:vMerge w:val="continue"/>
                  <w:vAlign w:val="center"/>
                </w:tcPr>
                <w:p>
                  <w:pPr>
                    <w:pStyle w:val="361"/>
                    <w:rPr>
                      <w:szCs w:val="21"/>
                    </w:rPr>
                  </w:pPr>
                </w:p>
              </w:tc>
              <w:tc>
                <w:tcPr>
                  <w:tcW w:w="992" w:type="dxa"/>
                  <w:vAlign w:val="center"/>
                </w:tcPr>
                <w:p>
                  <w:pPr>
                    <w:pStyle w:val="361"/>
                    <w:rPr>
                      <w:szCs w:val="21"/>
                    </w:rPr>
                  </w:pPr>
                  <w:r>
                    <w:rPr>
                      <w:szCs w:val="21"/>
                    </w:rPr>
                    <w:t>/</w:t>
                  </w:r>
                </w:p>
              </w:tc>
              <w:tc>
                <w:tcPr>
                  <w:tcW w:w="920" w:type="dxa"/>
                  <w:vAlign w:val="center"/>
                </w:tcPr>
                <w:p>
                  <w:pPr>
                    <w:pStyle w:val="361"/>
                    <w:rPr>
                      <w:szCs w:val="21"/>
                    </w:rPr>
                  </w:pPr>
                  <w:r>
                    <w:rPr>
                      <w:szCs w:val="21"/>
                    </w:rPr>
                    <w:t>/</w:t>
                  </w:r>
                </w:p>
              </w:tc>
              <w:tc>
                <w:tcPr>
                  <w:tcW w:w="1120" w:type="dxa"/>
                  <w:vAlign w:val="center"/>
                </w:tcPr>
                <w:p>
                  <w:pPr>
                    <w:pStyle w:val="361"/>
                    <w:rPr>
                      <w:szCs w:val="21"/>
                    </w:rPr>
                  </w:pPr>
                  <w:r>
                    <w:rPr>
                      <w:szCs w:val="21"/>
                    </w:rPr>
                    <w:t>PAC-LV</w:t>
                  </w:r>
                </w:p>
              </w:tc>
              <w:tc>
                <w:tcPr>
                  <w:tcW w:w="1250" w:type="dxa"/>
                  <w:gridSpan w:val="2"/>
                  <w:vAlign w:val="center"/>
                </w:tcPr>
                <w:p>
                  <w:pPr>
                    <w:pStyle w:val="361"/>
                    <w:rPr>
                      <w:szCs w:val="21"/>
                    </w:rPr>
                  </w:pPr>
                  <w:r>
                    <w:rPr>
                      <w:szCs w:val="21"/>
                    </w:rPr>
                    <w:t>1～2％</w:t>
                  </w:r>
                </w:p>
              </w:tc>
              <w:tc>
                <w:tcPr>
                  <w:tcW w:w="1102" w:type="dxa"/>
                  <w:vAlign w:val="center"/>
                </w:tcPr>
                <w:p>
                  <w:pPr>
                    <w:pStyle w:val="361"/>
                    <w:rPr>
                      <w:szCs w:val="21"/>
                    </w:rPr>
                  </w:pPr>
                  <w:r>
                    <w:rPr>
                      <w:szCs w:val="21"/>
                    </w:rPr>
                    <w:t>去磺化封堵剂</w:t>
                  </w:r>
                </w:p>
              </w:tc>
              <w:tc>
                <w:tcPr>
                  <w:tcW w:w="1269" w:type="dxa"/>
                  <w:vAlign w:val="center"/>
                </w:tcPr>
                <w:p>
                  <w:pPr>
                    <w:pStyle w:val="361"/>
                    <w:rPr>
                      <w:szCs w:val="21"/>
                    </w:rPr>
                  </w:pPr>
                  <w:r>
                    <w:rPr>
                      <w:szCs w:val="21"/>
                    </w:rPr>
                    <w:t xml:space="preserve">4%~6%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1296" w:type="dxa"/>
                  <w:vMerge w:val="continue"/>
                  <w:vAlign w:val="center"/>
                </w:tcPr>
                <w:p>
                  <w:pPr>
                    <w:pStyle w:val="361"/>
                    <w:rPr>
                      <w:szCs w:val="21"/>
                    </w:rPr>
                  </w:pPr>
                </w:p>
              </w:tc>
              <w:tc>
                <w:tcPr>
                  <w:tcW w:w="992" w:type="dxa"/>
                  <w:vAlign w:val="center"/>
                </w:tcPr>
                <w:p>
                  <w:pPr>
                    <w:pStyle w:val="361"/>
                    <w:rPr>
                      <w:szCs w:val="21"/>
                    </w:rPr>
                  </w:pPr>
                  <w:r>
                    <w:rPr>
                      <w:szCs w:val="21"/>
                    </w:rPr>
                    <w:t>/</w:t>
                  </w:r>
                </w:p>
              </w:tc>
              <w:tc>
                <w:tcPr>
                  <w:tcW w:w="920" w:type="dxa"/>
                  <w:vAlign w:val="center"/>
                </w:tcPr>
                <w:p>
                  <w:pPr>
                    <w:pStyle w:val="361"/>
                    <w:rPr>
                      <w:szCs w:val="21"/>
                    </w:rPr>
                  </w:pPr>
                  <w:r>
                    <w:rPr>
                      <w:szCs w:val="21"/>
                    </w:rPr>
                    <w:t>/</w:t>
                  </w:r>
                </w:p>
              </w:tc>
              <w:tc>
                <w:tcPr>
                  <w:tcW w:w="1120" w:type="dxa"/>
                  <w:vAlign w:val="center"/>
                </w:tcPr>
                <w:p>
                  <w:pPr>
                    <w:pStyle w:val="361"/>
                    <w:rPr>
                      <w:szCs w:val="21"/>
                    </w:rPr>
                  </w:pPr>
                  <w:r>
                    <w:rPr>
                      <w:szCs w:val="21"/>
                    </w:rPr>
                    <w:t>CMC-LV</w:t>
                  </w:r>
                </w:p>
              </w:tc>
              <w:tc>
                <w:tcPr>
                  <w:tcW w:w="1250" w:type="dxa"/>
                  <w:gridSpan w:val="2"/>
                  <w:vAlign w:val="center"/>
                </w:tcPr>
                <w:p>
                  <w:pPr>
                    <w:pStyle w:val="361"/>
                    <w:rPr>
                      <w:szCs w:val="21"/>
                    </w:rPr>
                  </w:pPr>
                  <w:r>
                    <w:rPr>
                      <w:szCs w:val="21"/>
                    </w:rPr>
                    <w:t>0.5%～1%</w:t>
                  </w:r>
                </w:p>
              </w:tc>
              <w:tc>
                <w:tcPr>
                  <w:tcW w:w="1102" w:type="dxa"/>
                  <w:vAlign w:val="center"/>
                </w:tcPr>
                <w:p>
                  <w:pPr>
                    <w:pStyle w:val="361"/>
                    <w:rPr>
                      <w:szCs w:val="21"/>
                    </w:rPr>
                  </w:pPr>
                  <w:r>
                    <w:rPr>
                      <w:szCs w:val="21"/>
                    </w:rPr>
                    <w:t>去磺化抑制剂</w:t>
                  </w:r>
                </w:p>
              </w:tc>
              <w:tc>
                <w:tcPr>
                  <w:tcW w:w="1269" w:type="dxa"/>
                  <w:vAlign w:val="center"/>
                </w:tcPr>
                <w:p>
                  <w:pPr>
                    <w:pStyle w:val="361"/>
                    <w:rPr>
                      <w:szCs w:val="21"/>
                    </w:rPr>
                  </w:pPr>
                  <w:r>
                    <w:rPr>
                      <w:szCs w:val="21"/>
                    </w:rPr>
                    <w:t>0.3%~0.6%</w:t>
                  </w:r>
                </w:p>
                <w:p>
                  <w:pPr>
                    <w:pStyle w:val="361"/>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1296" w:type="dxa"/>
                  <w:vMerge w:val="continue"/>
                  <w:vAlign w:val="center"/>
                </w:tcPr>
                <w:p>
                  <w:pPr>
                    <w:pStyle w:val="361"/>
                    <w:rPr>
                      <w:szCs w:val="21"/>
                    </w:rPr>
                  </w:pPr>
                </w:p>
              </w:tc>
              <w:tc>
                <w:tcPr>
                  <w:tcW w:w="992" w:type="dxa"/>
                  <w:vAlign w:val="center"/>
                </w:tcPr>
                <w:p>
                  <w:pPr>
                    <w:pStyle w:val="361"/>
                    <w:rPr>
                      <w:szCs w:val="21"/>
                    </w:rPr>
                  </w:pPr>
                  <w:r>
                    <w:rPr>
                      <w:szCs w:val="21"/>
                    </w:rPr>
                    <w:t>/</w:t>
                  </w:r>
                </w:p>
              </w:tc>
              <w:tc>
                <w:tcPr>
                  <w:tcW w:w="920" w:type="dxa"/>
                  <w:vAlign w:val="center"/>
                </w:tcPr>
                <w:p>
                  <w:pPr>
                    <w:pStyle w:val="361"/>
                    <w:rPr>
                      <w:szCs w:val="21"/>
                    </w:rPr>
                  </w:pPr>
                  <w:r>
                    <w:rPr>
                      <w:szCs w:val="21"/>
                    </w:rPr>
                    <w:t>/</w:t>
                  </w:r>
                </w:p>
              </w:tc>
              <w:tc>
                <w:tcPr>
                  <w:tcW w:w="1120" w:type="dxa"/>
                  <w:vAlign w:val="center"/>
                </w:tcPr>
                <w:p>
                  <w:pPr>
                    <w:pStyle w:val="361"/>
                    <w:rPr>
                      <w:szCs w:val="21"/>
                    </w:rPr>
                  </w:pPr>
                  <w:r>
                    <w:rPr>
                      <w:szCs w:val="21"/>
                    </w:rPr>
                    <w:t xml:space="preserve"> FRH</w:t>
                  </w:r>
                </w:p>
              </w:tc>
              <w:tc>
                <w:tcPr>
                  <w:tcW w:w="1250" w:type="dxa"/>
                  <w:gridSpan w:val="2"/>
                  <w:vAlign w:val="center"/>
                </w:tcPr>
                <w:p>
                  <w:pPr>
                    <w:pStyle w:val="361"/>
                    <w:rPr>
                      <w:szCs w:val="21"/>
                    </w:rPr>
                  </w:pPr>
                  <w:r>
                    <w:rPr>
                      <w:szCs w:val="21"/>
                    </w:rPr>
                    <w:t>3％～4％</w:t>
                  </w:r>
                </w:p>
              </w:tc>
              <w:tc>
                <w:tcPr>
                  <w:tcW w:w="1102" w:type="dxa"/>
                  <w:vAlign w:val="center"/>
                </w:tcPr>
                <w:p>
                  <w:pPr>
                    <w:pStyle w:val="361"/>
                    <w:rPr>
                      <w:szCs w:val="21"/>
                    </w:rPr>
                  </w:pPr>
                  <w:r>
                    <w:rPr>
                      <w:szCs w:val="21"/>
                    </w:rPr>
                    <w:t>KCl</w:t>
                  </w:r>
                </w:p>
              </w:tc>
              <w:tc>
                <w:tcPr>
                  <w:tcW w:w="1269" w:type="dxa"/>
                  <w:vAlign w:val="center"/>
                </w:tcPr>
                <w:p>
                  <w:pPr>
                    <w:pStyle w:val="361"/>
                    <w:rPr>
                      <w:szCs w:val="21"/>
                    </w:rPr>
                  </w:pPr>
                  <w:r>
                    <w:rPr>
                      <w:szCs w:val="21"/>
                    </w:rPr>
                    <w:t>8%~10%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1296" w:type="dxa"/>
                  <w:vMerge w:val="continue"/>
                  <w:vAlign w:val="center"/>
                </w:tcPr>
                <w:p>
                  <w:pPr>
                    <w:pStyle w:val="361"/>
                    <w:rPr>
                      <w:szCs w:val="21"/>
                    </w:rPr>
                  </w:pPr>
                </w:p>
              </w:tc>
              <w:tc>
                <w:tcPr>
                  <w:tcW w:w="992" w:type="dxa"/>
                  <w:vAlign w:val="center"/>
                </w:tcPr>
                <w:p>
                  <w:pPr>
                    <w:pStyle w:val="361"/>
                    <w:rPr>
                      <w:szCs w:val="21"/>
                    </w:rPr>
                  </w:pPr>
                  <w:r>
                    <w:rPr>
                      <w:szCs w:val="21"/>
                    </w:rPr>
                    <w:t>/</w:t>
                  </w:r>
                </w:p>
              </w:tc>
              <w:tc>
                <w:tcPr>
                  <w:tcW w:w="920" w:type="dxa"/>
                  <w:vAlign w:val="center"/>
                </w:tcPr>
                <w:p>
                  <w:pPr>
                    <w:pStyle w:val="361"/>
                    <w:rPr>
                      <w:szCs w:val="21"/>
                    </w:rPr>
                  </w:pPr>
                  <w:r>
                    <w:rPr>
                      <w:szCs w:val="21"/>
                    </w:rPr>
                    <w:t>/</w:t>
                  </w:r>
                </w:p>
              </w:tc>
              <w:tc>
                <w:tcPr>
                  <w:tcW w:w="1120" w:type="dxa"/>
                  <w:vAlign w:val="center"/>
                </w:tcPr>
                <w:p>
                  <w:pPr>
                    <w:pStyle w:val="361"/>
                    <w:rPr>
                      <w:szCs w:val="21"/>
                    </w:rPr>
                  </w:pPr>
                  <w:r>
                    <w:rPr>
                      <w:szCs w:val="21"/>
                    </w:rPr>
                    <w:t>FK-10</w:t>
                  </w:r>
                </w:p>
              </w:tc>
              <w:tc>
                <w:tcPr>
                  <w:tcW w:w="1250" w:type="dxa"/>
                  <w:gridSpan w:val="2"/>
                  <w:vAlign w:val="center"/>
                </w:tcPr>
                <w:p>
                  <w:pPr>
                    <w:pStyle w:val="361"/>
                    <w:rPr>
                      <w:szCs w:val="21"/>
                    </w:rPr>
                  </w:pPr>
                  <w:r>
                    <w:rPr>
                      <w:szCs w:val="21"/>
                    </w:rPr>
                    <w:t>1％～3％</w:t>
                  </w:r>
                </w:p>
              </w:tc>
              <w:tc>
                <w:tcPr>
                  <w:tcW w:w="1102" w:type="dxa"/>
                  <w:vAlign w:val="center"/>
                </w:tcPr>
                <w:p>
                  <w:pPr>
                    <w:pStyle w:val="361"/>
                    <w:rPr>
                      <w:szCs w:val="21"/>
                    </w:rPr>
                  </w:pPr>
                  <w:r>
                    <w:rPr>
                      <w:szCs w:val="21"/>
                    </w:rPr>
                    <w:t>环保润滑剂</w:t>
                  </w:r>
                </w:p>
              </w:tc>
              <w:tc>
                <w:tcPr>
                  <w:tcW w:w="1269" w:type="dxa"/>
                  <w:vAlign w:val="center"/>
                </w:tcPr>
                <w:p>
                  <w:pPr>
                    <w:pStyle w:val="361"/>
                    <w:rPr>
                      <w:szCs w:val="21"/>
                    </w:rPr>
                  </w:pPr>
                  <w:r>
                    <w:rPr>
                      <w:szCs w:val="21"/>
                    </w:rPr>
                    <w:t xml:space="preserve">2%~3%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1296" w:type="dxa"/>
                  <w:vMerge w:val="continue"/>
                  <w:vAlign w:val="center"/>
                </w:tcPr>
                <w:p>
                  <w:pPr>
                    <w:pStyle w:val="361"/>
                    <w:rPr>
                      <w:szCs w:val="21"/>
                    </w:rPr>
                  </w:pPr>
                </w:p>
              </w:tc>
              <w:tc>
                <w:tcPr>
                  <w:tcW w:w="992" w:type="dxa"/>
                  <w:vAlign w:val="center"/>
                </w:tcPr>
                <w:p>
                  <w:pPr>
                    <w:pStyle w:val="361"/>
                    <w:rPr>
                      <w:szCs w:val="21"/>
                    </w:rPr>
                  </w:pPr>
                  <w:r>
                    <w:rPr>
                      <w:szCs w:val="21"/>
                    </w:rPr>
                    <w:t>/</w:t>
                  </w:r>
                </w:p>
              </w:tc>
              <w:tc>
                <w:tcPr>
                  <w:tcW w:w="920" w:type="dxa"/>
                  <w:vAlign w:val="center"/>
                </w:tcPr>
                <w:p>
                  <w:pPr>
                    <w:pStyle w:val="361"/>
                    <w:rPr>
                      <w:szCs w:val="21"/>
                    </w:rPr>
                  </w:pPr>
                  <w:r>
                    <w:rPr>
                      <w:szCs w:val="21"/>
                    </w:rPr>
                    <w:t>/</w:t>
                  </w:r>
                </w:p>
              </w:tc>
              <w:tc>
                <w:tcPr>
                  <w:tcW w:w="1120" w:type="dxa"/>
                  <w:vAlign w:val="center"/>
                </w:tcPr>
                <w:p>
                  <w:pPr>
                    <w:pStyle w:val="361"/>
                    <w:rPr>
                      <w:szCs w:val="21"/>
                    </w:rPr>
                  </w:pPr>
                  <w:r>
                    <w:rPr>
                      <w:szCs w:val="21"/>
                    </w:rPr>
                    <w:t>KCL</w:t>
                  </w:r>
                </w:p>
              </w:tc>
              <w:tc>
                <w:tcPr>
                  <w:tcW w:w="1250" w:type="dxa"/>
                  <w:gridSpan w:val="2"/>
                  <w:vAlign w:val="center"/>
                </w:tcPr>
                <w:p>
                  <w:pPr>
                    <w:pStyle w:val="361"/>
                    <w:rPr>
                      <w:szCs w:val="21"/>
                    </w:rPr>
                  </w:pPr>
                  <w:r>
                    <w:rPr>
                      <w:szCs w:val="21"/>
                    </w:rPr>
                    <w:t>5％～8％</w:t>
                  </w:r>
                </w:p>
              </w:tc>
              <w:tc>
                <w:tcPr>
                  <w:tcW w:w="1102" w:type="dxa"/>
                  <w:vAlign w:val="center"/>
                </w:tcPr>
                <w:p>
                  <w:pPr>
                    <w:pStyle w:val="361"/>
                    <w:rPr>
                      <w:szCs w:val="21"/>
                    </w:rPr>
                  </w:pPr>
                  <w:r>
                    <w:rPr>
                      <w:szCs w:val="21"/>
                    </w:rPr>
                    <w:t>除硫剂</w:t>
                  </w:r>
                </w:p>
              </w:tc>
              <w:tc>
                <w:tcPr>
                  <w:tcW w:w="1269" w:type="dxa"/>
                  <w:vAlign w:val="center"/>
                </w:tcPr>
                <w:p>
                  <w:pPr>
                    <w:pStyle w:val="361"/>
                    <w:rPr>
                      <w:szCs w:val="21"/>
                    </w:rPr>
                  </w:pPr>
                  <w:r>
                    <w:rPr>
                      <w:szCs w:val="21"/>
                    </w:rPr>
                    <w:t xml:space="preserve">1％～1.5%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1296" w:type="dxa"/>
                  <w:vMerge w:val="continue"/>
                  <w:vAlign w:val="center"/>
                </w:tcPr>
                <w:p>
                  <w:pPr>
                    <w:pStyle w:val="361"/>
                    <w:rPr>
                      <w:szCs w:val="21"/>
                    </w:rPr>
                  </w:pPr>
                </w:p>
              </w:tc>
              <w:tc>
                <w:tcPr>
                  <w:tcW w:w="992" w:type="dxa"/>
                  <w:vAlign w:val="center"/>
                </w:tcPr>
                <w:p>
                  <w:pPr>
                    <w:pStyle w:val="361"/>
                    <w:rPr>
                      <w:szCs w:val="21"/>
                    </w:rPr>
                  </w:pPr>
                  <w:r>
                    <w:rPr>
                      <w:szCs w:val="21"/>
                    </w:rPr>
                    <w:t>/</w:t>
                  </w:r>
                </w:p>
              </w:tc>
              <w:tc>
                <w:tcPr>
                  <w:tcW w:w="920" w:type="dxa"/>
                  <w:vAlign w:val="center"/>
                </w:tcPr>
                <w:p>
                  <w:pPr>
                    <w:pStyle w:val="361"/>
                    <w:rPr>
                      <w:szCs w:val="21"/>
                    </w:rPr>
                  </w:pPr>
                  <w:r>
                    <w:rPr>
                      <w:szCs w:val="21"/>
                    </w:rPr>
                    <w:t>/</w:t>
                  </w:r>
                </w:p>
              </w:tc>
              <w:tc>
                <w:tcPr>
                  <w:tcW w:w="1120" w:type="dxa"/>
                  <w:vAlign w:val="center"/>
                </w:tcPr>
                <w:p>
                  <w:pPr>
                    <w:pStyle w:val="361"/>
                    <w:rPr>
                      <w:szCs w:val="21"/>
                    </w:rPr>
                  </w:pPr>
                </w:p>
              </w:tc>
              <w:tc>
                <w:tcPr>
                  <w:tcW w:w="1250" w:type="dxa"/>
                  <w:gridSpan w:val="2"/>
                  <w:vAlign w:val="center"/>
                </w:tcPr>
                <w:p>
                  <w:pPr>
                    <w:pStyle w:val="361"/>
                    <w:rPr>
                      <w:szCs w:val="21"/>
                    </w:rPr>
                  </w:pPr>
                  <w:r>
                    <w:rPr>
                      <w:szCs w:val="21"/>
                    </w:rPr>
                    <w:t>加重剂（按密度需要）</w:t>
                  </w:r>
                </w:p>
              </w:tc>
              <w:tc>
                <w:tcPr>
                  <w:tcW w:w="1102" w:type="dxa"/>
                  <w:vAlign w:val="center"/>
                </w:tcPr>
                <w:p>
                  <w:pPr>
                    <w:pStyle w:val="361"/>
                    <w:rPr>
                      <w:szCs w:val="21"/>
                    </w:rPr>
                  </w:pPr>
                </w:p>
              </w:tc>
              <w:tc>
                <w:tcPr>
                  <w:tcW w:w="1269" w:type="dxa"/>
                  <w:vAlign w:val="center"/>
                </w:tcPr>
                <w:p>
                  <w:pPr>
                    <w:pStyle w:val="361"/>
                    <w:rPr>
                      <w:szCs w:val="21"/>
                    </w:rPr>
                  </w:pPr>
                  <w:r>
                    <w:rPr>
                      <w:szCs w:val="21"/>
                    </w:rPr>
                    <w:t>适量降粘剂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1296" w:type="dxa"/>
                  <w:vMerge w:val="continue"/>
                  <w:vAlign w:val="center"/>
                </w:tcPr>
                <w:p>
                  <w:pPr>
                    <w:pStyle w:val="361"/>
                    <w:rPr>
                      <w:szCs w:val="21"/>
                    </w:rPr>
                  </w:pPr>
                </w:p>
              </w:tc>
              <w:tc>
                <w:tcPr>
                  <w:tcW w:w="992" w:type="dxa"/>
                  <w:vAlign w:val="center"/>
                </w:tcPr>
                <w:p>
                  <w:pPr>
                    <w:pStyle w:val="361"/>
                    <w:rPr>
                      <w:szCs w:val="21"/>
                    </w:rPr>
                  </w:pPr>
                  <w:r>
                    <w:rPr>
                      <w:szCs w:val="21"/>
                    </w:rPr>
                    <w:t>/</w:t>
                  </w:r>
                </w:p>
              </w:tc>
              <w:tc>
                <w:tcPr>
                  <w:tcW w:w="920" w:type="dxa"/>
                  <w:vAlign w:val="center"/>
                </w:tcPr>
                <w:p>
                  <w:pPr>
                    <w:pStyle w:val="361"/>
                    <w:rPr>
                      <w:szCs w:val="21"/>
                    </w:rPr>
                  </w:pPr>
                  <w:r>
                    <w:rPr>
                      <w:szCs w:val="21"/>
                    </w:rPr>
                    <w:t>/</w:t>
                  </w:r>
                </w:p>
              </w:tc>
              <w:tc>
                <w:tcPr>
                  <w:tcW w:w="1120" w:type="dxa"/>
                  <w:vAlign w:val="center"/>
                </w:tcPr>
                <w:p>
                  <w:pPr>
                    <w:pStyle w:val="361"/>
                    <w:rPr>
                      <w:szCs w:val="21"/>
                    </w:rPr>
                  </w:pPr>
                </w:p>
              </w:tc>
              <w:tc>
                <w:tcPr>
                  <w:tcW w:w="1250" w:type="dxa"/>
                  <w:gridSpan w:val="2"/>
                  <w:vAlign w:val="center"/>
                </w:tcPr>
                <w:p>
                  <w:pPr>
                    <w:pStyle w:val="361"/>
                    <w:rPr>
                      <w:szCs w:val="21"/>
                    </w:rPr>
                  </w:pPr>
                </w:p>
              </w:tc>
              <w:tc>
                <w:tcPr>
                  <w:tcW w:w="1102" w:type="dxa"/>
                  <w:vAlign w:val="center"/>
                </w:tcPr>
                <w:p>
                  <w:pPr>
                    <w:pStyle w:val="361"/>
                    <w:rPr>
                      <w:szCs w:val="21"/>
                    </w:rPr>
                  </w:pPr>
                </w:p>
              </w:tc>
              <w:tc>
                <w:tcPr>
                  <w:tcW w:w="1269" w:type="dxa"/>
                  <w:vAlign w:val="center"/>
                </w:tcPr>
                <w:p>
                  <w:pPr>
                    <w:pStyle w:val="361"/>
                    <w:rPr>
                      <w:szCs w:val="21"/>
                    </w:rPr>
                  </w:pPr>
                  <w:r>
                    <w:rPr>
                      <w:szCs w:val="21"/>
                    </w:rPr>
                    <w:t>加重剂(按密度需要</w:t>
                  </w:r>
                </w:p>
              </w:tc>
            </w:tr>
          </w:tbl>
          <w:p>
            <w:pPr>
              <w:spacing w:line="360" w:lineRule="auto"/>
              <w:jc w:val="left"/>
              <w:rPr>
                <w:b/>
                <w:szCs w:val="21"/>
              </w:rPr>
            </w:pPr>
          </w:p>
          <w:p>
            <w:pPr>
              <w:pStyle w:val="19"/>
              <w:numPr>
                <w:ilvl w:val="0"/>
                <w:numId w:val="5"/>
              </w:numPr>
              <w:tabs>
                <w:tab w:val="left" w:pos="0"/>
                <w:tab w:val="left" w:pos="833"/>
              </w:tabs>
              <w:spacing w:before="0" w:after="0" w:line="360" w:lineRule="auto"/>
              <w:ind w:left="0" w:right="0" w:firstLine="0"/>
              <w:jc w:val="center"/>
              <w:rPr>
                <w:b/>
                <w:bCs/>
                <w:sz w:val="21"/>
                <w:szCs w:val="21"/>
              </w:rPr>
            </w:pPr>
            <w:r>
              <w:rPr>
                <w:b/>
                <w:bCs/>
                <w:sz w:val="21"/>
                <w:szCs w:val="21"/>
              </w:rPr>
              <w:t>主要原辅材料物理化学特性</w:t>
            </w:r>
          </w:p>
          <w:tbl>
            <w:tblPr>
              <w:tblStyle w:val="42"/>
              <w:tblW w:w="48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6" w:type="dxa"/>
                <w:bottom w:w="0" w:type="dxa"/>
                <w:right w:w="6" w:type="dxa"/>
              </w:tblCellMar>
            </w:tblPr>
            <w:tblGrid>
              <w:gridCol w:w="541"/>
              <w:gridCol w:w="1130"/>
              <w:gridCol w:w="59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 w:type="dxa"/>
                  <w:bottom w:w="0" w:type="dxa"/>
                  <w:right w:w="6" w:type="dxa"/>
                </w:tblCellMar>
              </w:tblPrEx>
              <w:trPr>
                <w:trHeight w:val="397" w:hRule="atLeast"/>
                <w:tblHeader/>
                <w:jc w:val="center"/>
              </w:trPr>
              <w:tc>
                <w:tcPr>
                  <w:tcW w:w="541" w:type="dxa"/>
                  <w:vAlign w:val="center"/>
                </w:tcPr>
                <w:p>
                  <w:pPr>
                    <w:jc w:val="center"/>
                    <w:rPr>
                      <w:bCs/>
                      <w:szCs w:val="21"/>
                    </w:rPr>
                  </w:pPr>
                  <w:r>
                    <w:rPr>
                      <w:bCs/>
                      <w:szCs w:val="21"/>
                    </w:rPr>
                    <w:t>序号</w:t>
                  </w:r>
                </w:p>
              </w:tc>
              <w:tc>
                <w:tcPr>
                  <w:tcW w:w="1130" w:type="dxa"/>
                  <w:vAlign w:val="center"/>
                </w:tcPr>
                <w:p>
                  <w:pPr>
                    <w:jc w:val="center"/>
                    <w:rPr>
                      <w:bCs/>
                      <w:szCs w:val="21"/>
                    </w:rPr>
                  </w:pPr>
                  <w:r>
                    <w:rPr>
                      <w:bCs/>
                      <w:szCs w:val="21"/>
                    </w:rPr>
                    <w:t>材料名称</w:t>
                  </w:r>
                </w:p>
              </w:tc>
              <w:tc>
                <w:tcPr>
                  <w:tcW w:w="5929" w:type="dxa"/>
                  <w:vAlign w:val="center"/>
                </w:tcPr>
                <w:p>
                  <w:pPr>
                    <w:jc w:val="center"/>
                    <w:rPr>
                      <w:bCs/>
                      <w:szCs w:val="21"/>
                    </w:rPr>
                  </w:pPr>
                  <w:r>
                    <w:rPr>
                      <w:bCs/>
                      <w:szCs w:val="21"/>
                    </w:rPr>
                    <w:t>物理化学特性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 w:type="dxa"/>
                  <w:bottom w:w="0" w:type="dxa"/>
                  <w:right w:w="6" w:type="dxa"/>
                </w:tblCellMar>
              </w:tblPrEx>
              <w:trPr>
                <w:trHeight w:val="397" w:hRule="atLeast"/>
                <w:jc w:val="center"/>
              </w:trPr>
              <w:tc>
                <w:tcPr>
                  <w:tcW w:w="541" w:type="dxa"/>
                  <w:vAlign w:val="center"/>
                </w:tcPr>
                <w:p>
                  <w:pPr>
                    <w:jc w:val="center"/>
                    <w:rPr>
                      <w:szCs w:val="21"/>
                    </w:rPr>
                  </w:pPr>
                  <w:r>
                    <w:rPr>
                      <w:szCs w:val="21"/>
                    </w:rPr>
                    <w:t>1</w:t>
                  </w:r>
                </w:p>
              </w:tc>
              <w:tc>
                <w:tcPr>
                  <w:tcW w:w="1130" w:type="dxa"/>
                  <w:vAlign w:val="center"/>
                </w:tcPr>
                <w:p>
                  <w:pPr>
                    <w:jc w:val="center"/>
                    <w:rPr>
                      <w:szCs w:val="21"/>
                    </w:rPr>
                  </w:pPr>
                  <w:r>
                    <w:rPr>
                      <w:szCs w:val="21"/>
                    </w:rPr>
                    <w:t>柴油</w:t>
                  </w:r>
                </w:p>
              </w:tc>
              <w:tc>
                <w:tcPr>
                  <w:tcW w:w="5929" w:type="dxa"/>
                  <w:vAlign w:val="center"/>
                </w:tcPr>
                <w:p>
                  <w:pPr>
                    <w:jc w:val="center"/>
                    <w:rPr>
                      <w:szCs w:val="21"/>
                    </w:rPr>
                  </w:pPr>
                  <w:r>
                    <w:rPr>
                      <w:szCs w:val="21"/>
                    </w:rPr>
                    <w:t>稍有粘性的棕色液体。与水混溶，可混溶于乙醇。熔点：－18℃，沸点：282－338℃，闪点：55℃，引燃温度：257℃，燃烧分解产物：一氧化碳、二氧化碳。禁忌物：强氧化剂、卤素。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 w:type="dxa"/>
                  <w:bottom w:w="0" w:type="dxa"/>
                  <w:right w:w="6" w:type="dxa"/>
                </w:tblCellMar>
              </w:tblPrEx>
              <w:trPr>
                <w:trHeight w:val="397" w:hRule="atLeast"/>
                <w:jc w:val="center"/>
              </w:trPr>
              <w:tc>
                <w:tcPr>
                  <w:tcW w:w="541" w:type="dxa"/>
                  <w:vAlign w:val="center"/>
                </w:tcPr>
                <w:p>
                  <w:pPr>
                    <w:jc w:val="center"/>
                    <w:rPr>
                      <w:szCs w:val="21"/>
                    </w:rPr>
                  </w:pPr>
                  <w:r>
                    <w:rPr>
                      <w:szCs w:val="21"/>
                    </w:rPr>
                    <w:t>2</w:t>
                  </w:r>
                </w:p>
              </w:tc>
              <w:tc>
                <w:tcPr>
                  <w:tcW w:w="1130" w:type="dxa"/>
                  <w:vAlign w:val="center"/>
                </w:tcPr>
                <w:p>
                  <w:pPr>
                    <w:jc w:val="center"/>
                    <w:rPr>
                      <w:szCs w:val="21"/>
                    </w:rPr>
                  </w:pPr>
                  <w:r>
                    <w:rPr>
                      <w:szCs w:val="21"/>
                    </w:rPr>
                    <w:t>盐酸</w:t>
                  </w:r>
                </w:p>
              </w:tc>
              <w:tc>
                <w:tcPr>
                  <w:tcW w:w="5929" w:type="dxa"/>
                  <w:vAlign w:val="center"/>
                </w:tcPr>
                <w:p>
                  <w:pPr>
                    <w:jc w:val="center"/>
                    <w:rPr>
                      <w:szCs w:val="21"/>
                    </w:rPr>
                  </w:pPr>
                  <w:r>
                    <w:rPr>
                      <w:szCs w:val="21"/>
                    </w:rPr>
                    <w:t>无色或微黄色发烟液体、有刺鼻的酸味。与水混溶，溶于碱液。熔点：－114.8（纯）℃，沸点：108.6（20%）℃。禁忌物：碱类、胺类、碱金属、易燃或可燃物。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 w:type="dxa"/>
                  <w:bottom w:w="0" w:type="dxa"/>
                  <w:right w:w="6" w:type="dxa"/>
                </w:tblCellMar>
              </w:tblPrEx>
              <w:trPr>
                <w:trHeight w:val="397" w:hRule="atLeast"/>
                <w:jc w:val="center"/>
              </w:trPr>
              <w:tc>
                <w:tcPr>
                  <w:tcW w:w="541" w:type="dxa"/>
                  <w:vAlign w:val="center"/>
                </w:tcPr>
                <w:p>
                  <w:pPr>
                    <w:jc w:val="center"/>
                    <w:rPr>
                      <w:szCs w:val="21"/>
                    </w:rPr>
                  </w:pPr>
                  <w:r>
                    <w:rPr>
                      <w:szCs w:val="21"/>
                    </w:rPr>
                    <w:t>3</w:t>
                  </w:r>
                </w:p>
              </w:tc>
              <w:tc>
                <w:tcPr>
                  <w:tcW w:w="1130" w:type="dxa"/>
                  <w:vAlign w:val="center"/>
                </w:tcPr>
                <w:p>
                  <w:pPr>
                    <w:jc w:val="center"/>
                    <w:rPr>
                      <w:szCs w:val="21"/>
                    </w:rPr>
                  </w:pPr>
                  <w:r>
                    <w:rPr>
                      <w:szCs w:val="21"/>
                    </w:rPr>
                    <w:t>防塌润滑剂FRH</w:t>
                  </w:r>
                </w:p>
              </w:tc>
              <w:tc>
                <w:tcPr>
                  <w:tcW w:w="5929" w:type="dxa"/>
                  <w:vAlign w:val="center"/>
                </w:tcPr>
                <w:p>
                  <w:pPr>
                    <w:jc w:val="center"/>
                    <w:rPr>
                      <w:szCs w:val="21"/>
                    </w:rPr>
                  </w:pPr>
                  <w:r>
                    <w:rPr>
                      <w:szCs w:val="21"/>
                    </w:rPr>
                    <w:t>钻井液用无荧光防塌润滑剂为黑色或黑褐色粉末及颗粒，能有效地改善泥饼质量，又有明显的防塌作用，并可降低摩擦阻系数，具有良好的润滑作用。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 w:type="dxa"/>
                  <w:bottom w:w="0" w:type="dxa"/>
                  <w:right w:w="6" w:type="dxa"/>
                </w:tblCellMar>
              </w:tblPrEx>
              <w:trPr>
                <w:trHeight w:val="397" w:hRule="atLeast"/>
                <w:jc w:val="center"/>
              </w:trPr>
              <w:tc>
                <w:tcPr>
                  <w:tcW w:w="541" w:type="dxa"/>
                  <w:vAlign w:val="center"/>
                </w:tcPr>
                <w:p>
                  <w:pPr>
                    <w:jc w:val="center"/>
                    <w:rPr>
                      <w:szCs w:val="21"/>
                    </w:rPr>
                  </w:pPr>
                  <w:r>
                    <w:rPr>
                      <w:szCs w:val="21"/>
                    </w:rPr>
                    <w:t>4</w:t>
                  </w:r>
                </w:p>
              </w:tc>
              <w:tc>
                <w:tcPr>
                  <w:tcW w:w="1130" w:type="dxa"/>
                  <w:vAlign w:val="center"/>
                </w:tcPr>
                <w:p>
                  <w:pPr>
                    <w:jc w:val="center"/>
                    <w:rPr>
                      <w:szCs w:val="21"/>
                    </w:rPr>
                  </w:pPr>
                  <w:r>
                    <w:rPr>
                      <w:szCs w:val="21"/>
                    </w:rPr>
                    <w:t>聚丙烯酰胺钾盐</w:t>
                  </w:r>
                </w:p>
                <w:p>
                  <w:pPr>
                    <w:jc w:val="center"/>
                    <w:rPr>
                      <w:szCs w:val="21"/>
                    </w:rPr>
                  </w:pPr>
                  <w:r>
                    <w:rPr>
                      <w:szCs w:val="21"/>
                    </w:rPr>
                    <w:t>K-PAM</w:t>
                  </w:r>
                </w:p>
              </w:tc>
              <w:tc>
                <w:tcPr>
                  <w:tcW w:w="5929" w:type="dxa"/>
                  <w:vAlign w:val="center"/>
                </w:tcPr>
                <w:p>
                  <w:pPr>
                    <w:jc w:val="center"/>
                    <w:rPr>
                      <w:szCs w:val="21"/>
                    </w:rPr>
                  </w:pPr>
                  <w:r>
                    <w:rPr>
                      <w:szCs w:val="21"/>
                    </w:rPr>
                    <w:t>该产品是一种无毒、无腐蚀的井壁稳定剂，易溶于水。具有抑制泥页岩及钻屑分散作用，兼有降失水、改善流型和增加润滑等性能。可以有效的抑制地层造浆并能与多种处理剂配伍，是一种应用广、较理想的井壁稳定剂。外观呈白色或淡黄色粉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 w:type="dxa"/>
                  <w:bottom w:w="0" w:type="dxa"/>
                  <w:right w:w="6" w:type="dxa"/>
                </w:tblCellMar>
              </w:tblPrEx>
              <w:trPr>
                <w:trHeight w:val="397" w:hRule="atLeast"/>
                <w:jc w:val="center"/>
              </w:trPr>
              <w:tc>
                <w:tcPr>
                  <w:tcW w:w="541" w:type="dxa"/>
                  <w:vAlign w:val="center"/>
                </w:tcPr>
                <w:p>
                  <w:pPr>
                    <w:jc w:val="center"/>
                    <w:rPr>
                      <w:szCs w:val="21"/>
                    </w:rPr>
                  </w:pPr>
                  <w:r>
                    <w:rPr>
                      <w:szCs w:val="21"/>
                    </w:rPr>
                    <w:t>5</w:t>
                  </w:r>
                </w:p>
              </w:tc>
              <w:tc>
                <w:tcPr>
                  <w:tcW w:w="1130" w:type="dxa"/>
                  <w:vAlign w:val="center"/>
                </w:tcPr>
                <w:p>
                  <w:pPr>
                    <w:jc w:val="center"/>
                    <w:rPr>
                      <w:szCs w:val="21"/>
                    </w:rPr>
                  </w:pPr>
                  <w:r>
                    <w:rPr>
                      <w:szCs w:val="21"/>
                    </w:rPr>
                    <w:t>聚合物强包被剂</w:t>
                  </w:r>
                </w:p>
                <w:p>
                  <w:pPr>
                    <w:jc w:val="center"/>
                    <w:rPr>
                      <w:szCs w:val="21"/>
                    </w:rPr>
                  </w:pPr>
                  <w:r>
                    <w:rPr>
                      <w:szCs w:val="21"/>
                    </w:rPr>
                    <w:t>FA367</w:t>
                  </w:r>
                </w:p>
              </w:tc>
              <w:tc>
                <w:tcPr>
                  <w:tcW w:w="5929" w:type="dxa"/>
                  <w:vAlign w:val="center"/>
                </w:tcPr>
                <w:p>
                  <w:pPr>
                    <w:jc w:val="center"/>
                    <w:rPr>
                      <w:szCs w:val="21"/>
                    </w:rPr>
                  </w:pPr>
                  <w:r>
                    <w:rPr>
                      <w:szCs w:val="21"/>
                    </w:rPr>
                    <w:t>是由含有多种有机阳离子基因、阴离子基因和非离子基因的单体通过共聚而形成的水溶性高分子聚合物，既能增强泥浆的抑制性，抑制泥页岩的水化膨胀，控制地层造浆，又能维持泥浆性能的稳定，改善流变性，降低摩阻和滤失量，有利于钻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 w:type="dxa"/>
                  <w:bottom w:w="0" w:type="dxa"/>
                  <w:right w:w="6" w:type="dxa"/>
                </w:tblCellMar>
              </w:tblPrEx>
              <w:trPr>
                <w:trHeight w:val="397" w:hRule="atLeast"/>
                <w:jc w:val="center"/>
              </w:trPr>
              <w:tc>
                <w:tcPr>
                  <w:tcW w:w="541" w:type="dxa"/>
                  <w:vAlign w:val="center"/>
                </w:tcPr>
                <w:p>
                  <w:pPr>
                    <w:jc w:val="center"/>
                    <w:rPr>
                      <w:szCs w:val="21"/>
                    </w:rPr>
                  </w:pPr>
                  <w:r>
                    <w:rPr>
                      <w:szCs w:val="21"/>
                    </w:rPr>
                    <w:t>6</w:t>
                  </w:r>
                </w:p>
              </w:tc>
              <w:tc>
                <w:tcPr>
                  <w:tcW w:w="1130" w:type="dxa"/>
                  <w:vAlign w:val="center"/>
                </w:tcPr>
                <w:p>
                  <w:pPr>
                    <w:jc w:val="center"/>
                    <w:rPr>
                      <w:szCs w:val="21"/>
                    </w:rPr>
                  </w:pPr>
                  <w:r>
                    <w:rPr>
                      <w:szCs w:val="21"/>
                    </w:rPr>
                    <w:t>低粘度聚阴离子纤维素PAC-LV</w:t>
                  </w:r>
                </w:p>
              </w:tc>
              <w:tc>
                <w:tcPr>
                  <w:tcW w:w="5929" w:type="dxa"/>
                  <w:vAlign w:val="center"/>
                </w:tcPr>
                <w:p>
                  <w:pPr>
                    <w:jc w:val="center"/>
                    <w:rPr>
                      <w:szCs w:val="21"/>
                    </w:rPr>
                  </w:pPr>
                  <w:r>
                    <w:rPr>
                      <w:szCs w:val="21"/>
                    </w:rPr>
                    <w:t>低粘度聚阴离子纤维素是低分子量、低粘度的聚合物，适用于水基钻井液，特别是含固体颗粒的钻井液，能有效地降低水基泥浆的滤失量，不会增加粘度和胶凝强度。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 w:type="dxa"/>
                  <w:bottom w:w="0" w:type="dxa"/>
                  <w:right w:w="6" w:type="dxa"/>
                </w:tblCellMar>
              </w:tblPrEx>
              <w:trPr>
                <w:trHeight w:val="397" w:hRule="atLeast"/>
                <w:jc w:val="center"/>
              </w:trPr>
              <w:tc>
                <w:tcPr>
                  <w:tcW w:w="541" w:type="dxa"/>
                  <w:vAlign w:val="center"/>
                </w:tcPr>
                <w:p>
                  <w:pPr>
                    <w:jc w:val="center"/>
                    <w:rPr>
                      <w:szCs w:val="21"/>
                    </w:rPr>
                  </w:pPr>
                  <w:r>
                    <w:rPr>
                      <w:szCs w:val="21"/>
                    </w:rPr>
                    <w:t>7</w:t>
                  </w:r>
                </w:p>
              </w:tc>
              <w:tc>
                <w:tcPr>
                  <w:tcW w:w="1130" w:type="dxa"/>
                  <w:vAlign w:val="center"/>
                </w:tcPr>
                <w:p>
                  <w:pPr>
                    <w:jc w:val="center"/>
                    <w:rPr>
                      <w:szCs w:val="21"/>
                    </w:rPr>
                  </w:pPr>
                  <w:r>
                    <w:rPr>
                      <w:szCs w:val="21"/>
                    </w:rPr>
                    <w:t>重晶石粉BaSO</w:t>
                  </w:r>
                  <w:r>
                    <w:rPr>
                      <w:szCs w:val="21"/>
                      <w:vertAlign w:val="subscript"/>
                    </w:rPr>
                    <w:t>4</w:t>
                  </w:r>
                </w:p>
              </w:tc>
              <w:tc>
                <w:tcPr>
                  <w:tcW w:w="5929" w:type="dxa"/>
                  <w:vAlign w:val="center"/>
                </w:tcPr>
                <w:p>
                  <w:pPr>
                    <w:jc w:val="center"/>
                    <w:rPr>
                      <w:szCs w:val="21"/>
                    </w:rPr>
                  </w:pPr>
                  <w:r>
                    <w:rPr>
                      <w:szCs w:val="21"/>
                    </w:rPr>
                    <w:t>BaSO</w:t>
                  </w:r>
                  <w:r>
                    <w:rPr>
                      <w:szCs w:val="21"/>
                      <w:vertAlign w:val="subscript"/>
                    </w:rPr>
                    <w:t>4</w:t>
                  </w:r>
                  <w:r>
                    <w:rPr>
                      <w:szCs w:val="21"/>
                    </w:rPr>
                    <w:t>，常作为钻井泥加重剂使用</w:t>
                  </w:r>
                </w:p>
              </w:tc>
            </w:tr>
          </w:tbl>
          <w:p>
            <w:pPr>
              <w:spacing w:line="360" w:lineRule="auto"/>
              <w:jc w:val="left"/>
              <w:rPr>
                <w:b/>
                <w:szCs w:val="21"/>
              </w:rPr>
            </w:pPr>
            <w:r>
              <w:rPr>
                <w:b/>
                <w:szCs w:val="21"/>
              </w:rPr>
              <w:t>2.7公用工程</w:t>
            </w:r>
          </w:p>
          <w:p>
            <w:pPr>
              <w:spacing w:line="360" w:lineRule="auto"/>
              <w:ind w:firstLine="420" w:firstLineChars="200"/>
              <w:rPr>
                <w:bCs/>
                <w:szCs w:val="21"/>
              </w:rPr>
            </w:pPr>
            <w:bookmarkStart w:id="17" w:name="_Hlk80691261"/>
            <w:bookmarkStart w:id="18" w:name="_Hlk86168349"/>
            <w:r>
              <w:rPr>
                <w:bCs/>
                <w:szCs w:val="21"/>
              </w:rPr>
              <w:t>（1）供电</w:t>
            </w:r>
          </w:p>
          <w:p>
            <w:pPr>
              <w:spacing w:line="360" w:lineRule="auto"/>
              <w:ind w:firstLine="420" w:firstLineChars="200"/>
              <w:rPr>
                <w:szCs w:val="21"/>
                <w:lang w:bidi="ar"/>
              </w:rPr>
            </w:pPr>
            <w:r>
              <w:rPr>
                <w:szCs w:val="21"/>
              </w:rPr>
              <w:t>本项目钻井工程钻机供电来源主要为网电，备用柴油发电机</w:t>
            </w:r>
            <w:r>
              <w:rPr>
                <w:szCs w:val="21"/>
                <w:lang w:bidi="ar"/>
              </w:rPr>
              <w:t>。</w:t>
            </w:r>
            <w:r>
              <w:rPr>
                <w:szCs w:val="21"/>
              </w:rPr>
              <w:t>网电采用</w:t>
            </w:r>
            <w:r>
              <w:rPr>
                <w:szCs w:val="21"/>
                <w:lang w:bidi="ar"/>
              </w:rPr>
              <w:t>周边10kV高压电网供电，备用300kW功率发电机2台。</w:t>
            </w:r>
          </w:p>
          <w:p>
            <w:pPr>
              <w:spacing w:line="360" w:lineRule="auto"/>
              <w:ind w:firstLine="420" w:firstLineChars="200"/>
              <w:rPr>
                <w:bCs/>
                <w:szCs w:val="21"/>
              </w:rPr>
            </w:pPr>
            <w:r>
              <w:rPr>
                <w:bCs/>
                <w:szCs w:val="21"/>
              </w:rPr>
              <w:t>（2）给水工程</w:t>
            </w:r>
          </w:p>
          <w:p>
            <w:pPr>
              <w:spacing w:line="360" w:lineRule="auto"/>
              <w:ind w:firstLine="420" w:firstLineChars="200"/>
              <w:rPr>
                <w:szCs w:val="21"/>
              </w:rPr>
            </w:pPr>
            <w:r>
              <w:rPr>
                <w:szCs w:val="21"/>
              </w:rPr>
              <w:t>本项目用水包括作业用水和生活用水，生活用水从附近</w:t>
            </w:r>
            <w:r>
              <w:rPr>
                <w:rFonts w:hint="eastAsia"/>
                <w:szCs w:val="21"/>
              </w:rPr>
              <w:t>场镇</w:t>
            </w:r>
            <w:r>
              <w:rPr>
                <w:szCs w:val="21"/>
              </w:rPr>
              <w:t>购买，作业用水由罐车从自来水管网取水拉运至井场水罐储存，由于钻井用水对水质要求不高，为避免使用项目周边地下水，因此采用自来水管网取水。</w:t>
            </w:r>
          </w:p>
          <w:p>
            <w:pPr>
              <w:spacing w:line="360" w:lineRule="auto"/>
              <w:ind w:firstLine="420" w:firstLineChars="200"/>
              <w:rPr>
                <w:szCs w:val="21"/>
              </w:rPr>
            </w:pPr>
            <w:r>
              <w:rPr>
                <w:szCs w:val="21"/>
              </w:rPr>
              <w:t>（3）排水工程</w:t>
            </w:r>
          </w:p>
          <w:p>
            <w:pPr>
              <w:spacing w:line="360" w:lineRule="auto"/>
              <w:ind w:firstLine="420" w:firstLineChars="200"/>
              <w:rPr>
                <w:szCs w:val="21"/>
              </w:rPr>
            </w:pPr>
            <w:r>
              <w:rPr>
                <w:szCs w:val="21"/>
              </w:rPr>
              <w:t>井场采用清污分流、雨污分流制。</w:t>
            </w:r>
          </w:p>
          <w:p>
            <w:pPr>
              <w:spacing w:line="360" w:lineRule="auto"/>
              <w:ind w:firstLine="420" w:firstLineChars="200"/>
              <w:rPr>
                <w:szCs w:val="21"/>
              </w:rPr>
            </w:pPr>
            <w:bookmarkStart w:id="19" w:name="_Hlk69130998"/>
            <w:r>
              <w:rPr>
                <w:szCs w:val="21"/>
              </w:rPr>
              <w:t>已建场外排水沟350m，场外雨水通过场外排水沟排入自然水系。</w:t>
            </w:r>
          </w:p>
          <w:p>
            <w:pPr>
              <w:spacing w:line="360" w:lineRule="auto"/>
              <w:ind w:firstLine="420" w:firstLineChars="200"/>
              <w:rPr>
                <w:szCs w:val="21"/>
              </w:rPr>
            </w:pPr>
            <w:r>
              <w:rPr>
                <w:szCs w:val="21"/>
              </w:rPr>
              <w:t>场内清水沟规格为400mm宽×300mm深，总长296m，不设置流水坡度。场内排水沟及隔油池，实现井场范围内清水与污水分流。井场内产污区和清洁生产操作平台设置挡水墙与井场清洁区分隔，产污区的废水经污水截流沟进入隔油池，通过集水坑泵入清洁生产操作平台废水罐处理回用。井场清洁区雨水通过排水沟和隔油池处理后排入自然水体。油罐区设置隔油池1座处理排入自然水系。生活污水经旱厕收集后由吸污车拉运至北山镇污水处理厂处理后排放。厨房废水经10m</w:t>
            </w:r>
            <w:r>
              <w:rPr>
                <w:szCs w:val="21"/>
                <w:vertAlign w:val="superscript"/>
              </w:rPr>
              <w:t>3</w:t>
            </w:r>
            <w:r>
              <w:rPr>
                <w:szCs w:val="21"/>
              </w:rPr>
              <w:t>隔油池处理后同生活污水处置。</w:t>
            </w:r>
            <w:bookmarkEnd w:id="17"/>
            <w:bookmarkEnd w:id="19"/>
          </w:p>
          <w:p>
            <w:pPr>
              <w:spacing w:line="360" w:lineRule="auto"/>
              <w:ind w:firstLine="422" w:firstLineChars="200"/>
              <w:rPr>
                <w:b/>
                <w:bCs/>
                <w:szCs w:val="21"/>
              </w:rPr>
            </w:pPr>
            <w:r>
              <w:rPr>
                <w:b/>
                <w:bCs/>
                <w:szCs w:val="21"/>
              </w:rPr>
              <w:t>（4）拆迁、补偿</w:t>
            </w:r>
          </w:p>
          <w:bookmarkEnd w:id="18"/>
          <w:p>
            <w:pPr>
              <w:spacing w:line="360" w:lineRule="auto"/>
              <w:ind w:firstLine="420" w:firstLineChars="200"/>
              <w:rPr>
                <w:szCs w:val="21"/>
              </w:rPr>
            </w:pPr>
            <w:r>
              <w:rPr>
                <w:szCs w:val="21"/>
              </w:rPr>
              <w:t>井场区域须迁移10KV高压线2档，迁移长度2.6km，电杆20根。迁移照明线1档，预计长度1km。燃烧池周边树木的砍伐费纳入钻井工程。</w:t>
            </w:r>
          </w:p>
          <w:p>
            <w:pPr>
              <w:spacing w:line="360" w:lineRule="auto"/>
              <w:ind w:firstLine="420" w:firstLineChars="200"/>
              <w:rPr>
                <w:szCs w:val="21"/>
              </w:rPr>
            </w:pPr>
            <w:r>
              <w:rPr>
                <w:szCs w:val="21"/>
              </w:rPr>
              <w:t>砍伐杂树：正向平台及反向平台周边50m的树木和地面农作物需砍伐和清除；均为地面农作物，共计20.8亩，杂树约300颗，只计青苗费及树木砍伐费用</w:t>
            </w:r>
          </w:p>
          <w:p>
            <w:pPr>
              <w:spacing w:line="360" w:lineRule="auto"/>
              <w:ind w:firstLine="420" w:firstLineChars="200"/>
              <w:rPr>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959" w:type="dxa"/>
            <w:vAlign w:val="center"/>
          </w:tcPr>
          <w:p>
            <w:pPr>
              <w:adjustRightInd w:val="0"/>
              <w:snapToGrid w:val="0"/>
              <w:jc w:val="center"/>
              <w:rPr>
                <w:kern w:val="0"/>
                <w:szCs w:val="21"/>
              </w:rPr>
            </w:pPr>
            <w:r>
              <w:rPr>
                <w:kern w:val="0"/>
                <w:szCs w:val="21"/>
              </w:rPr>
              <w:t>总平面及现场布置</w:t>
            </w:r>
          </w:p>
        </w:tc>
        <w:tc>
          <w:tcPr>
            <w:tcW w:w="7989" w:type="dxa"/>
            <w:vAlign w:val="center"/>
          </w:tcPr>
          <w:p>
            <w:pPr>
              <w:spacing w:line="360" w:lineRule="auto"/>
              <w:rPr>
                <w:b/>
                <w:szCs w:val="21"/>
              </w:rPr>
            </w:pPr>
            <w:r>
              <w:rPr>
                <w:b/>
                <w:szCs w:val="21"/>
              </w:rPr>
              <w:t>2.8工程占地与土石方平衡</w:t>
            </w:r>
          </w:p>
          <w:p>
            <w:pPr>
              <w:spacing w:line="360" w:lineRule="auto"/>
              <w:ind w:firstLine="420" w:firstLineChars="200"/>
              <w:rPr>
                <w:bCs/>
                <w:szCs w:val="21"/>
              </w:rPr>
            </w:pPr>
            <w:r>
              <w:rPr>
                <w:bCs/>
                <w:szCs w:val="21"/>
              </w:rPr>
              <w:t>（1）工程占地情况</w:t>
            </w:r>
          </w:p>
          <w:p>
            <w:pPr>
              <w:spacing w:line="360" w:lineRule="auto"/>
              <w:ind w:firstLine="420" w:firstLineChars="200"/>
              <w:rPr>
                <w:kern w:val="0"/>
                <w:szCs w:val="21"/>
                <w:lang w:bidi="ar"/>
              </w:rPr>
            </w:pPr>
            <w:r>
              <w:rPr>
                <w:kern w:val="0"/>
                <w:szCs w:val="21"/>
                <w:lang w:bidi="ar"/>
              </w:rPr>
              <w:t>鉴于陆地矿产资源地质勘查的不确定性，若完井获良好天然气产能则井口安装采气树后转为后续地面采气工程（另行办理相应的环评手续，完善永久征地手续）；若未获可利用的天然气则封井封场处理（无永久占地，临时占地恢复原貌），本项目施工阶段用地按临时用地办理手续。项目占地主要为耕地中的旱地，见</w:t>
            </w:r>
            <w:r>
              <w:rPr>
                <w:rFonts w:hint="eastAsia"/>
                <w:kern w:val="0"/>
                <w:szCs w:val="21"/>
                <w:lang w:bidi="ar"/>
              </w:rPr>
              <w:t>下表</w:t>
            </w:r>
            <w:r>
              <w:rPr>
                <w:kern w:val="0"/>
                <w:szCs w:val="21"/>
                <w:lang w:bidi="ar"/>
              </w:rPr>
              <w:t>。</w:t>
            </w:r>
          </w:p>
          <w:p>
            <w:pPr>
              <w:pStyle w:val="19"/>
              <w:numPr>
                <w:ilvl w:val="0"/>
                <w:numId w:val="5"/>
              </w:numPr>
              <w:tabs>
                <w:tab w:val="left" w:pos="0"/>
                <w:tab w:val="left" w:pos="833"/>
              </w:tabs>
              <w:spacing w:before="0" w:after="0" w:line="360" w:lineRule="auto"/>
              <w:ind w:left="0" w:right="0" w:firstLine="0"/>
              <w:jc w:val="center"/>
              <w:rPr>
                <w:b/>
                <w:sz w:val="21"/>
                <w:szCs w:val="21"/>
                <w:lang w:bidi="ar"/>
              </w:rPr>
            </w:pPr>
            <w:r>
              <w:rPr>
                <w:b/>
                <w:sz w:val="21"/>
                <w:szCs w:val="21"/>
                <w:lang w:bidi="ar"/>
              </w:rPr>
              <w:t>本工程占地类型一览表     单位：m</w:t>
            </w:r>
            <w:r>
              <w:rPr>
                <w:b/>
                <w:sz w:val="21"/>
                <w:szCs w:val="21"/>
                <w:vertAlign w:val="superscript"/>
                <w:lang w:bidi="ar"/>
              </w:rPr>
              <w:t>2</w:t>
            </w:r>
          </w:p>
          <w:tbl>
            <w:tblPr>
              <w:tblStyle w:val="42"/>
              <w:tblW w:w="77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8"/>
              <w:gridCol w:w="1554"/>
              <w:gridCol w:w="1869"/>
              <w:gridCol w:w="1783"/>
              <w:gridCol w:w="18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2292" w:type="dxa"/>
                  <w:gridSpan w:val="2"/>
                  <w:vAlign w:val="center"/>
                </w:tcPr>
                <w:p>
                  <w:pPr>
                    <w:widowControl/>
                    <w:jc w:val="center"/>
                    <w:rPr>
                      <w:kern w:val="0"/>
                      <w:szCs w:val="21"/>
                      <w:lang w:bidi="ar"/>
                    </w:rPr>
                  </w:pPr>
                  <w:r>
                    <w:rPr>
                      <w:kern w:val="0"/>
                      <w:szCs w:val="21"/>
                      <w:lang w:bidi="ar"/>
                    </w:rPr>
                    <w:t>场地名称</w:t>
                  </w:r>
                </w:p>
              </w:tc>
              <w:tc>
                <w:tcPr>
                  <w:tcW w:w="1869" w:type="dxa"/>
                  <w:vAlign w:val="center"/>
                </w:tcPr>
                <w:p>
                  <w:pPr>
                    <w:widowControl/>
                    <w:jc w:val="center"/>
                    <w:rPr>
                      <w:kern w:val="0"/>
                      <w:szCs w:val="21"/>
                      <w:lang w:bidi="ar"/>
                    </w:rPr>
                  </w:pPr>
                  <w:r>
                    <w:rPr>
                      <w:kern w:val="0"/>
                      <w:szCs w:val="21"/>
                      <w:lang w:bidi="ar"/>
                    </w:rPr>
                    <w:t>占地性质</w:t>
                  </w:r>
                </w:p>
              </w:tc>
              <w:tc>
                <w:tcPr>
                  <w:tcW w:w="1783" w:type="dxa"/>
                  <w:vAlign w:val="center"/>
                </w:tcPr>
                <w:p>
                  <w:pPr>
                    <w:widowControl/>
                    <w:jc w:val="center"/>
                    <w:rPr>
                      <w:kern w:val="0"/>
                      <w:szCs w:val="21"/>
                      <w:lang w:bidi="ar"/>
                    </w:rPr>
                  </w:pPr>
                  <w:r>
                    <w:rPr>
                      <w:kern w:val="0"/>
                      <w:szCs w:val="21"/>
                      <w:lang w:bidi="ar"/>
                    </w:rPr>
                    <w:t>占地类型</w:t>
                  </w:r>
                </w:p>
              </w:tc>
              <w:tc>
                <w:tcPr>
                  <w:tcW w:w="1844" w:type="dxa"/>
                  <w:vAlign w:val="center"/>
                </w:tcPr>
                <w:p>
                  <w:pPr>
                    <w:widowControl/>
                    <w:jc w:val="center"/>
                    <w:rPr>
                      <w:kern w:val="0"/>
                      <w:szCs w:val="21"/>
                      <w:lang w:bidi="ar"/>
                    </w:rPr>
                  </w:pPr>
                  <w:r>
                    <w:rPr>
                      <w:kern w:val="0"/>
                      <w:szCs w:val="21"/>
                      <w:lang w:bidi="ar"/>
                    </w:rPr>
                    <w:t>占地面积（m</w:t>
                  </w:r>
                  <w:r>
                    <w:rPr>
                      <w:kern w:val="0"/>
                      <w:szCs w:val="21"/>
                      <w:vertAlign w:val="superscript"/>
                      <w:lang w:bidi="ar"/>
                    </w:rPr>
                    <w:t>2</w:t>
                  </w:r>
                  <w:r>
                    <w:rPr>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738" w:type="dxa"/>
                  <w:vMerge w:val="restart"/>
                  <w:vAlign w:val="center"/>
                </w:tcPr>
                <w:p>
                  <w:pPr>
                    <w:widowControl/>
                    <w:jc w:val="center"/>
                    <w:rPr>
                      <w:kern w:val="0"/>
                      <w:szCs w:val="21"/>
                      <w:lang w:bidi="ar"/>
                    </w:rPr>
                  </w:pPr>
                  <w:r>
                    <w:rPr>
                      <w:kern w:val="0"/>
                      <w:szCs w:val="21"/>
                      <w:lang w:bidi="ar"/>
                    </w:rPr>
                    <w:t>临时征地</w:t>
                  </w:r>
                </w:p>
              </w:tc>
              <w:tc>
                <w:tcPr>
                  <w:tcW w:w="1554" w:type="dxa"/>
                  <w:vMerge w:val="restart"/>
                  <w:vAlign w:val="center"/>
                </w:tcPr>
                <w:p>
                  <w:pPr>
                    <w:widowControl/>
                    <w:jc w:val="center"/>
                    <w:rPr>
                      <w:kern w:val="0"/>
                      <w:szCs w:val="21"/>
                      <w:lang w:bidi="ar"/>
                    </w:rPr>
                  </w:pPr>
                  <w:r>
                    <w:rPr>
                      <w:kern w:val="0"/>
                      <w:szCs w:val="21"/>
                      <w:lang w:bidi="ar"/>
                    </w:rPr>
                    <w:t>井场工程</w:t>
                  </w:r>
                </w:p>
              </w:tc>
              <w:tc>
                <w:tcPr>
                  <w:tcW w:w="1869" w:type="dxa"/>
                  <w:vMerge w:val="restart"/>
                  <w:vAlign w:val="center"/>
                </w:tcPr>
                <w:p>
                  <w:pPr>
                    <w:widowControl/>
                    <w:jc w:val="center"/>
                    <w:rPr>
                      <w:kern w:val="0"/>
                      <w:szCs w:val="21"/>
                      <w:lang w:bidi="ar"/>
                    </w:rPr>
                  </w:pPr>
                  <w:r>
                    <w:rPr>
                      <w:kern w:val="0"/>
                      <w:szCs w:val="21"/>
                      <w:lang w:bidi="ar"/>
                    </w:rPr>
                    <w:t>临时占地</w:t>
                  </w:r>
                </w:p>
              </w:tc>
              <w:tc>
                <w:tcPr>
                  <w:tcW w:w="1783" w:type="dxa"/>
                  <w:vAlign w:val="center"/>
                </w:tcPr>
                <w:p>
                  <w:pPr>
                    <w:widowControl/>
                    <w:jc w:val="center"/>
                    <w:rPr>
                      <w:kern w:val="0"/>
                      <w:szCs w:val="21"/>
                      <w:lang w:bidi="ar"/>
                    </w:rPr>
                  </w:pPr>
                  <w:r>
                    <w:rPr>
                      <w:kern w:val="0"/>
                      <w:szCs w:val="21"/>
                      <w:lang w:bidi="ar"/>
                    </w:rPr>
                    <w:t>旱地</w:t>
                  </w:r>
                </w:p>
              </w:tc>
              <w:tc>
                <w:tcPr>
                  <w:tcW w:w="1844" w:type="dxa"/>
                  <w:vAlign w:val="center"/>
                </w:tcPr>
                <w:p>
                  <w:pPr>
                    <w:widowControl/>
                    <w:jc w:val="center"/>
                    <w:rPr>
                      <w:rFonts w:eastAsia="等线"/>
                      <w:kern w:val="0"/>
                      <w:szCs w:val="21"/>
                    </w:rPr>
                  </w:pPr>
                  <w:r>
                    <w:rPr>
                      <w:rFonts w:eastAsia="等线"/>
                      <w:kern w:val="0"/>
                      <w:szCs w:val="21"/>
                    </w:rPr>
                    <w:t>3603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738" w:type="dxa"/>
                  <w:vMerge w:val="continue"/>
                  <w:vAlign w:val="center"/>
                </w:tcPr>
                <w:p>
                  <w:pPr>
                    <w:widowControl/>
                    <w:jc w:val="center"/>
                    <w:rPr>
                      <w:kern w:val="0"/>
                      <w:szCs w:val="21"/>
                      <w:lang w:bidi="ar"/>
                    </w:rPr>
                  </w:pPr>
                </w:p>
              </w:tc>
              <w:tc>
                <w:tcPr>
                  <w:tcW w:w="1554" w:type="dxa"/>
                  <w:vMerge w:val="continue"/>
                  <w:vAlign w:val="center"/>
                </w:tcPr>
                <w:p>
                  <w:pPr>
                    <w:widowControl/>
                    <w:jc w:val="center"/>
                    <w:rPr>
                      <w:kern w:val="0"/>
                      <w:szCs w:val="21"/>
                      <w:lang w:bidi="ar"/>
                    </w:rPr>
                  </w:pPr>
                </w:p>
              </w:tc>
              <w:tc>
                <w:tcPr>
                  <w:tcW w:w="1869" w:type="dxa"/>
                  <w:vMerge w:val="continue"/>
                  <w:vAlign w:val="center"/>
                </w:tcPr>
                <w:p>
                  <w:pPr>
                    <w:widowControl/>
                    <w:jc w:val="center"/>
                    <w:rPr>
                      <w:kern w:val="0"/>
                      <w:szCs w:val="21"/>
                      <w:lang w:bidi="ar"/>
                    </w:rPr>
                  </w:pPr>
                </w:p>
              </w:tc>
              <w:tc>
                <w:tcPr>
                  <w:tcW w:w="1783" w:type="dxa"/>
                  <w:vAlign w:val="center"/>
                </w:tcPr>
                <w:p>
                  <w:pPr>
                    <w:widowControl/>
                    <w:jc w:val="center"/>
                    <w:rPr>
                      <w:kern w:val="0"/>
                      <w:szCs w:val="21"/>
                      <w:lang w:bidi="ar"/>
                    </w:rPr>
                  </w:pPr>
                  <w:r>
                    <w:rPr>
                      <w:kern w:val="0"/>
                      <w:szCs w:val="21"/>
                      <w:lang w:bidi="ar"/>
                    </w:rPr>
                    <w:t>水田</w:t>
                  </w:r>
                </w:p>
              </w:tc>
              <w:tc>
                <w:tcPr>
                  <w:tcW w:w="1844" w:type="dxa"/>
                  <w:vAlign w:val="center"/>
                </w:tcPr>
                <w:p>
                  <w:pPr>
                    <w:jc w:val="center"/>
                    <w:rPr>
                      <w:rFonts w:eastAsia="等线"/>
                      <w:szCs w:val="21"/>
                    </w:rPr>
                  </w:pPr>
                  <w:r>
                    <w:rPr>
                      <w:rFonts w:eastAsia="等线"/>
                      <w:szCs w:val="21"/>
                    </w:rPr>
                    <w:t>9856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738" w:type="dxa"/>
                  <w:vMerge w:val="continue"/>
                  <w:vAlign w:val="center"/>
                </w:tcPr>
                <w:p>
                  <w:pPr>
                    <w:widowControl/>
                    <w:jc w:val="center"/>
                    <w:rPr>
                      <w:kern w:val="0"/>
                      <w:szCs w:val="21"/>
                      <w:lang w:bidi="ar"/>
                    </w:rPr>
                  </w:pPr>
                </w:p>
              </w:tc>
              <w:tc>
                <w:tcPr>
                  <w:tcW w:w="1554" w:type="dxa"/>
                  <w:vMerge w:val="restart"/>
                  <w:vAlign w:val="center"/>
                </w:tcPr>
                <w:p>
                  <w:pPr>
                    <w:widowControl/>
                    <w:jc w:val="center"/>
                    <w:rPr>
                      <w:kern w:val="0"/>
                      <w:szCs w:val="21"/>
                      <w:lang w:bidi="ar"/>
                    </w:rPr>
                  </w:pPr>
                  <w:r>
                    <w:rPr>
                      <w:kern w:val="0"/>
                      <w:szCs w:val="21"/>
                      <w:lang w:bidi="ar"/>
                    </w:rPr>
                    <w:t>池内工程</w:t>
                  </w:r>
                </w:p>
              </w:tc>
              <w:tc>
                <w:tcPr>
                  <w:tcW w:w="1869" w:type="dxa"/>
                  <w:vMerge w:val="restart"/>
                  <w:vAlign w:val="center"/>
                </w:tcPr>
                <w:p>
                  <w:pPr>
                    <w:widowControl/>
                    <w:jc w:val="center"/>
                    <w:rPr>
                      <w:kern w:val="0"/>
                      <w:szCs w:val="21"/>
                      <w:lang w:bidi="ar"/>
                    </w:rPr>
                  </w:pPr>
                  <w:r>
                    <w:rPr>
                      <w:kern w:val="0"/>
                      <w:szCs w:val="21"/>
                      <w:lang w:bidi="ar"/>
                    </w:rPr>
                    <w:t>临时占地</w:t>
                  </w:r>
                </w:p>
              </w:tc>
              <w:tc>
                <w:tcPr>
                  <w:tcW w:w="1783" w:type="dxa"/>
                  <w:vAlign w:val="center"/>
                </w:tcPr>
                <w:p>
                  <w:pPr>
                    <w:widowControl/>
                    <w:jc w:val="center"/>
                    <w:rPr>
                      <w:kern w:val="0"/>
                      <w:szCs w:val="21"/>
                      <w:lang w:bidi="ar"/>
                    </w:rPr>
                  </w:pPr>
                  <w:r>
                    <w:rPr>
                      <w:kern w:val="0"/>
                      <w:szCs w:val="21"/>
                      <w:lang w:bidi="ar"/>
                    </w:rPr>
                    <w:t>旱地</w:t>
                  </w:r>
                </w:p>
              </w:tc>
              <w:tc>
                <w:tcPr>
                  <w:tcW w:w="1844" w:type="dxa"/>
                  <w:vAlign w:val="center"/>
                </w:tcPr>
                <w:p>
                  <w:pPr>
                    <w:jc w:val="center"/>
                    <w:rPr>
                      <w:rFonts w:eastAsia="等线"/>
                      <w:szCs w:val="21"/>
                    </w:rPr>
                  </w:pPr>
                  <w:r>
                    <w:rPr>
                      <w:rFonts w:eastAsia="等线"/>
                      <w:szCs w:val="21"/>
                    </w:rPr>
                    <w:t>4569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738" w:type="dxa"/>
                  <w:vMerge w:val="continue"/>
                  <w:vAlign w:val="center"/>
                </w:tcPr>
                <w:p>
                  <w:pPr>
                    <w:widowControl/>
                    <w:jc w:val="center"/>
                    <w:rPr>
                      <w:kern w:val="0"/>
                      <w:szCs w:val="21"/>
                      <w:lang w:bidi="ar"/>
                    </w:rPr>
                  </w:pPr>
                </w:p>
              </w:tc>
              <w:tc>
                <w:tcPr>
                  <w:tcW w:w="1554" w:type="dxa"/>
                  <w:vMerge w:val="continue"/>
                  <w:vAlign w:val="center"/>
                </w:tcPr>
                <w:p>
                  <w:pPr>
                    <w:widowControl/>
                    <w:jc w:val="center"/>
                    <w:rPr>
                      <w:kern w:val="0"/>
                      <w:szCs w:val="21"/>
                      <w:lang w:bidi="ar"/>
                    </w:rPr>
                  </w:pPr>
                </w:p>
              </w:tc>
              <w:tc>
                <w:tcPr>
                  <w:tcW w:w="1869" w:type="dxa"/>
                  <w:vMerge w:val="continue"/>
                  <w:vAlign w:val="center"/>
                </w:tcPr>
                <w:p>
                  <w:pPr>
                    <w:widowControl/>
                    <w:jc w:val="center"/>
                    <w:rPr>
                      <w:kern w:val="0"/>
                      <w:szCs w:val="21"/>
                      <w:lang w:bidi="ar"/>
                    </w:rPr>
                  </w:pPr>
                </w:p>
              </w:tc>
              <w:tc>
                <w:tcPr>
                  <w:tcW w:w="1783" w:type="dxa"/>
                  <w:vAlign w:val="center"/>
                </w:tcPr>
                <w:p>
                  <w:pPr>
                    <w:widowControl/>
                    <w:jc w:val="center"/>
                    <w:rPr>
                      <w:kern w:val="0"/>
                      <w:szCs w:val="21"/>
                      <w:lang w:bidi="ar"/>
                    </w:rPr>
                  </w:pPr>
                  <w:r>
                    <w:rPr>
                      <w:kern w:val="0"/>
                      <w:szCs w:val="21"/>
                      <w:lang w:bidi="ar"/>
                    </w:rPr>
                    <w:t>水田</w:t>
                  </w:r>
                </w:p>
              </w:tc>
              <w:tc>
                <w:tcPr>
                  <w:tcW w:w="1844" w:type="dxa"/>
                  <w:vAlign w:val="center"/>
                </w:tcPr>
                <w:p>
                  <w:pPr>
                    <w:jc w:val="center"/>
                    <w:rPr>
                      <w:szCs w:val="21"/>
                    </w:rPr>
                  </w:pPr>
                  <w:r>
                    <w:rPr>
                      <w:szCs w:val="21"/>
                    </w:rPr>
                    <w:t>3087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738" w:type="dxa"/>
                  <w:vMerge w:val="continue"/>
                  <w:vAlign w:val="center"/>
                </w:tcPr>
                <w:p>
                  <w:pPr>
                    <w:widowControl/>
                    <w:jc w:val="center"/>
                    <w:rPr>
                      <w:kern w:val="0"/>
                      <w:szCs w:val="21"/>
                      <w:lang w:bidi="ar"/>
                    </w:rPr>
                  </w:pPr>
                </w:p>
              </w:tc>
              <w:tc>
                <w:tcPr>
                  <w:tcW w:w="1554" w:type="dxa"/>
                  <w:vAlign w:val="center"/>
                </w:tcPr>
                <w:p>
                  <w:pPr>
                    <w:widowControl/>
                    <w:jc w:val="center"/>
                    <w:rPr>
                      <w:kern w:val="0"/>
                      <w:szCs w:val="21"/>
                      <w:lang w:bidi="ar"/>
                    </w:rPr>
                  </w:pPr>
                  <w:r>
                    <w:rPr>
                      <w:kern w:val="0"/>
                      <w:szCs w:val="21"/>
                      <w:lang w:bidi="ar"/>
                    </w:rPr>
                    <w:t>临时房屋</w:t>
                  </w:r>
                </w:p>
              </w:tc>
              <w:tc>
                <w:tcPr>
                  <w:tcW w:w="1869" w:type="dxa"/>
                  <w:vAlign w:val="center"/>
                </w:tcPr>
                <w:p>
                  <w:pPr>
                    <w:widowControl/>
                    <w:jc w:val="center"/>
                    <w:rPr>
                      <w:kern w:val="0"/>
                      <w:szCs w:val="21"/>
                      <w:lang w:bidi="ar"/>
                    </w:rPr>
                  </w:pPr>
                  <w:r>
                    <w:rPr>
                      <w:kern w:val="0"/>
                      <w:szCs w:val="21"/>
                      <w:lang w:bidi="ar"/>
                    </w:rPr>
                    <w:t>临时占地</w:t>
                  </w:r>
                </w:p>
              </w:tc>
              <w:tc>
                <w:tcPr>
                  <w:tcW w:w="1783" w:type="dxa"/>
                  <w:vAlign w:val="center"/>
                </w:tcPr>
                <w:p>
                  <w:pPr>
                    <w:widowControl/>
                    <w:jc w:val="center"/>
                    <w:rPr>
                      <w:kern w:val="0"/>
                      <w:szCs w:val="21"/>
                      <w:lang w:bidi="ar"/>
                    </w:rPr>
                  </w:pPr>
                  <w:r>
                    <w:rPr>
                      <w:kern w:val="0"/>
                      <w:szCs w:val="21"/>
                      <w:lang w:bidi="ar"/>
                    </w:rPr>
                    <w:t>荒地</w:t>
                  </w:r>
                </w:p>
              </w:tc>
              <w:tc>
                <w:tcPr>
                  <w:tcW w:w="1844" w:type="dxa"/>
                  <w:vAlign w:val="center"/>
                </w:tcPr>
                <w:p>
                  <w:pPr>
                    <w:jc w:val="center"/>
                    <w:rPr>
                      <w:rFonts w:eastAsia="等线"/>
                      <w:szCs w:val="21"/>
                    </w:rPr>
                  </w:pPr>
                  <w:r>
                    <w:rPr>
                      <w:szCs w:val="21"/>
                    </w:rPr>
                    <w:t>6291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738" w:type="dxa"/>
                  <w:vMerge w:val="continue"/>
                  <w:vAlign w:val="center"/>
                </w:tcPr>
                <w:p>
                  <w:pPr>
                    <w:widowControl/>
                    <w:jc w:val="center"/>
                    <w:rPr>
                      <w:kern w:val="0"/>
                      <w:szCs w:val="21"/>
                      <w:lang w:bidi="ar"/>
                    </w:rPr>
                  </w:pPr>
                </w:p>
              </w:tc>
              <w:tc>
                <w:tcPr>
                  <w:tcW w:w="1554" w:type="dxa"/>
                  <w:vAlign w:val="center"/>
                </w:tcPr>
                <w:p>
                  <w:pPr>
                    <w:widowControl/>
                    <w:jc w:val="center"/>
                    <w:rPr>
                      <w:kern w:val="0"/>
                      <w:szCs w:val="21"/>
                      <w:lang w:bidi="ar"/>
                    </w:rPr>
                  </w:pPr>
                  <w:r>
                    <w:rPr>
                      <w:kern w:val="0"/>
                      <w:szCs w:val="21"/>
                      <w:lang w:bidi="ar"/>
                    </w:rPr>
                    <w:t>道路工程</w:t>
                  </w:r>
                </w:p>
              </w:tc>
              <w:tc>
                <w:tcPr>
                  <w:tcW w:w="1869" w:type="dxa"/>
                  <w:vAlign w:val="center"/>
                </w:tcPr>
                <w:p>
                  <w:pPr>
                    <w:widowControl/>
                    <w:jc w:val="center"/>
                    <w:rPr>
                      <w:kern w:val="0"/>
                      <w:szCs w:val="21"/>
                      <w:lang w:bidi="ar"/>
                    </w:rPr>
                  </w:pPr>
                  <w:r>
                    <w:rPr>
                      <w:kern w:val="0"/>
                      <w:szCs w:val="21"/>
                      <w:lang w:bidi="ar"/>
                    </w:rPr>
                    <w:t>临时占地</w:t>
                  </w:r>
                </w:p>
              </w:tc>
              <w:tc>
                <w:tcPr>
                  <w:tcW w:w="1783" w:type="dxa"/>
                  <w:vAlign w:val="center"/>
                </w:tcPr>
                <w:p>
                  <w:pPr>
                    <w:widowControl/>
                    <w:jc w:val="center"/>
                    <w:rPr>
                      <w:kern w:val="0"/>
                      <w:szCs w:val="21"/>
                      <w:lang w:bidi="ar"/>
                    </w:rPr>
                  </w:pPr>
                  <w:r>
                    <w:rPr>
                      <w:kern w:val="0"/>
                      <w:szCs w:val="21"/>
                      <w:lang w:bidi="ar"/>
                    </w:rPr>
                    <w:t>荒地</w:t>
                  </w:r>
                </w:p>
              </w:tc>
              <w:tc>
                <w:tcPr>
                  <w:tcW w:w="1844" w:type="dxa"/>
                  <w:vAlign w:val="center"/>
                </w:tcPr>
                <w:p>
                  <w:pPr>
                    <w:jc w:val="center"/>
                    <w:rPr>
                      <w:rFonts w:eastAsia="等线"/>
                      <w:szCs w:val="21"/>
                    </w:rPr>
                  </w:pPr>
                  <w:r>
                    <w:rPr>
                      <w:szCs w:val="21"/>
                    </w:rPr>
                    <w:t>1187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738" w:type="dxa"/>
                  <w:vMerge w:val="continue"/>
                  <w:vAlign w:val="center"/>
                </w:tcPr>
                <w:p>
                  <w:pPr>
                    <w:widowControl/>
                    <w:jc w:val="center"/>
                    <w:rPr>
                      <w:kern w:val="0"/>
                      <w:szCs w:val="21"/>
                      <w:lang w:bidi="ar"/>
                    </w:rPr>
                  </w:pPr>
                </w:p>
              </w:tc>
              <w:tc>
                <w:tcPr>
                  <w:tcW w:w="1554" w:type="dxa"/>
                  <w:vMerge w:val="restart"/>
                  <w:vAlign w:val="center"/>
                </w:tcPr>
                <w:p>
                  <w:pPr>
                    <w:widowControl/>
                    <w:jc w:val="center"/>
                    <w:rPr>
                      <w:kern w:val="0"/>
                      <w:szCs w:val="21"/>
                      <w:lang w:bidi="ar"/>
                    </w:rPr>
                  </w:pPr>
                  <w:r>
                    <w:rPr>
                      <w:kern w:val="0"/>
                      <w:szCs w:val="21"/>
                      <w:lang w:bidi="ar"/>
                    </w:rPr>
                    <w:t>耕植土堆放区</w:t>
                  </w:r>
                </w:p>
              </w:tc>
              <w:tc>
                <w:tcPr>
                  <w:tcW w:w="1869" w:type="dxa"/>
                  <w:vAlign w:val="center"/>
                </w:tcPr>
                <w:p>
                  <w:pPr>
                    <w:widowControl/>
                    <w:jc w:val="center"/>
                    <w:rPr>
                      <w:kern w:val="0"/>
                      <w:szCs w:val="21"/>
                      <w:lang w:bidi="ar"/>
                    </w:rPr>
                  </w:pPr>
                  <w:r>
                    <w:rPr>
                      <w:kern w:val="0"/>
                      <w:szCs w:val="21"/>
                      <w:lang w:bidi="ar"/>
                    </w:rPr>
                    <w:t>临时占地</w:t>
                  </w:r>
                </w:p>
              </w:tc>
              <w:tc>
                <w:tcPr>
                  <w:tcW w:w="1783" w:type="dxa"/>
                  <w:vAlign w:val="center"/>
                </w:tcPr>
                <w:p>
                  <w:pPr>
                    <w:widowControl/>
                    <w:jc w:val="center"/>
                    <w:rPr>
                      <w:kern w:val="0"/>
                      <w:szCs w:val="21"/>
                      <w:lang w:bidi="ar"/>
                    </w:rPr>
                  </w:pPr>
                  <w:r>
                    <w:rPr>
                      <w:kern w:val="0"/>
                      <w:szCs w:val="21"/>
                      <w:lang w:bidi="ar"/>
                    </w:rPr>
                    <w:t>旱地</w:t>
                  </w:r>
                </w:p>
              </w:tc>
              <w:tc>
                <w:tcPr>
                  <w:tcW w:w="1844" w:type="dxa"/>
                  <w:vAlign w:val="center"/>
                </w:tcPr>
                <w:p>
                  <w:pPr>
                    <w:jc w:val="center"/>
                    <w:rPr>
                      <w:rFonts w:eastAsia="等线"/>
                      <w:szCs w:val="21"/>
                    </w:rPr>
                  </w:pPr>
                  <w:r>
                    <w:rPr>
                      <w:szCs w:val="21"/>
                    </w:rPr>
                    <w:t>2487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738" w:type="dxa"/>
                  <w:vMerge w:val="continue"/>
                  <w:vAlign w:val="center"/>
                </w:tcPr>
                <w:p>
                  <w:pPr>
                    <w:widowControl/>
                    <w:jc w:val="center"/>
                    <w:rPr>
                      <w:kern w:val="0"/>
                      <w:szCs w:val="21"/>
                      <w:lang w:bidi="ar"/>
                    </w:rPr>
                  </w:pPr>
                </w:p>
              </w:tc>
              <w:tc>
                <w:tcPr>
                  <w:tcW w:w="1554" w:type="dxa"/>
                  <w:vMerge w:val="continue"/>
                  <w:vAlign w:val="center"/>
                </w:tcPr>
                <w:p>
                  <w:pPr>
                    <w:widowControl/>
                    <w:jc w:val="center"/>
                    <w:rPr>
                      <w:kern w:val="0"/>
                      <w:szCs w:val="21"/>
                      <w:lang w:bidi="ar"/>
                    </w:rPr>
                  </w:pPr>
                </w:p>
              </w:tc>
              <w:tc>
                <w:tcPr>
                  <w:tcW w:w="1869" w:type="dxa"/>
                  <w:vAlign w:val="center"/>
                </w:tcPr>
                <w:p>
                  <w:pPr>
                    <w:widowControl/>
                    <w:jc w:val="center"/>
                    <w:rPr>
                      <w:kern w:val="0"/>
                      <w:szCs w:val="21"/>
                      <w:lang w:bidi="ar"/>
                    </w:rPr>
                  </w:pPr>
                  <w:r>
                    <w:rPr>
                      <w:kern w:val="0"/>
                      <w:szCs w:val="21"/>
                      <w:lang w:bidi="ar"/>
                    </w:rPr>
                    <w:t>临时占地</w:t>
                  </w:r>
                </w:p>
              </w:tc>
              <w:tc>
                <w:tcPr>
                  <w:tcW w:w="1783" w:type="dxa"/>
                  <w:vAlign w:val="center"/>
                </w:tcPr>
                <w:p>
                  <w:pPr>
                    <w:widowControl/>
                    <w:jc w:val="center"/>
                    <w:rPr>
                      <w:kern w:val="0"/>
                      <w:szCs w:val="21"/>
                      <w:lang w:bidi="ar"/>
                    </w:rPr>
                  </w:pPr>
                  <w:r>
                    <w:rPr>
                      <w:kern w:val="0"/>
                      <w:szCs w:val="21"/>
                      <w:lang w:bidi="ar"/>
                    </w:rPr>
                    <w:t>水田</w:t>
                  </w:r>
                </w:p>
              </w:tc>
              <w:tc>
                <w:tcPr>
                  <w:tcW w:w="1844" w:type="dxa"/>
                  <w:vAlign w:val="center"/>
                </w:tcPr>
                <w:p>
                  <w:pPr>
                    <w:jc w:val="center"/>
                    <w:rPr>
                      <w:szCs w:val="21"/>
                    </w:rPr>
                  </w:pPr>
                  <w:r>
                    <w:rPr>
                      <w:szCs w:val="21"/>
                    </w:rPr>
                    <w:t>513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2292" w:type="dxa"/>
                  <w:gridSpan w:val="2"/>
                  <w:vAlign w:val="center"/>
                </w:tcPr>
                <w:p>
                  <w:pPr>
                    <w:widowControl/>
                    <w:jc w:val="center"/>
                    <w:rPr>
                      <w:kern w:val="0"/>
                      <w:szCs w:val="21"/>
                      <w:lang w:bidi="ar"/>
                    </w:rPr>
                  </w:pPr>
                  <w:r>
                    <w:rPr>
                      <w:kern w:val="0"/>
                      <w:szCs w:val="21"/>
                      <w:lang w:bidi="ar"/>
                    </w:rPr>
                    <w:t>总计</w:t>
                  </w:r>
                </w:p>
              </w:tc>
              <w:tc>
                <w:tcPr>
                  <w:tcW w:w="1869" w:type="dxa"/>
                  <w:vAlign w:val="center"/>
                </w:tcPr>
                <w:p>
                  <w:pPr>
                    <w:widowControl/>
                    <w:jc w:val="center"/>
                    <w:rPr>
                      <w:kern w:val="0"/>
                      <w:szCs w:val="21"/>
                      <w:lang w:bidi="ar"/>
                    </w:rPr>
                  </w:pPr>
                  <w:r>
                    <w:rPr>
                      <w:kern w:val="0"/>
                      <w:szCs w:val="21"/>
                      <w:lang w:bidi="ar"/>
                    </w:rPr>
                    <w:t>临时占地</w:t>
                  </w:r>
                </w:p>
              </w:tc>
              <w:tc>
                <w:tcPr>
                  <w:tcW w:w="1783" w:type="dxa"/>
                  <w:vAlign w:val="center"/>
                </w:tcPr>
                <w:p>
                  <w:pPr>
                    <w:widowControl/>
                    <w:jc w:val="center"/>
                    <w:rPr>
                      <w:kern w:val="0"/>
                      <w:szCs w:val="21"/>
                      <w:lang w:bidi="ar"/>
                    </w:rPr>
                  </w:pPr>
                  <w:r>
                    <w:rPr>
                      <w:kern w:val="0"/>
                      <w:szCs w:val="21"/>
                      <w:lang w:bidi="ar"/>
                    </w:rPr>
                    <w:t>/</w:t>
                  </w:r>
                </w:p>
              </w:tc>
              <w:tc>
                <w:tcPr>
                  <w:tcW w:w="1844" w:type="dxa"/>
                  <w:vAlign w:val="center"/>
                </w:tcPr>
                <w:p>
                  <w:pPr>
                    <w:widowControl/>
                    <w:jc w:val="center"/>
                    <w:rPr>
                      <w:kern w:val="0"/>
                      <w:szCs w:val="21"/>
                      <w:lang w:bidi="ar"/>
                    </w:rPr>
                  </w:pPr>
                  <w:r>
                    <w:rPr>
                      <w:kern w:val="0"/>
                      <w:szCs w:val="21"/>
                      <w:lang w:bidi="ar"/>
                    </w:rPr>
                    <w:t>31593</w:t>
                  </w:r>
                </w:p>
              </w:tc>
            </w:tr>
          </w:tbl>
          <w:p>
            <w:pPr>
              <w:pStyle w:val="209"/>
              <w:ind w:firstLine="420"/>
              <w:rPr>
                <w:sz w:val="21"/>
              </w:rPr>
            </w:pPr>
          </w:p>
          <w:p>
            <w:pPr>
              <w:pStyle w:val="209"/>
              <w:ind w:firstLine="420"/>
              <w:rPr>
                <w:sz w:val="21"/>
              </w:rPr>
            </w:pPr>
            <w:r>
              <w:rPr>
                <w:sz w:val="21"/>
              </w:rPr>
              <w:t>根据钻前设计，本工程用地均为临时用地，若完井测试结果表明气井有开采价值，则再行征用工艺装置区用地。</w:t>
            </w:r>
          </w:p>
          <w:p>
            <w:pPr>
              <w:spacing w:line="360" w:lineRule="auto"/>
              <w:ind w:firstLine="420" w:firstLineChars="200"/>
              <w:rPr>
                <w:bCs/>
                <w:szCs w:val="21"/>
              </w:rPr>
            </w:pPr>
            <w:r>
              <w:rPr>
                <w:bCs/>
                <w:szCs w:val="21"/>
              </w:rPr>
              <w:t>（2）项目土石方平衡</w:t>
            </w:r>
          </w:p>
          <w:p>
            <w:pPr>
              <w:pStyle w:val="209"/>
              <w:ind w:firstLine="420"/>
              <w:rPr>
                <w:sz w:val="21"/>
                <w:lang w:bidi="ar"/>
              </w:rPr>
            </w:pPr>
            <w:r>
              <w:rPr>
                <w:sz w:val="21"/>
                <w:lang w:bidi="ar"/>
              </w:rPr>
              <w:t>本工程土石方挖填平衡，产生的耕植土7234m</w:t>
            </w:r>
            <w:r>
              <w:rPr>
                <w:sz w:val="21"/>
                <w:vertAlign w:val="superscript"/>
                <w:lang w:bidi="ar"/>
              </w:rPr>
              <w:t>3</w:t>
            </w:r>
            <w:r>
              <w:rPr>
                <w:sz w:val="21"/>
                <w:lang w:bidi="ar"/>
              </w:rPr>
              <w:t>，临时堆放耕植土堆放区面积为3000m</w:t>
            </w:r>
            <w:r>
              <w:rPr>
                <w:sz w:val="21"/>
                <w:vertAlign w:val="superscript"/>
                <w:lang w:bidi="ar"/>
              </w:rPr>
              <w:t>2</w:t>
            </w:r>
            <w:r>
              <w:rPr>
                <w:sz w:val="21"/>
                <w:lang w:bidi="ar"/>
              </w:rPr>
              <w:t>，设计堆放高度为2.5m，合计最大堆放量7500m</w:t>
            </w:r>
            <w:r>
              <w:rPr>
                <w:sz w:val="21"/>
                <w:vertAlign w:val="superscript"/>
                <w:lang w:bidi="ar"/>
              </w:rPr>
              <w:t>3</w:t>
            </w:r>
            <w:r>
              <w:rPr>
                <w:sz w:val="21"/>
                <w:lang w:bidi="ar"/>
              </w:rPr>
              <w:t>，能够满足堆放需求，耕植土堆放区较低区域修建挡土墙；井场土边坡区域、道路土边坡区域、耕植土堆放区在土建工程完工后，及时播撒草种，防止地表水冲刷造成水土流失和边坡失稳。</w:t>
            </w:r>
            <w:r>
              <w:rPr>
                <w:sz w:val="21"/>
              </w:rPr>
              <w:t>井场所差土方由设备基础、应急池和改建公路挖出的土方回填。</w:t>
            </w:r>
            <w:r>
              <w:rPr>
                <w:sz w:val="21"/>
                <w:lang w:bidi="ar"/>
              </w:rPr>
              <w:t>钻前工程土石方工程量</w:t>
            </w:r>
            <w:r>
              <w:rPr>
                <w:rFonts w:hint="eastAsia"/>
                <w:sz w:val="21"/>
                <w:lang w:bidi="ar"/>
              </w:rPr>
              <w:t>见下表</w:t>
            </w:r>
            <w:r>
              <w:rPr>
                <w:sz w:val="21"/>
                <w:lang w:bidi="ar"/>
              </w:rPr>
              <w:t>。</w:t>
            </w:r>
          </w:p>
          <w:p>
            <w:pPr>
              <w:pStyle w:val="19"/>
              <w:numPr>
                <w:ilvl w:val="0"/>
                <w:numId w:val="5"/>
              </w:numPr>
              <w:tabs>
                <w:tab w:val="left" w:pos="0"/>
                <w:tab w:val="left" w:pos="833"/>
              </w:tabs>
              <w:spacing w:before="0" w:after="0" w:line="360" w:lineRule="auto"/>
              <w:ind w:left="0" w:right="0" w:firstLine="0"/>
              <w:jc w:val="center"/>
              <w:rPr>
                <w:b/>
                <w:bCs/>
                <w:sz w:val="21"/>
                <w:szCs w:val="21"/>
              </w:rPr>
            </w:pPr>
            <w:r>
              <w:rPr>
                <w:b/>
                <w:bCs/>
                <w:sz w:val="21"/>
                <w:szCs w:val="21"/>
              </w:rPr>
              <w:t>土石方工程量表  单位：</w:t>
            </w:r>
            <w:r>
              <w:rPr>
                <w:b/>
                <w:bCs/>
                <w:sz w:val="21"/>
                <w:szCs w:val="21"/>
                <w:lang w:bidi="ar"/>
              </w:rPr>
              <w:t>m</w:t>
            </w:r>
            <w:r>
              <w:rPr>
                <w:b/>
                <w:bCs/>
                <w:sz w:val="21"/>
                <w:szCs w:val="21"/>
                <w:vertAlign w:val="superscript"/>
                <w:lang w:bidi="ar"/>
              </w:rPr>
              <w:t>3</w:t>
            </w:r>
          </w:p>
          <w:tbl>
            <w:tblPr>
              <w:tblStyle w:val="42"/>
              <w:tblW w:w="77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63"/>
              <w:gridCol w:w="1701"/>
              <w:gridCol w:w="1435"/>
              <w:gridCol w:w="1418"/>
              <w:gridCol w:w="7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463" w:type="dxa"/>
                  <w:vAlign w:val="center"/>
                </w:tcPr>
                <w:p>
                  <w:pPr>
                    <w:jc w:val="center"/>
                    <w:rPr>
                      <w:b/>
                      <w:bCs/>
                      <w:szCs w:val="21"/>
                    </w:rPr>
                  </w:pPr>
                  <w:r>
                    <w:rPr>
                      <w:b/>
                      <w:bCs/>
                      <w:szCs w:val="21"/>
                    </w:rPr>
                    <w:t>分区</w:t>
                  </w:r>
                </w:p>
              </w:tc>
              <w:tc>
                <w:tcPr>
                  <w:tcW w:w="1701" w:type="dxa"/>
                  <w:vAlign w:val="center"/>
                </w:tcPr>
                <w:p>
                  <w:pPr>
                    <w:jc w:val="center"/>
                    <w:rPr>
                      <w:b/>
                      <w:bCs/>
                      <w:szCs w:val="21"/>
                    </w:rPr>
                  </w:pPr>
                  <w:r>
                    <w:rPr>
                      <w:b/>
                      <w:bCs/>
                      <w:szCs w:val="21"/>
                    </w:rPr>
                    <w:t>挖方（含耕植土）</w:t>
                  </w:r>
                </w:p>
              </w:tc>
              <w:tc>
                <w:tcPr>
                  <w:tcW w:w="1435" w:type="dxa"/>
                  <w:vAlign w:val="center"/>
                </w:tcPr>
                <w:p>
                  <w:pPr>
                    <w:jc w:val="center"/>
                    <w:rPr>
                      <w:b/>
                      <w:bCs/>
                      <w:szCs w:val="21"/>
                    </w:rPr>
                  </w:pPr>
                  <w:r>
                    <w:rPr>
                      <w:b/>
                      <w:bCs/>
                      <w:szCs w:val="21"/>
                    </w:rPr>
                    <w:t>填方</w:t>
                  </w:r>
                </w:p>
              </w:tc>
              <w:tc>
                <w:tcPr>
                  <w:tcW w:w="1418" w:type="dxa"/>
                  <w:vAlign w:val="center"/>
                </w:tcPr>
                <w:p>
                  <w:pPr>
                    <w:jc w:val="center"/>
                    <w:rPr>
                      <w:b/>
                      <w:bCs/>
                      <w:szCs w:val="21"/>
                    </w:rPr>
                  </w:pPr>
                  <w:r>
                    <w:rPr>
                      <w:b/>
                      <w:bCs/>
                      <w:szCs w:val="21"/>
                    </w:rPr>
                    <w:t>耕植土回填</w:t>
                  </w:r>
                </w:p>
              </w:tc>
              <w:tc>
                <w:tcPr>
                  <w:tcW w:w="779" w:type="dxa"/>
                  <w:vAlign w:val="center"/>
                </w:tcPr>
                <w:p>
                  <w:pPr>
                    <w:jc w:val="center"/>
                    <w:rPr>
                      <w:b/>
                      <w:bCs/>
                      <w:szCs w:val="21"/>
                    </w:rPr>
                  </w:pPr>
                  <w:r>
                    <w:rPr>
                      <w:b/>
                      <w:bCs/>
                      <w:szCs w:val="21"/>
                    </w:rPr>
                    <w:t>弃方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463" w:type="dxa"/>
                  <w:vAlign w:val="center"/>
                </w:tcPr>
                <w:p>
                  <w:pPr>
                    <w:widowControl/>
                    <w:jc w:val="center"/>
                    <w:textAlignment w:val="center"/>
                    <w:rPr>
                      <w:kern w:val="0"/>
                      <w:szCs w:val="21"/>
                      <w:lang w:bidi="ar"/>
                    </w:rPr>
                  </w:pPr>
                  <w:r>
                    <w:rPr>
                      <w:kern w:val="0"/>
                      <w:szCs w:val="21"/>
                      <w:lang w:bidi="ar"/>
                    </w:rPr>
                    <w:t>井场工程</w:t>
                  </w:r>
                </w:p>
                <w:p>
                  <w:pPr>
                    <w:widowControl/>
                    <w:jc w:val="center"/>
                    <w:textAlignment w:val="center"/>
                    <w:rPr>
                      <w:kern w:val="0"/>
                      <w:szCs w:val="21"/>
                      <w:lang w:bidi="ar"/>
                    </w:rPr>
                  </w:pPr>
                  <w:r>
                    <w:rPr>
                      <w:kern w:val="0"/>
                      <w:szCs w:val="21"/>
                      <w:lang w:bidi="ar"/>
                    </w:rPr>
                    <w:t>（含边角地）</w:t>
                  </w:r>
                </w:p>
              </w:tc>
              <w:tc>
                <w:tcPr>
                  <w:tcW w:w="1701" w:type="dxa"/>
                  <w:vAlign w:val="center"/>
                </w:tcPr>
                <w:p>
                  <w:pPr>
                    <w:widowControl/>
                    <w:jc w:val="center"/>
                    <w:textAlignment w:val="center"/>
                    <w:rPr>
                      <w:kern w:val="0"/>
                      <w:szCs w:val="21"/>
                      <w:lang w:bidi="ar"/>
                    </w:rPr>
                  </w:pPr>
                  <w:r>
                    <w:rPr>
                      <w:szCs w:val="21"/>
                    </w:rPr>
                    <w:t>46815</w:t>
                  </w:r>
                </w:p>
              </w:tc>
              <w:tc>
                <w:tcPr>
                  <w:tcW w:w="1435" w:type="dxa"/>
                  <w:vAlign w:val="center"/>
                </w:tcPr>
                <w:p>
                  <w:pPr>
                    <w:jc w:val="center"/>
                    <w:rPr>
                      <w:kern w:val="0"/>
                      <w:szCs w:val="21"/>
                      <w:lang w:bidi="ar"/>
                    </w:rPr>
                  </w:pPr>
                  <w:r>
                    <w:rPr>
                      <w:kern w:val="0"/>
                      <w:szCs w:val="21"/>
                      <w:lang w:bidi="ar"/>
                    </w:rPr>
                    <w:t>41542</w:t>
                  </w:r>
                </w:p>
              </w:tc>
              <w:tc>
                <w:tcPr>
                  <w:tcW w:w="1418" w:type="dxa"/>
                  <w:vMerge w:val="restart"/>
                  <w:vAlign w:val="center"/>
                </w:tcPr>
                <w:p>
                  <w:pPr>
                    <w:jc w:val="center"/>
                    <w:rPr>
                      <w:szCs w:val="21"/>
                    </w:rPr>
                  </w:pPr>
                  <w:r>
                    <w:rPr>
                      <w:szCs w:val="21"/>
                    </w:rPr>
                    <w:t>7234</w:t>
                  </w:r>
                </w:p>
              </w:tc>
              <w:tc>
                <w:tcPr>
                  <w:tcW w:w="779" w:type="dxa"/>
                  <w:vMerge w:val="restart"/>
                  <w:vAlign w:val="center"/>
                </w:tcPr>
                <w:p>
                  <w:pPr>
                    <w:jc w:val="center"/>
                    <w:rPr>
                      <w:szCs w:val="21"/>
                    </w:rPr>
                  </w:pPr>
                  <w:r>
                    <w:rPr>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463" w:type="dxa"/>
                  <w:vAlign w:val="center"/>
                </w:tcPr>
                <w:p>
                  <w:pPr>
                    <w:widowControl/>
                    <w:jc w:val="center"/>
                    <w:textAlignment w:val="center"/>
                    <w:rPr>
                      <w:kern w:val="0"/>
                      <w:szCs w:val="21"/>
                      <w:lang w:bidi="ar"/>
                    </w:rPr>
                  </w:pPr>
                  <w:r>
                    <w:rPr>
                      <w:kern w:val="0"/>
                      <w:szCs w:val="21"/>
                      <w:lang w:bidi="ar"/>
                    </w:rPr>
                    <w:t>设备基础</w:t>
                  </w:r>
                </w:p>
              </w:tc>
              <w:tc>
                <w:tcPr>
                  <w:tcW w:w="1701" w:type="dxa"/>
                  <w:vAlign w:val="center"/>
                </w:tcPr>
                <w:p>
                  <w:pPr>
                    <w:widowControl/>
                    <w:jc w:val="center"/>
                    <w:textAlignment w:val="center"/>
                    <w:rPr>
                      <w:kern w:val="0"/>
                      <w:szCs w:val="21"/>
                      <w:lang w:bidi="ar"/>
                    </w:rPr>
                  </w:pPr>
                  <w:r>
                    <w:rPr>
                      <w:szCs w:val="21"/>
                    </w:rPr>
                    <w:t>1797</w:t>
                  </w:r>
                </w:p>
              </w:tc>
              <w:tc>
                <w:tcPr>
                  <w:tcW w:w="1435" w:type="dxa"/>
                  <w:vAlign w:val="center"/>
                </w:tcPr>
                <w:p>
                  <w:pPr>
                    <w:jc w:val="center"/>
                    <w:rPr>
                      <w:kern w:val="0"/>
                      <w:szCs w:val="21"/>
                      <w:lang w:bidi="ar"/>
                    </w:rPr>
                  </w:pPr>
                  <w:r>
                    <w:rPr>
                      <w:kern w:val="0"/>
                      <w:szCs w:val="21"/>
                      <w:lang w:bidi="ar"/>
                    </w:rPr>
                    <w:t>/</w:t>
                  </w:r>
                </w:p>
              </w:tc>
              <w:tc>
                <w:tcPr>
                  <w:tcW w:w="1418" w:type="dxa"/>
                  <w:vMerge w:val="continue"/>
                  <w:vAlign w:val="center"/>
                </w:tcPr>
                <w:p>
                  <w:pPr>
                    <w:rPr>
                      <w:szCs w:val="21"/>
                    </w:rPr>
                  </w:pPr>
                </w:p>
              </w:tc>
              <w:tc>
                <w:tcPr>
                  <w:tcW w:w="779" w:type="dxa"/>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463" w:type="dxa"/>
                  <w:vAlign w:val="center"/>
                </w:tcPr>
                <w:p>
                  <w:pPr>
                    <w:widowControl/>
                    <w:jc w:val="center"/>
                    <w:textAlignment w:val="center"/>
                    <w:rPr>
                      <w:kern w:val="0"/>
                      <w:szCs w:val="21"/>
                      <w:lang w:bidi="ar"/>
                    </w:rPr>
                  </w:pPr>
                  <w:r>
                    <w:rPr>
                      <w:kern w:val="0"/>
                      <w:szCs w:val="21"/>
                      <w:lang w:bidi="ar"/>
                    </w:rPr>
                    <w:t>应急池</w:t>
                  </w:r>
                </w:p>
              </w:tc>
              <w:tc>
                <w:tcPr>
                  <w:tcW w:w="1701" w:type="dxa"/>
                  <w:vAlign w:val="center"/>
                </w:tcPr>
                <w:p>
                  <w:pPr>
                    <w:widowControl/>
                    <w:jc w:val="center"/>
                    <w:textAlignment w:val="center"/>
                    <w:rPr>
                      <w:kern w:val="0"/>
                      <w:szCs w:val="21"/>
                      <w:lang w:bidi="ar"/>
                    </w:rPr>
                  </w:pPr>
                  <w:r>
                    <w:rPr>
                      <w:szCs w:val="21"/>
                    </w:rPr>
                    <w:t>2892</w:t>
                  </w:r>
                </w:p>
              </w:tc>
              <w:tc>
                <w:tcPr>
                  <w:tcW w:w="1435" w:type="dxa"/>
                  <w:vAlign w:val="center"/>
                </w:tcPr>
                <w:p>
                  <w:pPr>
                    <w:jc w:val="center"/>
                    <w:rPr>
                      <w:kern w:val="0"/>
                      <w:szCs w:val="21"/>
                      <w:lang w:bidi="ar"/>
                    </w:rPr>
                  </w:pPr>
                  <w:r>
                    <w:rPr>
                      <w:kern w:val="0"/>
                      <w:szCs w:val="21"/>
                      <w:lang w:bidi="ar"/>
                    </w:rPr>
                    <w:t>437</w:t>
                  </w:r>
                </w:p>
              </w:tc>
              <w:tc>
                <w:tcPr>
                  <w:tcW w:w="1418" w:type="dxa"/>
                  <w:vMerge w:val="continue"/>
                  <w:vAlign w:val="center"/>
                </w:tcPr>
                <w:p>
                  <w:pPr>
                    <w:rPr>
                      <w:szCs w:val="21"/>
                    </w:rPr>
                  </w:pPr>
                </w:p>
              </w:tc>
              <w:tc>
                <w:tcPr>
                  <w:tcW w:w="779" w:type="dxa"/>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463" w:type="dxa"/>
                  <w:vAlign w:val="center"/>
                </w:tcPr>
                <w:p>
                  <w:pPr>
                    <w:widowControl/>
                    <w:jc w:val="center"/>
                    <w:textAlignment w:val="center"/>
                    <w:rPr>
                      <w:kern w:val="0"/>
                      <w:szCs w:val="21"/>
                      <w:lang w:bidi="ar"/>
                    </w:rPr>
                  </w:pPr>
                  <w:r>
                    <w:rPr>
                      <w:kern w:val="0"/>
                      <w:szCs w:val="21"/>
                      <w:lang w:bidi="ar"/>
                    </w:rPr>
                    <w:t>放喷池</w:t>
                  </w:r>
                </w:p>
              </w:tc>
              <w:tc>
                <w:tcPr>
                  <w:tcW w:w="1701" w:type="dxa"/>
                  <w:vAlign w:val="center"/>
                </w:tcPr>
                <w:p>
                  <w:pPr>
                    <w:widowControl/>
                    <w:jc w:val="center"/>
                    <w:textAlignment w:val="center"/>
                    <w:rPr>
                      <w:kern w:val="0"/>
                      <w:szCs w:val="21"/>
                      <w:lang w:bidi="ar"/>
                    </w:rPr>
                  </w:pPr>
                  <w:r>
                    <w:rPr>
                      <w:szCs w:val="21"/>
                    </w:rPr>
                    <w:t>372</w:t>
                  </w:r>
                </w:p>
              </w:tc>
              <w:tc>
                <w:tcPr>
                  <w:tcW w:w="1435" w:type="dxa"/>
                  <w:vAlign w:val="center"/>
                </w:tcPr>
                <w:p>
                  <w:pPr>
                    <w:jc w:val="center"/>
                    <w:rPr>
                      <w:kern w:val="0"/>
                      <w:szCs w:val="21"/>
                      <w:lang w:bidi="ar"/>
                    </w:rPr>
                  </w:pPr>
                  <w:r>
                    <w:rPr>
                      <w:kern w:val="0"/>
                      <w:szCs w:val="21"/>
                      <w:lang w:bidi="ar"/>
                    </w:rPr>
                    <w:t>70</w:t>
                  </w:r>
                </w:p>
              </w:tc>
              <w:tc>
                <w:tcPr>
                  <w:tcW w:w="1418" w:type="dxa"/>
                  <w:vMerge w:val="continue"/>
                  <w:vAlign w:val="center"/>
                </w:tcPr>
                <w:p>
                  <w:pPr>
                    <w:rPr>
                      <w:szCs w:val="21"/>
                    </w:rPr>
                  </w:pPr>
                </w:p>
              </w:tc>
              <w:tc>
                <w:tcPr>
                  <w:tcW w:w="779" w:type="dxa"/>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463" w:type="dxa"/>
                  <w:vAlign w:val="center"/>
                </w:tcPr>
                <w:p>
                  <w:pPr>
                    <w:widowControl/>
                    <w:jc w:val="center"/>
                    <w:textAlignment w:val="center"/>
                    <w:rPr>
                      <w:kern w:val="0"/>
                      <w:szCs w:val="21"/>
                      <w:lang w:bidi="ar"/>
                    </w:rPr>
                  </w:pPr>
                  <w:r>
                    <w:rPr>
                      <w:kern w:val="0"/>
                      <w:szCs w:val="21"/>
                      <w:lang w:bidi="ar"/>
                    </w:rPr>
                    <w:t>场内排水沟</w:t>
                  </w:r>
                </w:p>
              </w:tc>
              <w:tc>
                <w:tcPr>
                  <w:tcW w:w="1701" w:type="dxa"/>
                  <w:vAlign w:val="center"/>
                </w:tcPr>
                <w:p>
                  <w:pPr>
                    <w:widowControl/>
                    <w:jc w:val="center"/>
                    <w:textAlignment w:val="center"/>
                    <w:rPr>
                      <w:kern w:val="0"/>
                      <w:szCs w:val="21"/>
                      <w:lang w:bidi="ar"/>
                    </w:rPr>
                  </w:pPr>
                  <w:r>
                    <w:rPr>
                      <w:szCs w:val="21"/>
                    </w:rPr>
                    <w:t>582</w:t>
                  </w:r>
                </w:p>
              </w:tc>
              <w:tc>
                <w:tcPr>
                  <w:tcW w:w="1435" w:type="dxa"/>
                  <w:vAlign w:val="center"/>
                </w:tcPr>
                <w:p>
                  <w:pPr>
                    <w:jc w:val="center"/>
                    <w:rPr>
                      <w:kern w:val="0"/>
                      <w:szCs w:val="21"/>
                      <w:lang w:bidi="ar"/>
                    </w:rPr>
                  </w:pPr>
                  <w:r>
                    <w:rPr>
                      <w:kern w:val="0"/>
                      <w:szCs w:val="21"/>
                      <w:lang w:bidi="ar"/>
                    </w:rPr>
                    <w:t>/</w:t>
                  </w:r>
                </w:p>
              </w:tc>
              <w:tc>
                <w:tcPr>
                  <w:tcW w:w="1418" w:type="dxa"/>
                  <w:vMerge w:val="continue"/>
                  <w:vAlign w:val="center"/>
                </w:tcPr>
                <w:p>
                  <w:pPr>
                    <w:rPr>
                      <w:szCs w:val="21"/>
                    </w:rPr>
                  </w:pPr>
                </w:p>
              </w:tc>
              <w:tc>
                <w:tcPr>
                  <w:tcW w:w="779" w:type="dxa"/>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463" w:type="dxa"/>
                  <w:vAlign w:val="center"/>
                </w:tcPr>
                <w:p>
                  <w:pPr>
                    <w:widowControl/>
                    <w:jc w:val="center"/>
                    <w:textAlignment w:val="center"/>
                    <w:rPr>
                      <w:kern w:val="0"/>
                      <w:szCs w:val="21"/>
                      <w:lang w:bidi="ar"/>
                    </w:rPr>
                  </w:pPr>
                  <w:r>
                    <w:rPr>
                      <w:kern w:val="0"/>
                      <w:szCs w:val="21"/>
                      <w:lang w:bidi="ar"/>
                    </w:rPr>
                    <w:t>临时房屋</w:t>
                  </w:r>
                </w:p>
              </w:tc>
              <w:tc>
                <w:tcPr>
                  <w:tcW w:w="1701" w:type="dxa"/>
                  <w:vAlign w:val="center"/>
                </w:tcPr>
                <w:p>
                  <w:pPr>
                    <w:widowControl/>
                    <w:jc w:val="center"/>
                    <w:textAlignment w:val="center"/>
                    <w:rPr>
                      <w:kern w:val="0"/>
                      <w:szCs w:val="21"/>
                      <w:lang w:bidi="ar"/>
                    </w:rPr>
                  </w:pPr>
                  <w:r>
                    <w:rPr>
                      <w:szCs w:val="21"/>
                    </w:rPr>
                    <w:t>620</w:t>
                  </w:r>
                </w:p>
              </w:tc>
              <w:tc>
                <w:tcPr>
                  <w:tcW w:w="1435" w:type="dxa"/>
                  <w:vAlign w:val="center"/>
                </w:tcPr>
                <w:p>
                  <w:pPr>
                    <w:jc w:val="center"/>
                    <w:rPr>
                      <w:kern w:val="0"/>
                      <w:szCs w:val="21"/>
                      <w:lang w:bidi="ar"/>
                    </w:rPr>
                  </w:pPr>
                  <w:r>
                    <w:rPr>
                      <w:kern w:val="0"/>
                      <w:szCs w:val="21"/>
                      <w:lang w:bidi="ar"/>
                    </w:rPr>
                    <w:t>/</w:t>
                  </w:r>
                </w:p>
              </w:tc>
              <w:tc>
                <w:tcPr>
                  <w:tcW w:w="1418" w:type="dxa"/>
                  <w:vMerge w:val="continue"/>
                  <w:vAlign w:val="center"/>
                </w:tcPr>
                <w:p>
                  <w:pPr>
                    <w:rPr>
                      <w:szCs w:val="21"/>
                    </w:rPr>
                  </w:pPr>
                </w:p>
              </w:tc>
              <w:tc>
                <w:tcPr>
                  <w:tcW w:w="779" w:type="dxa"/>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463" w:type="dxa"/>
                  <w:vAlign w:val="center"/>
                </w:tcPr>
                <w:p>
                  <w:pPr>
                    <w:widowControl/>
                    <w:jc w:val="center"/>
                    <w:textAlignment w:val="center"/>
                    <w:rPr>
                      <w:kern w:val="0"/>
                      <w:szCs w:val="21"/>
                      <w:lang w:bidi="ar"/>
                    </w:rPr>
                  </w:pPr>
                  <w:r>
                    <w:rPr>
                      <w:kern w:val="0"/>
                      <w:szCs w:val="21"/>
                      <w:lang w:bidi="ar"/>
                    </w:rPr>
                    <w:t>新建公路、改建和维修公路</w:t>
                  </w:r>
                </w:p>
              </w:tc>
              <w:tc>
                <w:tcPr>
                  <w:tcW w:w="1701" w:type="dxa"/>
                  <w:vAlign w:val="center"/>
                </w:tcPr>
                <w:p>
                  <w:pPr>
                    <w:widowControl/>
                    <w:jc w:val="center"/>
                    <w:textAlignment w:val="center"/>
                    <w:rPr>
                      <w:kern w:val="0"/>
                      <w:szCs w:val="21"/>
                      <w:lang w:bidi="ar"/>
                    </w:rPr>
                  </w:pPr>
                  <w:r>
                    <w:rPr>
                      <w:szCs w:val="21"/>
                    </w:rPr>
                    <w:t>1102</w:t>
                  </w:r>
                </w:p>
              </w:tc>
              <w:tc>
                <w:tcPr>
                  <w:tcW w:w="1435" w:type="dxa"/>
                  <w:vAlign w:val="center"/>
                </w:tcPr>
                <w:p>
                  <w:pPr>
                    <w:jc w:val="center"/>
                    <w:rPr>
                      <w:kern w:val="0"/>
                      <w:szCs w:val="21"/>
                      <w:lang w:bidi="ar"/>
                    </w:rPr>
                  </w:pPr>
                  <w:r>
                    <w:rPr>
                      <w:kern w:val="0"/>
                      <w:szCs w:val="21"/>
                      <w:lang w:bidi="ar"/>
                    </w:rPr>
                    <w:t>4897</w:t>
                  </w:r>
                </w:p>
              </w:tc>
              <w:tc>
                <w:tcPr>
                  <w:tcW w:w="1418" w:type="dxa"/>
                  <w:vMerge w:val="continue"/>
                  <w:vAlign w:val="center"/>
                </w:tcPr>
                <w:p>
                  <w:pPr>
                    <w:rPr>
                      <w:szCs w:val="21"/>
                    </w:rPr>
                  </w:pPr>
                </w:p>
              </w:tc>
              <w:tc>
                <w:tcPr>
                  <w:tcW w:w="779" w:type="dxa"/>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463" w:type="dxa"/>
                  <w:vAlign w:val="center"/>
                </w:tcPr>
                <w:p>
                  <w:pPr>
                    <w:widowControl/>
                    <w:jc w:val="center"/>
                    <w:textAlignment w:val="center"/>
                    <w:rPr>
                      <w:kern w:val="0"/>
                      <w:szCs w:val="21"/>
                      <w:lang w:bidi="ar"/>
                    </w:rPr>
                  </w:pPr>
                  <w:r>
                    <w:rPr>
                      <w:kern w:val="0"/>
                      <w:szCs w:val="21"/>
                      <w:lang w:bidi="ar"/>
                    </w:rPr>
                    <w:t>总计</w:t>
                  </w:r>
                </w:p>
              </w:tc>
              <w:tc>
                <w:tcPr>
                  <w:tcW w:w="1701" w:type="dxa"/>
                  <w:vAlign w:val="center"/>
                </w:tcPr>
                <w:p>
                  <w:pPr>
                    <w:widowControl/>
                    <w:jc w:val="center"/>
                    <w:rPr>
                      <w:rFonts w:eastAsia="等线"/>
                      <w:kern w:val="0"/>
                      <w:szCs w:val="21"/>
                    </w:rPr>
                  </w:pPr>
                  <w:r>
                    <w:rPr>
                      <w:szCs w:val="21"/>
                    </w:rPr>
                    <w:t>54180</w:t>
                  </w:r>
                </w:p>
              </w:tc>
              <w:tc>
                <w:tcPr>
                  <w:tcW w:w="1435" w:type="dxa"/>
                  <w:vAlign w:val="center"/>
                </w:tcPr>
                <w:p>
                  <w:pPr>
                    <w:jc w:val="center"/>
                    <w:rPr>
                      <w:rFonts w:eastAsia="等线"/>
                      <w:szCs w:val="21"/>
                    </w:rPr>
                  </w:pPr>
                  <w:r>
                    <w:rPr>
                      <w:rFonts w:eastAsia="等线"/>
                      <w:szCs w:val="21"/>
                    </w:rPr>
                    <w:t>49079</w:t>
                  </w:r>
                </w:p>
              </w:tc>
              <w:tc>
                <w:tcPr>
                  <w:tcW w:w="1418" w:type="dxa"/>
                  <w:vAlign w:val="center"/>
                </w:tcPr>
                <w:p>
                  <w:pPr>
                    <w:jc w:val="center"/>
                    <w:rPr>
                      <w:szCs w:val="21"/>
                    </w:rPr>
                  </w:pPr>
                  <w:r>
                    <w:rPr>
                      <w:szCs w:val="21"/>
                    </w:rPr>
                    <w:t>7234</w:t>
                  </w:r>
                </w:p>
              </w:tc>
              <w:tc>
                <w:tcPr>
                  <w:tcW w:w="779" w:type="dxa"/>
                  <w:vAlign w:val="center"/>
                </w:tcPr>
                <w:p>
                  <w:pPr>
                    <w:jc w:val="center"/>
                    <w:rPr>
                      <w:szCs w:val="21"/>
                    </w:rPr>
                  </w:pPr>
                  <w:r>
                    <w:rPr>
                      <w:szCs w:val="21"/>
                    </w:rPr>
                    <w:t>0</w:t>
                  </w:r>
                </w:p>
              </w:tc>
            </w:tr>
          </w:tbl>
          <w:p>
            <w:pPr>
              <w:pStyle w:val="209"/>
              <w:ind w:firstLine="420"/>
              <w:rPr>
                <w:sz w:val="21"/>
              </w:rPr>
            </w:pPr>
          </w:p>
          <w:p>
            <w:pPr>
              <w:spacing w:line="360" w:lineRule="auto"/>
              <w:rPr>
                <w:b/>
                <w:szCs w:val="21"/>
              </w:rPr>
            </w:pPr>
            <w:r>
              <w:rPr>
                <w:b/>
                <w:szCs w:val="21"/>
              </w:rPr>
              <w:t>2.9项目总平面布置</w:t>
            </w:r>
          </w:p>
          <w:p>
            <w:pPr>
              <w:widowControl/>
              <w:spacing w:line="360" w:lineRule="auto"/>
              <w:ind w:firstLine="315" w:firstLineChars="150"/>
              <w:jc w:val="left"/>
              <w:rPr>
                <w:kern w:val="0"/>
                <w:szCs w:val="21"/>
                <w:lang w:bidi="ar"/>
              </w:rPr>
            </w:pPr>
            <w:r>
              <w:rPr>
                <w:kern w:val="0"/>
                <w:szCs w:val="21"/>
                <w:lang w:bidi="ar"/>
              </w:rPr>
              <w:t>钻井工程平面布置按照《钻前工程及井场布置技术要求》（SY/T5466-2013）、《石油与天然气钻井、开发、储运防火防爆安全生产管理规定》（SY5225-2012）等石油和天然气行业标准的要求进行。井场内主要包括井架基础、泥浆循环辅助系统、泥浆泵、值班室、办公室、油罐区等。井场外设置有放喷池、应急池、活动板房等，井场办公室用房为活动板房，完钻后随钻井队搬迁走。</w:t>
            </w:r>
          </w:p>
          <w:p>
            <w:pPr>
              <w:widowControl/>
              <w:spacing w:line="360" w:lineRule="auto"/>
              <w:ind w:firstLine="420" w:firstLineChars="200"/>
              <w:jc w:val="left"/>
              <w:rPr>
                <w:bCs/>
                <w:kern w:val="0"/>
                <w:szCs w:val="21"/>
                <w:lang w:bidi="ar"/>
              </w:rPr>
            </w:pPr>
            <w:r>
              <w:rPr>
                <w:bCs/>
                <w:kern w:val="0"/>
                <w:szCs w:val="21"/>
                <w:lang w:bidi="ar"/>
              </w:rPr>
              <w:t>（1）总平面布置简介</w:t>
            </w:r>
          </w:p>
          <w:p>
            <w:pPr>
              <w:spacing w:line="360" w:lineRule="auto"/>
              <w:ind w:firstLine="420" w:firstLineChars="200"/>
              <w:rPr>
                <w:kern w:val="0"/>
                <w:szCs w:val="21"/>
                <w:lang w:bidi="ar"/>
              </w:rPr>
            </w:pPr>
            <w:r>
              <w:rPr>
                <w:kern w:val="0"/>
                <w:szCs w:val="21"/>
                <w:lang w:bidi="ar"/>
              </w:rPr>
              <w:t>本项目井场由</w:t>
            </w:r>
            <w:r>
              <w:rPr>
                <w:rFonts w:hint="eastAsia"/>
                <w:kern w:val="0"/>
                <w:szCs w:val="21"/>
                <w:lang w:bidi="ar"/>
              </w:rPr>
              <w:t>西北</w:t>
            </w:r>
            <w:r>
              <w:rPr>
                <w:kern w:val="0"/>
                <w:szCs w:val="21"/>
                <w:lang w:bidi="ar"/>
              </w:rPr>
              <w:t>-</w:t>
            </w:r>
            <w:r>
              <w:rPr>
                <w:rFonts w:hint="eastAsia"/>
                <w:kern w:val="0"/>
                <w:szCs w:val="21"/>
                <w:lang w:bidi="ar"/>
              </w:rPr>
              <w:t>东南</w:t>
            </w:r>
            <w:r>
              <w:rPr>
                <w:kern w:val="0"/>
                <w:szCs w:val="21"/>
                <w:lang w:bidi="ar"/>
              </w:rPr>
              <w:t>布设，应急池、</w:t>
            </w:r>
            <w:r>
              <w:rPr>
                <w:rFonts w:hint="eastAsia"/>
                <w:kern w:val="0"/>
                <w:szCs w:val="21"/>
                <w:lang w:bidi="ar"/>
              </w:rPr>
              <w:t>泥浆储备罐</w:t>
            </w:r>
            <w:r>
              <w:rPr>
                <w:kern w:val="0"/>
                <w:szCs w:val="21"/>
                <w:lang w:bidi="ar"/>
              </w:rPr>
              <w:t>基础</w:t>
            </w:r>
            <w:r>
              <w:rPr>
                <w:rFonts w:hint="eastAsia"/>
                <w:kern w:val="0"/>
                <w:szCs w:val="21"/>
                <w:lang w:bidi="ar"/>
              </w:rPr>
              <w:t>位于</w:t>
            </w:r>
            <w:r>
              <w:rPr>
                <w:kern w:val="0"/>
                <w:szCs w:val="21"/>
                <w:lang w:bidi="ar"/>
              </w:rPr>
              <w:t>井场</w:t>
            </w:r>
            <w:r>
              <w:rPr>
                <w:rFonts w:hint="eastAsia"/>
                <w:kern w:val="0"/>
                <w:szCs w:val="21"/>
                <w:lang w:bidi="ar"/>
              </w:rPr>
              <w:t>北侧</w:t>
            </w:r>
            <w:r>
              <w:rPr>
                <w:kern w:val="0"/>
                <w:szCs w:val="21"/>
                <w:lang w:bidi="ar"/>
              </w:rPr>
              <w:t>，</w:t>
            </w:r>
            <w:r>
              <w:rPr>
                <w:rFonts w:hint="eastAsia"/>
                <w:kern w:val="0"/>
                <w:szCs w:val="21"/>
                <w:lang w:bidi="ar"/>
              </w:rPr>
              <w:t>油水罐</w:t>
            </w:r>
            <w:r>
              <w:rPr>
                <w:kern w:val="0"/>
                <w:szCs w:val="21"/>
                <w:lang w:bidi="ar"/>
              </w:rPr>
              <w:t>、清洁生产操作</w:t>
            </w:r>
            <w:r>
              <w:rPr>
                <w:rFonts w:hint="eastAsia"/>
                <w:kern w:val="0"/>
                <w:szCs w:val="21"/>
                <w:lang w:bidi="ar"/>
              </w:rPr>
              <w:t>平台</w:t>
            </w:r>
            <w:r>
              <w:rPr>
                <w:kern w:val="0"/>
                <w:szCs w:val="21"/>
                <w:lang w:bidi="ar"/>
              </w:rPr>
              <w:t>位于</w:t>
            </w:r>
            <w:r>
              <w:rPr>
                <w:rFonts w:hint="eastAsia"/>
                <w:kern w:val="0"/>
                <w:szCs w:val="21"/>
                <w:lang w:bidi="ar"/>
              </w:rPr>
              <w:t>井场</w:t>
            </w:r>
            <w:r>
              <w:rPr>
                <w:kern w:val="0"/>
                <w:szCs w:val="21"/>
                <w:lang w:bidi="ar"/>
              </w:rPr>
              <w:t>外南侧，发电机及动力系统根据井架布置。井场周边有环形清水排水沟及污水截流沟，放喷池位于井场外西侧。</w:t>
            </w:r>
            <w:r>
              <w:rPr>
                <w:rFonts w:hint="eastAsia"/>
                <w:kern w:val="0"/>
                <w:szCs w:val="21"/>
                <w:lang w:bidi="ar"/>
              </w:rPr>
              <w:t>生活区布置</w:t>
            </w:r>
            <w:r>
              <w:rPr>
                <w:kern w:val="0"/>
                <w:szCs w:val="21"/>
                <w:lang w:bidi="ar"/>
              </w:rPr>
              <w:t>于场外</w:t>
            </w:r>
            <w:r>
              <w:rPr>
                <w:rFonts w:hint="eastAsia"/>
                <w:kern w:val="0"/>
                <w:szCs w:val="21"/>
                <w:lang w:bidi="ar"/>
              </w:rPr>
              <w:t>东南侧，</w:t>
            </w:r>
            <w:r>
              <w:rPr>
                <w:kern w:val="0"/>
                <w:szCs w:val="21"/>
                <w:lang w:bidi="ar"/>
              </w:rPr>
              <w:t>便于施工人员进场施工。</w:t>
            </w:r>
          </w:p>
          <w:p>
            <w:pPr>
              <w:pStyle w:val="209"/>
              <w:ind w:firstLine="420"/>
              <w:rPr>
                <w:bCs/>
                <w:sz w:val="21"/>
              </w:rPr>
            </w:pPr>
            <w:r>
              <w:rPr>
                <w:bCs/>
                <w:sz w:val="21"/>
              </w:rPr>
              <w:t>（2）总平面布置合理性分析</w:t>
            </w:r>
          </w:p>
          <w:p>
            <w:pPr>
              <w:spacing w:line="360" w:lineRule="auto"/>
              <w:ind w:firstLine="420" w:firstLineChars="200"/>
              <w:rPr>
                <w:bCs/>
                <w:szCs w:val="21"/>
              </w:rPr>
            </w:pPr>
            <w:r>
              <w:rPr>
                <w:bCs/>
                <w:szCs w:val="21"/>
              </w:rPr>
              <w:fldChar w:fldCharType="begin"/>
            </w:r>
            <w:r>
              <w:rPr>
                <w:bCs/>
                <w:szCs w:val="21"/>
              </w:rPr>
              <w:instrText xml:space="preserve"> = 1 \* GB3 </w:instrText>
            </w:r>
            <w:r>
              <w:rPr>
                <w:bCs/>
                <w:szCs w:val="21"/>
              </w:rPr>
              <w:fldChar w:fldCharType="separate"/>
            </w:r>
            <w:r>
              <w:rPr>
                <w:bCs/>
                <w:szCs w:val="21"/>
              </w:rPr>
              <w:t>①</w:t>
            </w:r>
            <w:r>
              <w:rPr>
                <w:bCs/>
                <w:szCs w:val="21"/>
              </w:rPr>
              <w:fldChar w:fldCharType="end"/>
            </w:r>
            <w:r>
              <w:rPr>
                <w:bCs/>
                <w:szCs w:val="21"/>
              </w:rPr>
              <w:t>测试放喷池布局合理性</w:t>
            </w:r>
          </w:p>
          <w:p>
            <w:pPr>
              <w:spacing w:line="360" w:lineRule="auto"/>
              <w:ind w:firstLine="420" w:firstLineChars="200"/>
              <w:rPr>
                <w:bCs/>
                <w:szCs w:val="21"/>
              </w:rPr>
            </w:pPr>
            <w:r>
              <w:rPr>
                <w:bCs/>
                <w:szCs w:val="21"/>
              </w:rPr>
              <w:t>根据《钻井井控技术规程》（SY/T6426-2005）中的第4.1.2.3条规定：放喷管线应接至距井口75m以上的安全地带，距各种设施不小于50m。根据《石油天然气钻井、开发、储运防火防爆安全生产技术规程》（SY5225-2012）第3.1.4规定：放喷管线出口距井口应不小于75m；根据《陆上石油天然气生产环境保护推荐作法》（SY/T6628-2005）中第5.3.1条规定：放喷池和火炬应限于安全地点，尽可能考虑选择井场主导风向的下风向放喷或点燃火炬，还应使排入大气的气体完全燃烧。根据项目井场平面布置可知，本项目放喷池位于平台西侧，距离井口约105m，位于井场侧风向；根据调查，放喷池周围50m范围内无各类设施和民房。由此可见，放喷池设置满足相关规定，布置合理。</w:t>
            </w:r>
          </w:p>
          <w:p>
            <w:pPr>
              <w:spacing w:line="360" w:lineRule="auto"/>
              <w:ind w:firstLine="420" w:firstLineChars="200"/>
              <w:rPr>
                <w:bCs/>
                <w:szCs w:val="21"/>
              </w:rPr>
            </w:pPr>
            <w:r>
              <w:rPr>
                <w:bCs/>
                <w:szCs w:val="21"/>
              </w:rPr>
              <w:fldChar w:fldCharType="begin"/>
            </w:r>
            <w:r>
              <w:rPr>
                <w:bCs/>
                <w:szCs w:val="21"/>
              </w:rPr>
              <w:instrText xml:space="preserve"> = 2 \* GB3 </w:instrText>
            </w:r>
            <w:r>
              <w:rPr>
                <w:bCs/>
                <w:szCs w:val="21"/>
              </w:rPr>
              <w:fldChar w:fldCharType="separate"/>
            </w:r>
            <w:r>
              <w:rPr>
                <w:bCs/>
                <w:szCs w:val="21"/>
              </w:rPr>
              <w:t>②</w:t>
            </w:r>
            <w:r>
              <w:rPr>
                <w:bCs/>
                <w:szCs w:val="21"/>
              </w:rPr>
              <w:fldChar w:fldCharType="end"/>
            </w:r>
            <w:r>
              <w:rPr>
                <w:bCs/>
                <w:szCs w:val="21"/>
              </w:rPr>
              <w:t>应急池布局合理性</w:t>
            </w:r>
          </w:p>
          <w:p>
            <w:pPr>
              <w:spacing w:line="360" w:lineRule="auto"/>
              <w:ind w:firstLine="420" w:firstLineChars="200"/>
              <w:rPr>
                <w:bCs/>
                <w:szCs w:val="21"/>
              </w:rPr>
            </w:pPr>
            <w:r>
              <w:rPr>
                <w:bCs/>
                <w:szCs w:val="21"/>
              </w:rPr>
              <w:t>应急池位于井场北侧，地势较为平坦。从井口周围农户分布看，井场周围农户较少，并与井口保持了一定的距离。另外井场建设地地形较水池高，有利于井场区域污水自流进入水池，保证了有效的收集井场污水。经现场踏勘，项目在修建应急池时，池体采用地陷式构造，并对池体进行防渗漏处理，在其周围修建围堰、雨水导流沟和截污沟。在采取以上措施后，项目对事故溢流出的废水能够做到可控范围，防止废水污染下游地表水体，因此应急池选址合理。</w:t>
            </w:r>
          </w:p>
          <w:p>
            <w:pPr>
              <w:spacing w:line="360" w:lineRule="auto"/>
              <w:ind w:firstLine="420" w:firstLineChars="200"/>
              <w:rPr>
                <w:bCs/>
                <w:szCs w:val="21"/>
              </w:rPr>
            </w:pPr>
            <w:r>
              <w:rPr>
                <w:bCs/>
                <w:szCs w:val="21"/>
              </w:rPr>
              <w:fldChar w:fldCharType="begin"/>
            </w:r>
            <w:r>
              <w:rPr>
                <w:bCs/>
                <w:szCs w:val="21"/>
              </w:rPr>
              <w:instrText xml:space="preserve"> = 3 \* GB3 </w:instrText>
            </w:r>
            <w:r>
              <w:rPr>
                <w:bCs/>
                <w:szCs w:val="21"/>
              </w:rPr>
              <w:fldChar w:fldCharType="separate"/>
            </w:r>
            <w:r>
              <w:rPr>
                <w:bCs/>
                <w:szCs w:val="21"/>
              </w:rPr>
              <w:t>③</w:t>
            </w:r>
            <w:r>
              <w:rPr>
                <w:bCs/>
                <w:szCs w:val="21"/>
              </w:rPr>
              <w:fldChar w:fldCharType="end"/>
            </w:r>
            <w:r>
              <w:rPr>
                <w:bCs/>
                <w:szCs w:val="21"/>
              </w:rPr>
              <w:t>油罐区布置合理性</w:t>
            </w:r>
          </w:p>
          <w:p>
            <w:pPr>
              <w:spacing w:line="360" w:lineRule="auto"/>
              <w:ind w:firstLine="420" w:firstLineChars="200"/>
              <w:rPr>
                <w:bCs/>
                <w:szCs w:val="21"/>
              </w:rPr>
            </w:pPr>
            <w:r>
              <w:rPr>
                <w:bCs/>
                <w:szCs w:val="21"/>
              </w:rPr>
              <w:t>根据《石油天然气钻井、开发、储运防火防爆安全生产技术规程（SY5225-2012）》中第3.1.3条规定：油罐区距井口应不小于30m。本项目油罐区距井口最近距离约83m，满足要求。</w:t>
            </w:r>
          </w:p>
          <w:p>
            <w:pPr>
              <w:spacing w:line="360" w:lineRule="auto"/>
              <w:ind w:firstLine="420" w:firstLineChars="200"/>
              <w:rPr>
                <w:szCs w:val="21"/>
              </w:rPr>
            </w:pPr>
            <w:r>
              <w:rPr>
                <w:szCs w:val="21"/>
              </w:rPr>
              <w:t>综上所述，井场清污分类排水系统完善，井场内主要产污设施、设备和作业区、清洁生产操作平台集中布置，通过清污分流设置挡水墙和其他清洁区分隔并设置集水坑收集回用，有利于减少雨水汇入，便于收集处理回用，有效防止地面雨污水进入外环境。油罐区独立布置，设置围堰及隔油池能有效控制防范风险，因此布局合理。</w:t>
            </w:r>
          </w:p>
          <w:p>
            <w:pPr>
              <w:adjustRightInd w:val="0"/>
              <w:snapToGrid w:val="0"/>
              <w:spacing w:line="360" w:lineRule="auto"/>
              <w:ind w:firstLine="420" w:firstLineChars="200"/>
              <w:rPr>
                <w:kern w:val="0"/>
                <w:szCs w:val="21"/>
              </w:rPr>
            </w:pPr>
            <w:r>
              <w:rPr>
                <w:szCs w:val="21"/>
              </w:rPr>
              <w:t>总体项目平面布置从环保上可行，平安101井总平面布置见附图2。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28" w:hRule="atLeast"/>
          <w:jc w:val="center"/>
        </w:trPr>
        <w:tc>
          <w:tcPr>
            <w:tcW w:w="959" w:type="dxa"/>
            <w:vAlign w:val="center"/>
          </w:tcPr>
          <w:p>
            <w:pPr>
              <w:adjustRightInd w:val="0"/>
              <w:snapToGrid w:val="0"/>
              <w:jc w:val="center"/>
              <w:rPr>
                <w:kern w:val="0"/>
                <w:szCs w:val="21"/>
              </w:rPr>
            </w:pPr>
            <w:r>
              <w:rPr>
                <w:kern w:val="0"/>
                <w:szCs w:val="21"/>
              </w:rPr>
              <w:t>施工方案</w:t>
            </w:r>
          </w:p>
        </w:tc>
        <w:tc>
          <w:tcPr>
            <w:tcW w:w="7989" w:type="dxa"/>
            <w:vAlign w:val="center"/>
          </w:tcPr>
          <w:p>
            <w:pPr>
              <w:adjustRightInd w:val="0"/>
              <w:snapToGrid w:val="0"/>
              <w:spacing w:line="360" w:lineRule="auto"/>
              <w:rPr>
                <w:b/>
                <w:bCs/>
                <w:kern w:val="0"/>
                <w:szCs w:val="21"/>
              </w:rPr>
            </w:pPr>
            <w:r>
              <w:rPr>
                <w:b/>
                <w:bCs/>
                <w:kern w:val="0"/>
                <w:szCs w:val="21"/>
              </w:rPr>
              <w:t>2.11工艺流程：</w:t>
            </w:r>
          </w:p>
          <w:p>
            <w:pPr>
              <w:adjustRightInd w:val="0"/>
              <w:snapToGrid w:val="0"/>
              <w:spacing w:line="360" w:lineRule="auto"/>
              <w:ind w:firstLine="420" w:firstLineChars="200"/>
              <w:rPr>
                <w:kern w:val="0"/>
                <w:szCs w:val="21"/>
              </w:rPr>
            </w:pPr>
            <w:r>
              <w:rPr>
                <w:kern w:val="0"/>
                <w:szCs w:val="21"/>
              </w:rPr>
              <w:t>根据天然气钻井工程特点，可将项目实施分为钻井作业期、完井作业期。本项目主要包括设备搬迁安装、钻井作业、拆卸设备和井场清理等，着重分析钻井工程、试气工程。</w:t>
            </w:r>
          </w:p>
          <w:p>
            <w:pPr>
              <w:spacing w:line="360" w:lineRule="auto"/>
              <w:rPr>
                <w:b/>
                <w:szCs w:val="21"/>
              </w:rPr>
            </w:pPr>
            <w:r>
              <w:rPr>
                <w:b/>
                <w:bCs/>
                <w:szCs w:val="21"/>
              </w:rPr>
              <w:t>2.12钻井</w:t>
            </w:r>
            <w:r>
              <w:rPr>
                <w:b/>
                <w:szCs w:val="21"/>
              </w:rPr>
              <w:t>工艺流程简述</w:t>
            </w:r>
          </w:p>
          <w:p>
            <w:pPr>
              <w:spacing w:line="360" w:lineRule="auto"/>
              <w:ind w:firstLine="420" w:firstLineChars="200"/>
              <w:rPr>
                <w:szCs w:val="21"/>
              </w:rPr>
            </w:pPr>
            <w:r>
              <w:rPr>
                <w:szCs w:val="21"/>
              </w:rPr>
              <w:t>平安101井井身按三开设计，井身结构设计情况见表2-12，井身结构示意图见下图。本项目采用常规钻井工艺，使用钻机ZJ50型钻机对平安101井进行钻井作业，导管段使用清水钻井液钻井，可有效保护浅层地下水；一开~</w:t>
            </w:r>
            <w:r>
              <w:rPr>
                <w:rFonts w:hint="eastAsia"/>
                <w:szCs w:val="21"/>
              </w:rPr>
              <w:t>三</w:t>
            </w:r>
            <w:r>
              <w:rPr>
                <w:szCs w:val="21"/>
              </w:rPr>
              <w:t>开段使用水基钻井液钻井，有利于降低作业成本，对地层污染较小。</w:t>
            </w:r>
          </w:p>
          <w:p>
            <w:pPr>
              <w:pStyle w:val="19"/>
              <w:numPr>
                <w:ilvl w:val="0"/>
                <w:numId w:val="5"/>
              </w:numPr>
              <w:tabs>
                <w:tab w:val="left" w:pos="0"/>
                <w:tab w:val="left" w:pos="833"/>
              </w:tabs>
              <w:spacing w:before="0" w:after="0" w:line="360" w:lineRule="auto"/>
              <w:ind w:left="0" w:right="0" w:firstLine="0"/>
              <w:jc w:val="center"/>
              <w:rPr>
                <w:b/>
                <w:sz w:val="21"/>
                <w:szCs w:val="21"/>
              </w:rPr>
            </w:pPr>
            <w:r>
              <w:rPr>
                <w:b/>
                <w:sz w:val="21"/>
                <w:szCs w:val="21"/>
              </w:rPr>
              <w:t>平安101井身结构设计表</w:t>
            </w:r>
          </w:p>
          <w:tbl>
            <w:tblPr>
              <w:tblStyle w:val="4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8"/>
              <w:gridCol w:w="968"/>
              <w:gridCol w:w="966"/>
              <w:gridCol w:w="935"/>
              <w:gridCol w:w="933"/>
              <w:gridCol w:w="1135"/>
              <w:gridCol w:w="1001"/>
              <w:gridCol w:w="11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04" w:type="pct"/>
                  <w:vAlign w:val="center"/>
                </w:tcPr>
                <w:p>
                  <w:pPr>
                    <w:adjustRightInd w:val="0"/>
                    <w:snapToGrid w:val="0"/>
                    <w:contextualSpacing/>
                    <w:jc w:val="center"/>
                    <w:rPr>
                      <w:szCs w:val="21"/>
                    </w:rPr>
                  </w:pPr>
                  <w:r>
                    <w:rPr>
                      <w:szCs w:val="21"/>
                    </w:rPr>
                    <w:t>开钻</w:t>
                  </w:r>
                </w:p>
                <w:p>
                  <w:pPr>
                    <w:adjustRightInd w:val="0"/>
                    <w:snapToGrid w:val="0"/>
                    <w:contextualSpacing/>
                    <w:jc w:val="center"/>
                    <w:rPr>
                      <w:szCs w:val="21"/>
                    </w:rPr>
                  </w:pPr>
                  <w:r>
                    <w:rPr>
                      <w:szCs w:val="21"/>
                    </w:rPr>
                    <w:t>次序</w:t>
                  </w:r>
                </w:p>
              </w:tc>
              <w:tc>
                <w:tcPr>
                  <w:tcW w:w="623" w:type="pct"/>
                  <w:vAlign w:val="center"/>
                </w:tcPr>
                <w:p>
                  <w:pPr>
                    <w:adjustRightInd w:val="0"/>
                    <w:snapToGrid w:val="0"/>
                    <w:contextualSpacing/>
                    <w:jc w:val="center"/>
                    <w:rPr>
                      <w:szCs w:val="21"/>
                    </w:rPr>
                  </w:pPr>
                  <w:r>
                    <w:rPr>
                      <w:szCs w:val="21"/>
                    </w:rPr>
                    <w:t>井深</w:t>
                  </w:r>
                </w:p>
                <w:p>
                  <w:pPr>
                    <w:adjustRightInd w:val="0"/>
                    <w:snapToGrid w:val="0"/>
                    <w:contextualSpacing/>
                    <w:jc w:val="center"/>
                    <w:rPr>
                      <w:szCs w:val="21"/>
                    </w:rPr>
                  </w:pPr>
                  <w:r>
                    <w:rPr>
                      <w:szCs w:val="21"/>
                    </w:rPr>
                    <w:t>m</w:t>
                  </w:r>
                </w:p>
              </w:tc>
              <w:tc>
                <w:tcPr>
                  <w:tcW w:w="622" w:type="pct"/>
                  <w:vAlign w:val="center"/>
                </w:tcPr>
                <w:p>
                  <w:pPr>
                    <w:adjustRightInd w:val="0"/>
                    <w:snapToGrid w:val="0"/>
                    <w:contextualSpacing/>
                    <w:jc w:val="center"/>
                    <w:rPr>
                      <w:szCs w:val="21"/>
                    </w:rPr>
                  </w:pPr>
                  <w:r>
                    <w:rPr>
                      <w:szCs w:val="21"/>
                    </w:rPr>
                    <w:t>钻头</w:t>
                  </w:r>
                </w:p>
                <w:p>
                  <w:pPr>
                    <w:adjustRightInd w:val="0"/>
                    <w:snapToGrid w:val="0"/>
                    <w:contextualSpacing/>
                    <w:jc w:val="center"/>
                    <w:rPr>
                      <w:szCs w:val="21"/>
                    </w:rPr>
                  </w:pPr>
                  <w:r>
                    <w:rPr>
                      <w:szCs w:val="21"/>
                    </w:rPr>
                    <w:t>尺寸mm</w:t>
                  </w:r>
                </w:p>
              </w:tc>
              <w:tc>
                <w:tcPr>
                  <w:tcW w:w="602" w:type="pct"/>
                  <w:vAlign w:val="center"/>
                </w:tcPr>
                <w:p>
                  <w:pPr>
                    <w:adjustRightInd w:val="0"/>
                    <w:snapToGrid w:val="0"/>
                    <w:contextualSpacing/>
                    <w:jc w:val="center"/>
                    <w:rPr>
                      <w:szCs w:val="21"/>
                    </w:rPr>
                  </w:pPr>
                  <w:r>
                    <w:rPr>
                      <w:szCs w:val="21"/>
                    </w:rPr>
                    <w:t>套管柱</w:t>
                  </w:r>
                </w:p>
                <w:p>
                  <w:pPr>
                    <w:adjustRightInd w:val="0"/>
                    <w:snapToGrid w:val="0"/>
                    <w:contextualSpacing/>
                    <w:jc w:val="center"/>
                    <w:rPr>
                      <w:szCs w:val="21"/>
                    </w:rPr>
                  </w:pPr>
                  <w:r>
                    <w:rPr>
                      <w:szCs w:val="21"/>
                    </w:rPr>
                    <w:t>类型</w:t>
                  </w:r>
                </w:p>
              </w:tc>
              <w:tc>
                <w:tcPr>
                  <w:tcW w:w="601" w:type="pct"/>
                  <w:vAlign w:val="center"/>
                </w:tcPr>
                <w:p>
                  <w:pPr>
                    <w:adjustRightInd w:val="0"/>
                    <w:snapToGrid w:val="0"/>
                    <w:contextualSpacing/>
                    <w:jc w:val="center"/>
                    <w:rPr>
                      <w:szCs w:val="21"/>
                    </w:rPr>
                  </w:pPr>
                  <w:r>
                    <w:rPr>
                      <w:szCs w:val="21"/>
                    </w:rPr>
                    <w:t>套管</w:t>
                  </w:r>
                </w:p>
                <w:p>
                  <w:pPr>
                    <w:adjustRightInd w:val="0"/>
                    <w:snapToGrid w:val="0"/>
                    <w:contextualSpacing/>
                    <w:jc w:val="center"/>
                    <w:rPr>
                      <w:szCs w:val="21"/>
                    </w:rPr>
                  </w:pPr>
                  <w:r>
                    <w:rPr>
                      <w:szCs w:val="21"/>
                    </w:rPr>
                    <w:t>尺寸mm</w:t>
                  </w:r>
                </w:p>
              </w:tc>
              <w:tc>
                <w:tcPr>
                  <w:tcW w:w="731" w:type="pct"/>
                  <w:vAlign w:val="center"/>
                </w:tcPr>
                <w:p>
                  <w:pPr>
                    <w:adjustRightInd w:val="0"/>
                    <w:snapToGrid w:val="0"/>
                    <w:contextualSpacing/>
                    <w:jc w:val="center"/>
                    <w:rPr>
                      <w:szCs w:val="21"/>
                    </w:rPr>
                  </w:pPr>
                  <w:r>
                    <w:rPr>
                      <w:szCs w:val="21"/>
                    </w:rPr>
                    <w:t>套管下入</w:t>
                  </w:r>
                </w:p>
                <w:p>
                  <w:pPr>
                    <w:adjustRightInd w:val="0"/>
                    <w:snapToGrid w:val="0"/>
                    <w:contextualSpacing/>
                    <w:jc w:val="center"/>
                    <w:rPr>
                      <w:szCs w:val="21"/>
                    </w:rPr>
                  </w:pPr>
                  <w:r>
                    <w:rPr>
                      <w:szCs w:val="21"/>
                    </w:rPr>
                    <w:t>地层层位</w:t>
                  </w:r>
                </w:p>
              </w:tc>
              <w:tc>
                <w:tcPr>
                  <w:tcW w:w="645" w:type="pct"/>
                  <w:vAlign w:val="center"/>
                </w:tcPr>
                <w:p>
                  <w:pPr>
                    <w:adjustRightInd w:val="0"/>
                    <w:snapToGrid w:val="0"/>
                    <w:contextualSpacing/>
                    <w:jc w:val="center"/>
                    <w:rPr>
                      <w:szCs w:val="21"/>
                    </w:rPr>
                  </w:pPr>
                  <w:r>
                    <w:rPr>
                      <w:szCs w:val="21"/>
                    </w:rPr>
                    <w:t>套管下入</w:t>
                  </w:r>
                </w:p>
                <w:p>
                  <w:pPr>
                    <w:adjustRightInd w:val="0"/>
                    <w:snapToGrid w:val="0"/>
                    <w:contextualSpacing/>
                    <w:jc w:val="center"/>
                    <w:rPr>
                      <w:szCs w:val="21"/>
                    </w:rPr>
                  </w:pPr>
                  <w:r>
                    <w:rPr>
                      <w:szCs w:val="21"/>
                    </w:rPr>
                    <w:t>深 度m</w:t>
                  </w:r>
                </w:p>
              </w:tc>
              <w:tc>
                <w:tcPr>
                  <w:tcW w:w="771" w:type="pct"/>
                  <w:vAlign w:val="center"/>
                </w:tcPr>
                <w:p>
                  <w:pPr>
                    <w:adjustRightInd w:val="0"/>
                    <w:snapToGrid w:val="0"/>
                    <w:contextualSpacing/>
                    <w:jc w:val="center"/>
                    <w:rPr>
                      <w:szCs w:val="21"/>
                    </w:rPr>
                  </w:pPr>
                  <w:r>
                    <w:rPr>
                      <w:szCs w:val="21"/>
                    </w:rPr>
                    <w:t>环空水泥浆</w:t>
                  </w:r>
                </w:p>
                <w:p>
                  <w:pPr>
                    <w:adjustRightInd w:val="0"/>
                    <w:snapToGrid w:val="0"/>
                    <w:contextualSpacing/>
                    <w:jc w:val="center"/>
                    <w:rPr>
                      <w:szCs w:val="21"/>
                    </w:rPr>
                  </w:pPr>
                  <w:r>
                    <w:rPr>
                      <w:szCs w:val="21"/>
                    </w:rPr>
                    <w:t>返 高m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04" w:type="pct"/>
                  <w:vAlign w:val="center"/>
                </w:tcPr>
                <w:p>
                  <w:pPr>
                    <w:adjustRightInd w:val="0"/>
                    <w:snapToGrid w:val="0"/>
                    <w:contextualSpacing/>
                    <w:jc w:val="center"/>
                    <w:rPr>
                      <w:szCs w:val="21"/>
                    </w:rPr>
                  </w:pPr>
                  <w:r>
                    <w:rPr>
                      <w:szCs w:val="21"/>
                    </w:rPr>
                    <w:t>导管</w:t>
                  </w:r>
                </w:p>
              </w:tc>
              <w:tc>
                <w:tcPr>
                  <w:tcW w:w="623" w:type="pct"/>
                  <w:vAlign w:val="center"/>
                </w:tcPr>
                <w:p>
                  <w:pPr>
                    <w:widowControl/>
                    <w:spacing w:before="12" w:beforeLines="5" w:after="12" w:afterLines="5"/>
                    <w:jc w:val="center"/>
                    <w:rPr>
                      <w:rFonts w:cs="Arial"/>
                    </w:rPr>
                  </w:pPr>
                  <w:r>
                    <w:rPr>
                      <w:rFonts w:cs="Arial"/>
                    </w:rPr>
                    <w:t>30</w:t>
                  </w:r>
                </w:p>
              </w:tc>
              <w:tc>
                <w:tcPr>
                  <w:tcW w:w="622" w:type="pct"/>
                  <w:vAlign w:val="center"/>
                </w:tcPr>
                <w:p>
                  <w:pPr>
                    <w:widowControl/>
                    <w:spacing w:before="12" w:beforeLines="5" w:after="12" w:afterLines="5"/>
                    <w:jc w:val="center"/>
                    <w:rPr>
                      <w:rFonts w:cs="Arial"/>
                    </w:rPr>
                  </w:pPr>
                  <w:r>
                    <w:rPr>
                      <w:rFonts w:hint="eastAsia" w:cs="Arial"/>
                    </w:rPr>
                    <w:t>6</w:t>
                  </w:r>
                  <w:r>
                    <w:rPr>
                      <w:rFonts w:cs="Arial"/>
                    </w:rPr>
                    <w:t>60.4</w:t>
                  </w:r>
                </w:p>
              </w:tc>
              <w:tc>
                <w:tcPr>
                  <w:tcW w:w="602" w:type="pct"/>
                  <w:vAlign w:val="center"/>
                </w:tcPr>
                <w:p>
                  <w:pPr>
                    <w:widowControl/>
                    <w:spacing w:before="12" w:beforeLines="5" w:after="12" w:afterLines="5"/>
                    <w:jc w:val="center"/>
                    <w:rPr>
                      <w:rFonts w:cs="Arial"/>
                    </w:rPr>
                  </w:pPr>
                  <w:r>
                    <w:rPr>
                      <w:rFonts w:hint="eastAsia" w:cs="Arial"/>
                    </w:rPr>
                    <w:t>5</w:t>
                  </w:r>
                  <w:r>
                    <w:rPr>
                      <w:rFonts w:cs="Arial"/>
                    </w:rPr>
                    <w:t>08</w:t>
                  </w:r>
                </w:p>
              </w:tc>
              <w:tc>
                <w:tcPr>
                  <w:tcW w:w="601" w:type="pct"/>
                  <w:vAlign w:val="center"/>
                </w:tcPr>
                <w:p>
                  <w:pPr>
                    <w:widowControl/>
                    <w:spacing w:before="12" w:beforeLines="5" w:after="12" w:afterLines="5"/>
                    <w:jc w:val="center"/>
                    <w:rPr>
                      <w:rFonts w:cs="Arial"/>
                    </w:rPr>
                  </w:pPr>
                  <w:r>
                    <w:rPr>
                      <w:rFonts w:hint="eastAsia" w:cs="Arial"/>
                    </w:rPr>
                    <w:t xml:space="preserve">导管 </w:t>
                  </w:r>
                </w:p>
              </w:tc>
              <w:tc>
                <w:tcPr>
                  <w:tcW w:w="731" w:type="pct"/>
                  <w:vAlign w:val="center"/>
                </w:tcPr>
                <w:p>
                  <w:pPr>
                    <w:widowControl/>
                    <w:spacing w:before="12" w:beforeLines="5" w:after="12" w:afterLines="5"/>
                    <w:jc w:val="center"/>
                    <w:rPr>
                      <w:rFonts w:cs="Arial"/>
                    </w:rPr>
                  </w:pPr>
                  <w:r>
                    <w:rPr>
                      <w:rFonts w:hint="eastAsia" w:cs="Arial"/>
                    </w:rPr>
                    <w:t xml:space="preserve">蓬莱镇组 </w:t>
                  </w:r>
                </w:p>
              </w:tc>
              <w:tc>
                <w:tcPr>
                  <w:tcW w:w="645" w:type="pct"/>
                  <w:vAlign w:val="center"/>
                </w:tcPr>
                <w:p>
                  <w:pPr>
                    <w:widowControl/>
                    <w:spacing w:before="12" w:beforeLines="5" w:after="12" w:afterLines="5"/>
                    <w:jc w:val="center"/>
                    <w:rPr>
                      <w:rFonts w:cs="Arial"/>
                    </w:rPr>
                  </w:pPr>
                  <w:r>
                    <w:rPr>
                      <w:rFonts w:hint="eastAsia" w:cs="Arial"/>
                    </w:rPr>
                    <w:t>3</w:t>
                  </w:r>
                  <w:r>
                    <w:rPr>
                      <w:rFonts w:cs="Arial"/>
                    </w:rPr>
                    <w:t>0</w:t>
                  </w:r>
                </w:p>
              </w:tc>
              <w:tc>
                <w:tcPr>
                  <w:tcW w:w="771" w:type="pct"/>
                  <w:vAlign w:val="center"/>
                </w:tcPr>
                <w:p>
                  <w:pPr>
                    <w:widowControl/>
                    <w:spacing w:before="12" w:beforeLines="5" w:after="12" w:afterLines="5"/>
                    <w:jc w:val="center"/>
                    <w:rPr>
                      <w:rFonts w:cs="Arial"/>
                    </w:rPr>
                  </w:pPr>
                  <w:r>
                    <w:rPr>
                      <w:rFonts w:hint="eastAsia" w:cs="Arial"/>
                    </w:rPr>
                    <w:t>地面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04" w:type="pct"/>
                  <w:vAlign w:val="center"/>
                </w:tcPr>
                <w:p>
                  <w:pPr>
                    <w:widowControl/>
                    <w:spacing w:before="12" w:beforeLines="5" w:after="12" w:afterLines="5"/>
                    <w:jc w:val="center"/>
                    <w:rPr>
                      <w:szCs w:val="21"/>
                    </w:rPr>
                  </w:pPr>
                  <w:r>
                    <w:rPr>
                      <w:szCs w:val="21"/>
                    </w:rPr>
                    <w:t>一开</w:t>
                  </w:r>
                </w:p>
              </w:tc>
              <w:tc>
                <w:tcPr>
                  <w:tcW w:w="623" w:type="pct"/>
                  <w:vAlign w:val="center"/>
                </w:tcPr>
                <w:p>
                  <w:pPr>
                    <w:widowControl/>
                    <w:spacing w:before="12" w:beforeLines="5" w:after="12" w:afterLines="5"/>
                    <w:jc w:val="center"/>
                    <w:rPr>
                      <w:rFonts w:cs="Arial"/>
                    </w:rPr>
                  </w:pPr>
                  <w:r>
                    <w:rPr>
                      <w:rFonts w:cs="Arial"/>
                    </w:rPr>
                    <w:t>300</w:t>
                  </w:r>
                </w:p>
              </w:tc>
              <w:tc>
                <w:tcPr>
                  <w:tcW w:w="622" w:type="pct"/>
                  <w:vAlign w:val="center"/>
                </w:tcPr>
                <w:p>
                  <w:pPr>
                    <w:widowControl/>
                    <w:spacing w:before="12" w:beforeLines="5" w:after="12" w:afterLines="5"/>
                    <w:jc w:val="center"/>
                    <w:rPr>
                      <w:rFonts w:cs="Arial"/>
                    </w:rPr>
                  </w:pPr>
                  <w:r>
                    <w:rPr>
                      <w:rFonts w:cs="Arial"/>
                    </w:rPr>
                    <w:t>406.4</w:t>
                  </w:r>
                </w:p>
              </w:tc>
              <w:tc>
                <w:tcPr>
                  <w:tcW w:w="602" w:type="pct"/>
                  <w:vAlign w:val="center"/>
                </w:tcPr>
                <w:p>
                  <w:pPr>
                    <w:widowControl/>
                    <w:spacing w:before="12" w:beforeLines="5" w:after="12" w:afterLines="5"/>
                    <w:jc w:val="center"/>
                    <w:rPr>
                      <w:rFonts w:cs="Arial"/>
                    </w:rPr>
                  </w:pPr>
                  <w:r>
                    <w:rPr>
                      <w:rFonts w:cs="Arial"/>
                    </w:rPr>
                    <w:t>339.7</w:t>
                  </w:r>
                </w:p>
              </w:tc>
              <w:tc>
                <w:tcPr>
                  <w:tcW w:w="601" w:type="pct"/>
                  <w:vAlign w:val="center"/>
                </w:tcPr>
                <w:p>
                  <w:pPr>
                    <w:widowControl/>
                    <w:spacing w:before="12" w:beforeLines="5" w:after="12" w:afterLines="5"/>
                    <w:jc w:val="center"/>
                    <w:rPr>
                      <w:rFonts w:cs="Arial"/>
                    </w:rPr>
                  </w:pPr>
                  <w:r>
                    <w:rPr>
                      <w:rFonts w:cs="Arial"/>
                    </w:rPr>
                    <w:t>表层套管</w:t>
                  </w:r>
                </w:p>
              </w:tc>
              <w:tc>
                <w:tcPr>
                  <w:tcW w:w="731" w:type="pct"/>
                  <w:vAlign w:val="center"/>
                </w:tcPr>
                <w:p>
                  <w:pPr>
                    <w:widowControl/>
                    <w:spacing w:before="12" w:beforeLines="5" w:after="12" w:afterLines="5"/>
                    <w:jc w:val="center"/>
                    <w:rPr>
                      <w:rFonts w:cs="Arial"/>
                    </w:rPr>
                  </w:pPr>
                  <w:r>
                    <w:rPr>
                      <w:rFonts w:hint="eastAsia" w:cs="Arial"/>
                    </w:rPr>
                    <w:t>蓬莱镇组</w:t>
                  </w:r>
                </w:p>
              </w:tc>
              <w:tc>
                <w:tcPr>
                  <w:tcW w:w="645" w:type="pct"/>
                  <w:vAlign w:val="center"/>
                </w:tcPr>
                <w:p>
                  <w:pPr>
                    <w:widowControl/>
                    <w:spacing w:before="12" w:beforeLines="5" w:after="12" w:afterLines="5"/>
                    <w:jc w:val="center"/>
                    <w:rPr>
                      <w:rFonts w:cs="Arial"/>
                    </w:rPr>
                  </w:pPr>
                  <w:r>
                    <w:rPr>
                      <w:rFonts w:cs="Arial"/>
                    </w:rPr>
                    <w:t>0～298</w:t>
                  </w:r>
                </w:p>
              </w:tc>
              <w:tc>
                <w:tcPr>
                  <w:tcW w:w="771" w:type="pct"/>
                  <w:vAlign w:val="center"/>
                </w:tcPr>
                <w:p>
                  <w:pPr>
                    <w:widowControl/>
                    <w:spacing w:before="12" w:beforeLines="5" w:after="12" w:afterLines="5"/>
                    <w:jc w:val="center"/>
                    <w:rPr>
                      <w:rFonts w:cs="Arial"/>
                    </w:rPr>
                  </w:pPr>
                  <w:r>
                    <w:rPr>
                      <w:rFonts w:cs="Arial"/>
                    </w:rPr>
                    <w:t>地面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04" w:type="pct"/>
                  <w:vAlign w:val="center"/>
                </w:tcPr>
                <w:p>
                  <w:pPr>
                    <w:widowControl/>
                    <w:spacing w:before="12" w:beforeLines="5" w:after="12" w:afterLines="5"/>
                    <w:jc w:val="center"/>
                    <w:rPr>
                      <w:szCs w:val="21"/>
                    </w:rPr>
                  </w:pPr>
                  <w:r>
                    <w:rPr>
                      <w:szCs w:val="21"/>
                    </w:rPr>
                    <w:t>二开</w:t>
                  </w:r>
                </w:p>
              </w:tc>
              <w:tc>
                <w:tcPr>
                  <w:tcW w:w="623" w:type="pct"/>
                  <w:vAlign w:val="center"/>
                </w:tcPr>
                <w:p>
                  <w:pPr>
                    <w:widowControl/>
                    <w:spacing w:before="12" w:beforeLines="5" w:after="12" w:afterLines="5"/>
                    <w:jc w:val="center"/>
                    <w:rPr>
                      <w:rFonts w:cs="Arial"/>
                    </w:rPr>
                  </w:pPr>
                  <w:r>
                    <w:rPr>
                      <w:rFonts w:cs="Arial"/>
                    </w:rPr>
                    <w:t>2887</w:t>
                  </w:r>
                </w:p>
              </w:tc>
              <w:tc>
                <w:tcPr>
                  <w:tcW w:w="622" w:type="pct"/>
                  <w:vAlign w:val="center"/>
                </w:tcPr>
                <w:p>
                  <w:pPr>
                    <w:widowControl/>
                    <w:spacing w:before="12" w:beforeLines="5" w:after="12" w:afterLines="5"/>
                    <w:jc w:val="center"/>
                    <w:rPr>
                      <w:rFonts w:cs="Arial"/>
                    </w:rPr>
                  </w:pPr>
                  <w:r>
                    <w:rPr>
                      <w:rFonts w:cs="Arial"/>
                    </w:rPr>
                    <w:t>311.2</w:t>
                  </w:r>
                </w:p>
              </w:tc>
              <w:tc>
                <w:tcPr>
                  <w:tcW w:w="602" w:type="pct"/>
                  <w:vAlign w:val="center"/>
                </w:tcPr>
                <w:p>
                  <w:pPr>
                    <w:spacing w:before="12" w:beforeLines="5" w:after="12" w:afterLines="5"/>
                    <w:jc w:val="center"/>
                    <w:rPr>
                      <w:rFonts w:cs="Arial"/>
                    </w:rPr>
                  </w:pPr>
                  <w:r>
                    <w:rPr>
                      <w:rFonts w:cs="Arial"/>
                    </w:rPr>
                    <w:t>244.5</w:t>
                  </w:r>
                </w:p>
              </w:tc>
              <w:tc>
                <w:tcPr>
                  <w:tcW w:w="601" w:type="pct"/>
                  <w:vAlign w:val="center"/>
                </w:tcPr>
                <w:p>
                  <w:pPr>
                    <w:widowControl/>
                    <w:spacing w:before="12" w:beforeLines="5" w:after="12" w:afterLines="5"/>
                    <w:jc w:val="center"/>
                    <w:rPr>
                      <w:rFonts w:cs="Arial"/>
                    </w:rPr>
                  </w:pPr>
                  <w:r>
                    <w:rPr>
                      <w:rFonts w:cs="Arial"/>
                    </w:rPr>
                    <w:t>技术套管</w:t>
                  </w:r>
                </w:p>
              </w:tc>
              <w:tc>
                <w:tcPr>
                  <w:tcW w:w="731" w:type="pct"/>
                  <w:vAlign w:val="center"/>
                </w:tcPr>
                <w:p>
                  <w:pPr>
                    <w:widowControl/>
                    <w:spacing w:before="12" w:beforeLines="5" w:after="12" w:afterLines="5"/>
                    <w:jc w:val="center"/>
                    <w:rPr>
                      <w:rFonts w:cs="Arial"/>
                    </w:rPr>
                  </w:pPr>
                  <w:r>
                    <w:rPr>
                      <w:rFonts w:hint="eastAsia" w:cs="Arial"/>
                    </w:rPr>
                    <w:t>凉高山组顶</w:t>
                  </w:r>
                </w:p>
              </w:tc>
              <w:tc>
                <w:tcPr>
                  <w:tcW w:w="645" w:type="pct"/>
                  <w:vAlign w:val="center"/>
                </w:tcPr>
                <w:p>
                  <w:pPr>
                    <w:spacing w:before="12" w:beforeLines="5" w:after="12" w:afterLines="5"/>
                    <w:jc w:val="center"/>
                    <w:rPr>
                      <w:rFonts w:cs="Arial"/>
                    </w:rPr>
                  </w:pPr>
                  <w:r>
                    <w:rPr>
                      <w:rFonts w:cs="Arial"/>
                    </w:rPr>
                    <w:t>0～2885</w:t>
                  </w:r>
                </w:p>
              </w:tc>
              <w:tc>
                <w:tcPr>
                  <w:tcW w:w="771" w:type="pct"/>
                  <w:vAlign w:val="center"/>
                </w:tcPr>
                <w:p>
                  <w:pPr>
                    <w:widowControl/>
                    <w:spacing w:before="12" w:beforeLines="5" w:after="12" w:afterLines="5"/>
                    <w:jc w:val="center"/>
                    <w:rPr>
                      <w:rFonts w:cs="Arial"/>
                    </w:rPr>
                  </w:pPr>
                  <w:r>
                    <w:rPr>
                      <w:rFonts w:cs="Arial"/>
                    </w:rPr>
                    <w:t>地面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04" w:type="pct"/>
                  <w:vAlign w:val="center"/>
                </w:tcPr>
                <w:p>
                  <w:pPr>
                    <w:widowControl/>
                    <w:spacing w:before="12" w:beforeLines="5" w:after="12" w:afterLines="5"/>
                    <w:jc w:val="center"/>
                    <w:rPr>
                      <w:szCs w:val="21"/>
                    </w:rPr>
                  </w:pPr>
                  <w:r>
                    <w:rPr>
                      <w:szCs w:val="21"/>
                    </w:rPr>
                    <w:t>三开</w:t>
                  </w:r>
                </w:p>
              </w:tc>
              <w:tc>
                <w:tcPr>
                  <w:tcW w:w="623" w:type="pct"/>
                  <w:vAlign w:val="center"/>
                </w:tcPr>
                <w:p>
                  <w:pPr>
                    <w:widowControl/>
                    <w:spacing w:before="12" w:beforeLines="5" w:after="12" w:afterLines="5"/>
                    <w:jc w:val="center"/>
                    <w:rPr>
                      <w:rFonts w:cs="Arial"/>
                    </w:rPr>
                  </w:pPr>
                  <w:r>
                    <w:rPr>
                      <w:rFonts w:cs="Arial"/>
                    </w:rPr>
                    <w:t>4087</w:t>
                  </w:r>
                </w:p>
              </w:tc>
              <w:tc>
                <w:tcPr>
                  <w:tcW w:w="622" w:type="pct"/>
                  <w:vAlign w:val="center"/>
                </w:tcPr>
                <w:p>
                  <w:pPr>
                    <w:widowControl/>
                    <w:spacing w:before="12" w:beforeLines="5" w:after="12" w:afterLines="5"/>
                    <w:jc w:val="center"/>
                    <w:rPr>
                      <w:rFonts w:cs="Arial"/>
                    </w:rPr>
                  </w:pPr>
                  <w:r>
                    <w:rPr>
                      <w:rFonts w:cs="Arial"/>
                    </w:rPr>
                    <w:t>215.9</w:t>
                  </w:r>
                </w:p>
              </w:tc>
              <w:tc>
                <w:tcPr>
                  <w:tcW w:w="602" w:type="pct"/>
                  <w:vAlign w:val="center"/>
                </w:tcPr>
                <w:p>
                  <w:pPr>
                    <w:widowControl/>
                    <w:spacing w:before="12" w:beforeLines="5" w:after="12" w:afterLines="5"/>
                    <w:jc w:val="center"/>
                    <w:rPr>
                      <w:rFonts w:cs="Arial"/>
                    </w:rPr>
                  </w:pPr>
                  <w:r>
                    <w:rPr>
                      <w:rFonts w:cs="Arial"/>
                    </w:rPr>
                    <w:t>139.7</w:t>
                  </w:r>
                </w:p>
              </w:tc>
              <w:tc>
                <w:tcPr>
                  <w:tcW w:w="601" w:type="pct"/>
                  <w:vAlign w:val="center"/>
                </w:tcPr>
                <w:p>
                  <w:pPr>
                    <w:widowControl/>
                    <w:spacing w:before="12" w:beforeLines="5" w:after="12" w:afterLines="5"/>
                    <w:jc w:val="center"/>
                    <w:rPr>
                      <w:rFonts w:cs="Arial"/>
                    </w:rPr>
                  </w:pPr>
                  <w:r>
                    <w:rPr>
                      <w:rFonts w:cs="Arial"/>
                    </w:rPr>
                    <w:t>油层</w:t>
                  </w:r>
                  <w:r>
                    <w:rPr>
                      <w:rFonts w:hint="eastAsia" w:cs="Arial"/>
                    </w:rPr>
                    <w:t>套管</w:t>
                  </w:r>
                </w:p>
              </w:tc>
              <w:tc>
                <w:tcPr>
                  <w:tcW w:w="731" w:type="pct"/>
                  <w:vAlign w:val="center"/>
                </w:tcPr>
                <w:p>
                  <w:pPr>
                    <w:widowControl/>
                    <w:spacing w:before="12" w:beforeLines="5" w:after="12" w:afterLines="5"/>
                    <w:jc w:val="center"/>
                    <w:rPr>
                      <w:rFonts w:cs="Arial"/>
                    </w:rPr>
                  </w:pPr>
                  <w:r>
                    <w:rPr>
                      <w:rFonts w:hint="eastAsia" w:cs="Arial"/>
                    </w:rPr>
                    <w:t>珍珠冲组</w:t>
                  </w:r>
                </w:p>
              </w:tc>
              <w:tc>
                <w:tcPr>
                  <w:tcW w:w="645" w:type="pct"/>
                  <w:vAlign w:val="center"/>
                </w:tcPr>
                <w:p>
                  <w:pPr>
                    <w:widowControl/>
                    <w:spacing w:before="12" w:beforeLines="5" w:after="12" w:afterLines="5"/>
                    <w:jc w:val="center"/>
                    <w:rPr>
                      <w:rFonts w:cs="Arial"/>
                    </w:rPr>
                  </w:pPr>
                  <w:r>
                    <w:rPr>
                      <w:rFonts w:cs="Arial"/>
                    </w:rPr>
                    <w:t>0～4085</w:t>
                  </w:r>
                </w:p>
              </w:tc>
              <w:tc>
                <w:tcPr>
                  <w:tcW w:w="771" w:type="pct"/>
                  <w:vAlign w:val="center"/>
                </w:tcPr>
                <w:p>
                  <w:pPr>
                    <w:widowControl/>
                    <w:spacing w:before="12" w:beforeLines="5" w:after="12" w:afterLines="5"/>
                    <w:jc w:val="center"/>
                    <w:rPr>
                      <w:rFonts w:cs="Arial"/>
                    </w:rPr>
                  </w:pPr>
                  <w:r>
                    <w:rPr>
                      <w:rFonts w:cs="Arial"/>
                    </w:rPr>
                    <w:t>地面</w:t>
                  </w:r>
                </w:p>
              </w:tc>
            </w:tr>
          </w:tbl>
          <w:p>
            <w:pPr>
              <w:adjustRightInd w:val="0"/>
              <w:snapToGrid w:val="0"/>
              <w:jc w:val="center"/>
              <w:rPr>
                <w:kern w:val="0"/>
                <w:szCs w:val="21"/>
              </w:rPr>
            </w:pPr>
            <w:r>
              <w:drawing>
                <wp:inline distT="0" distB="0" distL="0" distR="0">
                  <wp:extent cx="4775200" cy="2895600"/>
                  <wp:effectExtent l="0" t="0" r="0"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4775200" cy="2895600"/>
                          </a:xfrm>
                          <a:prstGeom prst="rect">
                            <a:avLst/>
                          </a:prstGeom>
                          <a:noFill/>
                          <a:ln>
                            <a:noFill/>
                          </a:ln>
                        </pic:spPr>
                      </pic:pic>
                    </a:graphicData>
                  </a:graphic>
                </wp:inline>
              </w:drawing>
            </w:r>
          </w:p>
          <w:p>
            <w:pPr>
              <w:spacing w:line="360" w:lineRule="auto"/>
              <w:jc w:val="center"/>
              <w:rPr>
                <w:b/>
                <w:bCs/>
                <w:szCs w:val="21"/>
              </w:rPr>
            </w:pPr>
            <w:r>
              <w:rPr>
                <w:b/>
                <w:bCs/>
                <w:szCs w:val="21"/>
              </w:rPr>
              <w:t>图2-1井身结构示意图</w:t>
            </w:r>
          </w:p>
          <w:p>
            <w:pPr>
              <w:rPr>
                <w:szCs w:val="21"/>
              </w:rPr>
            </w:pPr>
            <w:r>
              <w:drawing>
                <wp:inline distT="0" distB="0" distL="0" distR="0">
                  <wp:extent cx="4883150" cy="3479800"/>
                  <wp:effectExtent l="0" t="0" r="0" b="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4883150" cy="3479800"/>
                          </a:xfrm>
                          <a:prstGeom prst="rect">
                            <a:avLst/>
                          </a:prstGeom>
                          <a:noFill/>
                          <a:ln>
                            <a:noFill/>
                          </a:ln>
                        </pic:spPr>
                      </pic:pic>
                    </a:graphicData>
                  </a:graphic>
                </wp:inline>
              </w:drawing>
            </w:r>
          </w:p>
          <w:p>
            <w:pPr>
              <w:spacing w:line="360" w:lineRule="auto"/>
              <w:jc w:val="center"/>
              <w:rPr>
                <w:b/>
                <w:bCs/>
                <w:szCs w:val="21"/>
              </w:rPr>
            </w:pPr>
            <w:r>
              <w:rPr>
                <w:b/>
                <w:bCs/>
                <w:szCs w:val="21"/>
              </w:rPr>
              <w:t>图2-2 井眼轨迹垂直投影剖面图</w:t>
            </w:r>
          </w:p>
          <w:p>
            <w:pPr>
              <w:jc w:val="center"/>
              <w:rPr>
                <w:szCs w:val="21"/>
              </w:rPr>
            </w:pPr>
            <w:r>
              <w:drawing>
                <wp:inline distT="0" distB="0" distL="0" distR="0">
                  <wp:extent cx="4800600" cy="2616200"/>
                  <wp:effectExtent l="0" t="0" r="0" b="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4800600" cy="2616200"/>
                          </a:xfrm>
                          <a:prstGeom prst="rect">
                            <a:avLst/>
                          </a:prstGeom>
                          <a:noFill/>
                          <a:ln>
                            <a:noFill/>
                          </a:ln>
                        </pic:spPr>
                      </pic:pic>
                    </a:graphicData>
                  </a:graphic>
                </wp:inline>
              </w:drawing>
            </w:r>
          </w:p>
          <w:p>
            <w:pPr>
              <w:spacing w:line="360" w:lineRule="auto"/>
              <w:jc w:val="center"/>
              <w:rPr>
                <w:b/>
                <w:bCs/>
                <w:szCs w:val="21"/>
              </w:rPr>
            </w:pPr>
            <w:r>
              <w:rPr>
                <w:b/>
                <w:bCs/>
                <w:szCs w:val="21"/>
              </w:rPr>
              <w:t>图2-3 井眼轨迹水平投影剖面图</w:t>
            </w:r>
          </w:p>
          <w:p>
            <w:pPr>
              <w:spacing w:line="360" w:lineRule="auto"/>
              <w:ind w:firstLine="420" w:firstLineChars="200"/>
              <w:rPr>
                <w:szCs w:val="21"/>
              </w:rPr>
            </w:pPr>
            <w:r>
              <w:rPr>
                <w:szCs w:val="21"/>
              </w:rPr>
              <w:t>钻井工程主要包括钻井设备安装、钻井、钻井辅助作业、固井和完钻设备搬迁等过程；压裂测试工程包括完钻后洗井、射孔、压裂、测试放喷，以及完井后设备的搬迁和井场的清理等过程。单井钻井工程时间约为3个月。项目作业流程及产污环节见下图。</w:t>
            </w:r>
          </w:p>
          <w:p>
            <w:pPr>
              <w:spacing w:line="360" w:lineRule="auto"/>
              <w:jc w:val="center"/>
              <w:rPr>
                <w:b/>
                <w:szCs w:val="21"/>
              </w:rPr>
            </w:pPr>
            <w:r>
              <w:drawing>
                <wp:inline distT="0" distB="0" distL="0" distR="0">
                  <wp:extent cx="4933950" cy="4905375"/>
                  <wp:effectExtent l="0" t="0" r="0" b="952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4933950" cy="4905375"/>
                          </a:xfrm>
                          <a:prstGeom prst="rect">
                            <a:avLst/>
                          </a:prstGeom>
                          <a:noFill/>
                          <a:ln>
                            <a:noFill/>
                          </a:ln>
                        </pic:spPr>
                      </pic:pic>
                    </a:graphicData>
                  </a:graphic>
                </wp:inline>
              </w:drawing>
            </w:r>
          </w:p>
          <w:p>
            <w:pPr>
              <w:spacing w:line="360" w:lineRule="auto"/>
              <w:jc w:val="center"/>
              <w:rPr>
                <w:b/>
                <w:szCs w:val="21"/>
              </w:rPr>
            </w:pPr>
            <w:r>
              <w:rPr>
                <w:b/>
                <w:szCs w:val="21"/>
              </w:rPr>
              <w:t>图2-4钻井工艺流程及产污环节</w:t>
            </w:r>
          </w:p>
          <w:p>
            <w:pPr>
              <w:tabs>
                <w:tab w:val="left" w:pos="2321"/>
              </w:tabs>
              <w:overflowPunct w:val="0"/>
              <w:autoSpaceDE w:val="0"/>
              <w:spacing w:line="360" w:lineRule="auto"/>
              <w:rPr>
                <w:b/>
                <w:bCs/>
                <w:szCs w:val="21"/>
              </w:rPr>
            </w:pPr>
            <w:r>
              <w:rPr>
                <w:b/>
                <w:szCs w:val="21"/>
              </w:rPr>
              <w:t>2.12.1钻井工程作业工艺流程</w:t>
            </w:r>
          </w:p>
          <w:p>
            <w:pPr>
              <w:spacing w:line="360" w:lineRule="auto"/>
              <w:ind w:firstLine="420" w:firstLineChars="200"/>
              <w:rPr>
                <w:szCs w:val="21"/>
              </w:rPr>
            </w:pPr>
            <w:r>
              <w:rPr>
                <w:szCs w:val="21"/>
              </w:rPr>
              <w:t>钻井由起下钻、接单根、钻井等作业组成；钻井辅助作业由电测井、综合录井等作业组成；固井由下套管和注固井液两个过程组成；完钻后钻井设备搬迁及井场清理。本项目平安101井采用清水+水基钻井液进行钻井，对钻井过程中产生的污染物采取随钻处理，不会在井场内长期储存。</w:t>
            </w:r>
          </w:p>
          <w:p>
            <w:pPr>
              <w:spacing w:line="360" w:lineRule="auto"/>
              <w:ind w:firstLine="420" w:firstLineChars="200"/>
              <w:rPr>
                <w:szCs w:val="21"/>
              </w:rPr>
            </w:pPr>
            <w:r>
              <w:rPr>
                <w:szCs w:val="21"/>
              </w:rPr>
              <w:t>（1）设备设施的搬运及安装施工单位用汽车将钻井设备和泥浆循环罐等设施运至进场并进行安装，通常12~15天可安装完毕。</w:t>
            </w:r>
          </w:p>
          <w:p>
            <w:pPr>
              <w:spacing w:line="360" w:lineRule="auto"/>
              <w:ind w:firstLine="420" w:firstLineChars="200"/>
              <w:rPr>
                <w:szCs w:val="21"/>
              </w:rPr>
            </w:pPr>
            <w:r>
              <w:rPr>
                <w:szCs w:val="21"/>
              </w:rPr>
              <w:t>（2）钻井是根据地层地质情况，利用钻井液辅助整个过程进行钻进直至目的层的过程。钻进过程根据井身结构先使用大钻头，后使用小钻头钻进，更换钻头时会停钻，以起下钻具更换钻头、下套管、固井、替换洗井液、设备检修等。</w:t>
            </w:r>
          </w:p>
          <w:p>
            <w:pPr>
              <w:spacing w:line="360" w:lineRule="auto"/>
              <w:ind w:firstLine="420" w:firstLineChars="200"/>
              <w:rPr>
                <w:szCs w:val="21"/>
              </w:rPr>
            </w:pPr>
            <w:r>
              <w:rPr>
                <w:szCs w:val="21"/>
              </w:rPr>
              <w:t>1）清水钻阶段</w:t>
            </w:r>
          </w:p>
          <w:p>
            <w:pPr>
              <w:spacing w:line="360" w:lineRule="auto"/>
              <w:ind w:firstLine="420" w:firstLineChars="200"/>
              <w:rPr>
                <w:szCs w:val="21"/>
              </w:rPr>
            </w:pPr>
            <w:r>
              <w:rPr>
                <w:szCs w:val="21"/>
              </w:rPr>
              <w:t>①在表层钻进阶段，为了保护地表含水层，避免聚合物泥浆等钻井液对地下水环境造成不利影响，拟采用清水钻工艺进行导管段的钻井作业。导管段采用无毒无害的清水钻井方式，最大程度地保护浅层地下水环境。</w:t>
            </w:r>
          </w:p>
          <w:p>
            <w:pPr>
              <w:spacing w:line="360" w:lineRule="auto"/>
              <w:ind w:firstLine="420" w:firstLineChars="200"/>
              <w:rPr>
                <w:szCs w:val="21"/>
              </w:rPr>
            </w:pPr>
            <w:r>
              <w:rPr>
                <w:szCs w:val="21"/>
              </w:rPr>
              <w:t>②清水钻阶段中，返回地表的含屑钻井液通过泥浆管输入180目（筛孔直径约0.1mm）的振动筛进行液分离，将钻井液中粒径大于0.1mm的钻屑留于筛上，振动筛筛下的泥浆直接进入循环罐暂存，使用时先通过除砂器将粒径大于0.07mm的钻屑进行分离后再循环用于本阶段的钻井作业和后续水基泥浆钻阶段的配浆作业；振动筛的筛上物质和除砂器分离出的钻屑进入岩屑收集罐中暂存。</w:t>
            </w:r>
          </w:p>
          <w:p>
            <w:pPr>
              <w:spacing w:line="360" w:lineRule="auto"/>
              <w:ind w:firstLine="420" w:firstLineChars="200"/>
              <w:rPr>
                <w:szCs w:val="21"/>
              </w:rPr>
            </w:pPr>
            <w:r>
              <w:rPr>
                <w:szCs w:val="21"/>
              </w:rPr>
              <w:t>清水钻阶段作业流程及产污节点框图见下图所示。</w:t>
            </w:r>
          </w:p>
          <w:p>
            <w:pPr>
              <w:jc w:val="center"/>
              <w:rPr>
                <w:szCs w:val="21"/>
              </w:rPr>
            </w:pPr>
            <w:r>
              <w:rPr>
                <w:szCs w:val="21"/>
              </w:rPr>
              <w:drawing>
                <wp:inline distT="0" distB="0" distL="0" distR="0">
                  <wp:extent cx="4438650" cy="3016250"/>
                  <wp:effectExtent l="0" t="0" r="0" b="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4438650" cy="3016250"/>
                          </a:xfrm>
                          <a:prstGeom prst="rect">
                            <a:avLst/>
                          </a:prstGeom>
                          <a:noFill/>
                          <a:ln>
                            <a:noFill/>
                          </a:ln>
                        </pic:spPr>
                      </pic:pic>
                    </a:graphicData>
                  </a:graphic>
                </wp:inline>
              </w:drawing>
            </w:r>
          </w:p>
          <w:p>
            <w:pPr>
              <w:spacing w:line="360" w:lineRule="auto"/>
              <w:ind w:firstLine="422" w:firstLineChars="200"/>
              <w:jc w:val="center"/>
              <w:rPr>
                <w:b/>
                <w:szCs w:val="21"/>
              </w:rPr>
            </w:pPr>
            <w:r>
              <w:rPr>
                <w:b/>
                <w:szCs w:val="21"/>
              </w:rPr>
              <w:t>图2-5  清水钻阶段作业流程及产污图</w:t>
            </w:r>
          </w:p>
          <w:p>
            <w:pPr>
              <w:spacing w:line="360" w:lineRule="auto"/>
              <w:ind w:firstLine="420" w:firstLineChars="200"/>
              <w:rPr>
                <w:szCs w:val="21"/>
              </w:rPr>
            </w:pPr>
            <w:r>
              <w:rPr>
                <w:szCs w:val="21"/>
              </w:rPr>
              <w:t>由上图可知，清水钻阶段产生的主要污染物为钻机、泥浆泵和振动筛等设备产生的噪声和钻井岩屑。由于该阶段所使用的泥浆体系为清水泥浆，除附着于岩屑部分外的其他泥浆均可循环使用，在循环罐中分离出的上清液全部回</w:t>
            </w:r>
            <w:r>
              <w:rPr>
                <w:color w:val="FF0000"/>
                <w:szCs w:val="21"/>
              </w:rPr>
              <w:t>用与</w:t>
            </w:r>
            <w:r>
              <w:rPr>
                <w:szCs w:val="21"/>
              </w:rPr>
              <w:t>配制泥浆，钻井阶段结束后剩余的清水泥浆还可用于下阶段钻井液配浆使用，该阶段无钻井废水产生。</w:t>
            </w:r>
          </w:p>
          <w:p>
            <w:pPr>
              <w:spacing w:line="360" w:lineRule="auto"/>
              <w:ind w:firstLine="420" w:firstLineChars="200"/>
              <w:rPr>
                <w:szCs w:val="21"/>
              </w:rPr>
            </w:pPr>
            <w:r>
              <w:rPr>
                <w:szCs w:val="21"/>
              </w:rPr>
              <w:t>2）水基钻井液钻阶段</w:t>
            </w:r>
          </w:p>
          <w:p>
            <w:pPr>
              <w:spacing w:line="360" w:lineRule="auto"/>
              <w:ind w:firstLine="420" w:firstLineChars="200"/>
              <w:rPr>
                <w:szCs w:val="21"/>
              </w:rPr>
            </w:pPr>
            <w:r>
              <w:rPr>
                <w:szCs w:val="21"/>
              </w:rPr>
              <w:t>①水基钻井液钻工艺介绍</w:t>
            </w:r>
          </w:p>
          <w:p>
            <w:pPr>
              <w:spacing w:line="360" w:lineRule="auto"/>
              <w:ind w:firstLine="420" w:firstLineChars="200"/>
              <w:rPr>
                <w:szCs w:val="21"/>
              </w:rPr>
            </w:pPr>
            <w:r>
              <w:rPr>
                <w:szCs w:val="21"/>
              </w:rPr>
              <w:t>清水钻阶段完成后，本工程将进入水基泥浆钻阶段。水基泥浆阶段，使用直径为311.2mm的钻头开展一开剩余井段钻井作业，使用直径为215.9mm的钻头开展二开</w:t>
            </w:r>
            <w:r>
              <w:rPr>
                <w:rFonts w:hint="eastAsia"/>
                <w:szCs w:val="21"/>
              </w:rPr>
              <w:t>、三开</w:t>
            </w:r>
            <w:r>
              <w:rPr>
                <w:szCs w:val="21"/>
              </w:rPr>
              <w:t>段钻井作业，并进行起下钻具更换钻头、下套管、固井等作业。</w:t>
            </w:r>
          </w:p>
          <w:p>
            <w:pPr>
              <w:spacing w:line="360" w:lineRule="auto"/>
              <w:ind w:firstLine="420" w:firstLineChars="200"/>
              <w:rPr>
                <w:szCs w:val="21"/>
              </w:rPr>
            </w:pPr>
            <w:r>
              <w:rPr>
                <w:szCs w:val="21"/>
              </w:rPr>
              <w:t>水基钻井液阶段循环工艺介绍</w:t>
            </w:r>
          </w:p>
          <w:p>
            <w:pPr>
              <w:spacing w:line="360" w:lineRule="auto"/>
              <w:ind w:firstLine="420" w:firstLineChars="200"/>
              <w:rPr>
                <w:szCs w:val="21"/>
              </w:rPr>
            </w:pPr>
            <w:r>
              <w:rPr>
                <w:szCs w:val="21"/>
              </w:rPr>
              <w:t>水基泥浆通过钻杆立柱不断的由井口进入井底，带动钻头旋转不断切割岩石，同时泥浆夹带着产生的岩屑由钻杆与井壁之间的环形空间返回至井口。</w:t>
            </w:r>
          </w:p>
          <w:p>
            <w:pPr>
              <w:spacing w:line="360" w:lineRule="auto"/>
              <w:ind w:firstLine="420" w:firstLineChars="200"/>
              <w:rPr>
                <w:szCs w:val="21"/>
              </w:rPr>
            </w:pPr>
            <w:r>
              <w:rPr>
                <w:szCs w:val="21"/>
              </w:rPr>
              <w:t>水基泥浆钻井阶段中，返回地表的含屑钻井液通过泥浆管输入振动筛进行固液分离，将钻井液中粒径大于0.1mm的钻屑留于筛上，振动筛筛下的钻井液直接进入循环罐暂存，在使用前先通过除砂器分离出粒径大于0.07mm的钻屑、再通过除泥器分离出粒径大于0.01mm的钻屑后，用于钻井作业和后续的配浆作业。振动筛的筛上物质和除砂除泥器分离出的细小固相物质则通过螺旋传输器进入设计处理</w:t>
            </w:r>
            <w:r>
              <w:rPr>
                <w:rFonts w:hint="eastAsia"/>
                <w:szCs w:val="21"/>
                <w:lang w:eastAsia="zh-CN"/>
              </w:rPr>
              <w:t>能力</w:t>
            </w:r>
            <w:r>
              <w:rPr>
                <w:szCs w:val="21"/>
              </w:rPr>
              <w:t>40m</w:t>
            </w:r>
            <w:r>
              <w:rPr>
                <w:szCs w:val="21"/>
                <w:vertAlign w:val="superscript"/>
              </w:rPr>
              <w:t>3</w:t>
            </w:r>
            <w:r>
              <w:rPr>
                <w:szCs w:val="21"/>
              </w:rPr>
              <w:t>/d的清洁化生产区中进行处置。清洁化生产区分为处理区和材料堆放区，处理区主要由罐组成，而材料堆放区主要临时堆放处理后外运的岩屑。</w:t>
            </w:r>
          </w:p>
          <w:p>
            <w:pPr>
              <w:spacing w:line="360" w:lineRule="auto"/>
              <w:ind w:firstLine="420" w:firstLineChars="200"/>
              <w:rPr>
                <w:szCs w:val="21"/>
              </w:rPr>
            </w:pPr>
            <w:r>
              <w:rPr>
                <w:szCs w:val="21"/>
              </w:rPr>
              <w:t>清洁化生产区处理流程简述：分离出的钻屑进入清洁化生产区后，先由PLC自动控制的三角罐收集，之后通过叉车转运至隔油罐，在隔油罐中去除浮于钻井液表面的物质后，通过罐间的废水连通管输至2座并联设置的沉淀罐中，采用物理沉降、机械除渣的方式进行沉淀处理，沉淀后上层清液中进入回用罐中，大部分用于后续钻井作业的配浆，剩余回用的部分用于配制压裂液，固相物质导入岩屑收集罐收集后按照《达州市生态环境局办公室关于进一步加强固体废物污染防治工作的通知》（达市环办发〔2021〕24号）要求就近交给依法取得生态环境部门关于利用和处置相关工业固体废物项目环评批复、具有处理处置相应固体废物能力并配套建设有废气、废水、固废等污染物治理设施的单位进行资源化利用。</w:t>
            </w:r>
          </w:p>
          <w:p>
            <w:pPr>
              <w:spacing w:line="360" w:lineRule="auto"/>
              <w:ind w:firstLine="420" w:firstLineChars="200"/>
              <w:rPr>
                <w:szCs w:val="21"/>
              </w:rPr>
            </w:pPr>
            <w:r>
              <w:rPr>
                <w:szCs w:val="21"/>
              </w:rPr>
              <w:t>由于振动筛、除砂除泥器的可分离颗粒物粒径限制，粒径小于0.01mm的微小钻屑将不可避免的留在循环系统当中，随着泥浆的不断循环，泥浆中的细小钻屑便随之增多，进而造成泥浆携带钻屑能力减弱、废泥浆量增加和影响循环系统的工作效率的不利影响。因此，为确保钻井作业的稳定运行，当循环泥浆中含砂率过高时，将在完成除砂除泥作业后使用离心机对循环泥浆进行进一步分离，以降低循环泥浆中的钻屑含量。</w:t>
            </w:r>
          </w:p>
          <w:p>
            <w:pPr>
              <w:spacing w:line="360" w:lineRule="auto"/>
              <w:ind w:firstLine="420" w:firstLineChars="200"/>
              <w:rPr>
                <w:szCs w:val="21"/>
              </w:rPr>
            </w:pPr>
            <w:r>
              <w:rPr>
                <w:szCs w:val="21"/>
              </w:rPr>
              <w:t>根据钻井工程设计，项目水基泥浆钻井过程中离心机的使用率为70%。</w:t>
            </w:r>
          </w:p>
          <w:p>
            <w:pPr>
              <w:rPr>
                <w:szCs w:val="21"/>
              </w:rPr>
            </w:pPr>
            <w:r>
              <w:rPr>
                <w:szCs w:val="21"/>
              </w:rPr>
              <w:drawing>
                <wp:inline distT="0" distB="0" distL="0" distR="0">
                  <wp:extent cx="4940300" cy="4857750"/>
                  <wp:effectExtent l="0" t="0" r="0" b="0"/>
                  <wp:docPr id="11"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4940300" cy="4857750"/>
                          </a:xfrm>
                          <a:prstGeom prst="rect">
                            <a:avLst/>
                          </a:prstGeom>
                          <a:noFill/>
                          <a:ln>
                            <a:noFill/>
                          </a:ln>
                        </pic:spPr>
                      </pic:pic>
                    </a:graphicData>
                  </a:graphic>
                </wp:inline>
              </w:drawing>
            </w:r>
          </w:p>
          <w:p>
            <w:pPr>
              <w:spacing w:line="360" w:lineRule="auto"/>
              <w:ind w:firstLine="422" w:firstLineChars="200"/>
              <w:jc w:val="center"/>
              <w:rPr>
                <w:b/>
                <w:szCs w:val="21"/>
              </w:rPr>
            </w:pPr>
            <w:r>
              <w:rPr>
                <w:b/>
                <w:szCs w:val="21"/>
              </w:rPr>
              <w:t>图2-6 水基钻井液阶段作业流程及产污节点图</w:t>
            </w:r>
          </w:p>
          <w:p>
            <w:pPr>
              <w:spacing w:line="360" w:lineRule="auto"/>
              <w:ind w:firstLine="420" w:firstLineChars="200"/>
              <w:rPr>
                <w:szCs w:val="21"/>
              </w:rPr>
            </w:pPr>
            <w:r>
              <w:rPr>
                <w:szCs w:val="21"/>
              </w:rPr>
              <w:t>由上图可知，水基泥浆钻井阶段产生的主要污染物为钻机、柴油发电机组、泥浆泵、振动筛和离心机等设备产生的噪声，在沉淀罐清掏出的岩屑和在清洁化操作平台循环罐中经检测性能不满足使用要求的废水基泥浆；此外，钻井过程各钻井设备将使用润滑油，将产生少量油类。</w:t>
            </w:r>
          </w:p>
          <w:p>
            <w:pPr>
              <w:spacing w:line="360" w:lineRule="auto"/>
              <w:ind w:firstLine="420" w:firstLineChars="200"/>
              <w:rPr>
                <w:szCs w:val="21"/>
              </w:rPr>
            </w:pPr>
            <w:r>
              <w:rPr>
                <w:szCs w:val="21"/>
              </w:rPr>
              <w:t>（3）钻进辅助作业（测井、取心、录井）</w:t>
            </w:r>
          </w:p>
          <w:p>
            <w:pPr>
              <w:spacing w:line="360" w:lineRule="auto"/>
              <w:ind w:firstLine="420" w:firstLineChars="200"/>
              <w:rPr>
                <w:szCs w:val="21"/>
              </w:rPr>
            </w:pPr>
            <w:r>
              <w:rPr>
                <w:szCs w:val="21"/>
              </w:rPr>
              <w:t xml:space="preserve">测井是把利用电、磁、声、热等物理原理制造的各种测井仪器，由测井电缆下入井内，使地面电测仪可沿着井筒连续记录随深度变化的各种参数。通过表示这类参数的曲线，来识别地下的岩层，如油、气、水层、煤层、金属矿床等。 </w:t>
            </w:r>
          </w:p>
          <w:p>
            <w:pPr>
              <w:spacing w:line="360" w:lineRule="auto"/>
              <w:ind w:firstLine="420" w:firstLineChars="200"/>
              <w:rPr>
                <w:szCs w:val="21"/>
              </w:rPr>
            </w:pPr>
            <w:r>
              <w:rPr>
                <w:szCs w:val="21"/>
              </w:rPr>
              <w:t>取心是在钻井过程中使用特殊的取心工具把地下岩石成块地取到地面上来，这种成块的岩石叫做岩心，通过它可以测定岩石的各种性质，直观地研究地下构造和岩石沉积环境，了解其中的流体性质等。</w:t>
            </w:r>
          </w:p>
          <w:p>
            <w:pPr>
              <w:spacing w:line="360" w:lineRule="auto"/>
              <w:ind w:firstLine="420" w:firstLineChars="200"/>
              <w:rPr>
                <w:szCs w:val="21"/>
              </w:rPr>
            </w:pPr>
            <w:r>
              <w:rPr>
                <w:szCs w:val="21"/>
              </w:rPr>
              <w:t>录井是根据测井数据、现场录井数据及综合分析化验数据进行岩性解释、归位，确定含油、气、水产状。</w:t>
            </w:r>
          </w:p>
          <w:p>
            <w:pPr>
              <w:spacing w:line="360" w:lineRule="auto"/>
              <w:ind w:firstLine="420" w:firstLineChars="200"/>
              <w:rPr>
                <w:szCs w:val="21"/>
              </w:rPr>
            </w:pPr>
            <w:r>
              <w:rPr>
                <w:szCs w:val="21"/>
              </w:rPr>
              <w:t>测井、取心、录井主要为取样分析地质等情况，该过程基本不涉及污染物产生。</w:t>
            </w:r>
          </w:p>
          <w:p>
            <w:pPr>
              <w:spacing w:line="360" w:lineRule="auto"/>
              <w:ind w:firstLine="420" w:firstLineChars="200"/>
              <w:rPr>
                <w:szCs w:val="21"/>
              </w:rPr>
            </w:pPr>
            <w:r>
              <w:rPr>
                <w:szCs w:val="21"/>
              </w:rPr>
              <w:t>（4）固井作业</w:t>
            </w:r>
          </w:p>
          <w:p>
            <w:pPr>
              <w:spacing w:line="360" w:lineRule="auto"/>
              <w:ind w:firstLine="420" w:firstLineChars="200"/>
              <w:rPr>
                <w:szCs w:val="21"/>
              </w:rPr>
            </w:pPr>
            <w:r>
              <w:rPr>
                <w:szCs w:val="21"/>
              </w:rPr>
              <w:t>固井是钻井达到预定深度后，下入套管并注入水泥，在封固套管和井壁之间的环形空间的作业。固井的主要目的是封隔疏松的易塌、易漏地层；封隔油、气、水层，防止互相窜漏。固井作业的主要设备有水泥车、下灰罐车、混合漏斗和其他附属设备等。钻井过程中往往要下技术套管固井，它起的是“巩固后方，安全探路”的作用。</w:t>
            </w:r>
          </w:p>
          <w:p>
            <w:pPr>
              <w:spacing w:line="360" w:lineRule="auto"/>
              <w:ind w:firstLine="420" w:firstLineChars="200"/>
              <w:rPr>
                <w:szCs w:val="21"/>
              </w:rPr>
            </w:pPr>
            <w:r>
              <w:rPr>
                <w:szCs w:val="21"/>
              </w:rPr>
              <w:t>固井主要是注入水泥，基本无污染物产生，固井过程分为三步如下：</w:t>
            </w:r>
          </w:p>
          <w:p>
            <w:pPr>
              <w:spacing w:line="360" w:lineRule="auto"/>
              <w:ind w:firstLine="420" w:firstLineChars="200"/>
              <w:rPr>
                <w:szCs w:val="21"/>
              </w:rPr>
            </w:pPr>
            <w:bookmarkStart w:id="20" w:name="_Hlk69131074"/>
            <w:r>
              <w:rPr>
                <w:szCs w:val="21"/>
              </w:rPr>
              <w:t>下套管：套管有不同的尺寸和钢级。根据用途、地层预测压力和套管下入深度设计套管的强度，确定套管的使用壁厚、钢级和丝扣类型</w:t>
            </w:r>
            <w:bookmarkEnd w:id="20"/>
            <w:r>
              <w:rPr>
                <w:szCs w:val="21"/>
              </w:rPr>
              <w:t>。</w:t>
            </w:r>
          </w:p>
          <w:p>
            <w:pPr>
              <w:spacing w:line="360" w:lineRule="auto"/>
              <w:ind w:firstLine="420" w:firstLineChars="200"/>
              <w:rPr>
                <w:szCs w:val="21"/>
              </w:rPr>
            </w:pPr>
            <w:r>
              <w:rPr>
                <w:szCs w:val="21"/>
              </w:rPr>
              <w:t>注水泥：是套管下入井后的关键工序，其作用是将套管和井壁的环形空间封固起来，以封隔油气水层，使套管成为油气通向井中的通道。</w:t>
            </w:r>
          </w:p>
          <w:p>
            <w:pPr>
              <w:spacing w:line="360" w:lineRule="auto"/>
              <w:ind w:firstLine="420" w:firstLineChars="200"/>
              <w:rPr>
                <w:szCs w:val="21"/>
              </w:rPr>
            </w:pPr>
            <w:r>
              <w:rPr>
                <w:szCs w:val="21"/>
              </w:rPr>
              <w:t>套管试压是检查固井质量的重要组成。安装好套管头和接好防喷器及防喷管线后，做套管头密封的耐压力检查，和与防喷器联接的密封试压。探套管内水泥塞后要做套管柱的压力检验，钻穿套管5～10米后（表层套管）要做地层压裂试验。固井后要用声波检测固井质量。固井质量的全部指标合格后，才能进入到下一个作业程序。</w:t>
            </w:r>
          </w:p>
          <w:p>
            <w:pPr>
              <w:spacing w:line="360" w:lineRule="auto"/>
              <w:ind w:firstLine="420" w:firstLineChars="200"/>
              <w:rPr>
                <w:szCs w:val="21"/>
              </w:rPr>
            </w:pPr>
            <w:r>
              <w:rPr>
                <w:szCs w:val="21"/>
              </w:rPr>
              <w:t>另外，现场施工前根据实际情况要作水泥浆配方及性能复核试验，同时，如果是钻进中井漏严重，则应考虑采用双凝水泥浆体系固井，从而提高固井质量，防止因为井漏事故造成地下水环境污染。</w:t>
            </w:r>
          </w:p>
          <w:p>
            <w:pPr>
              <w:spacing w:line="360" w:lineRule="auto"/>
              <w:ind w:firstLine="420" w:firstLineChars="200"/>
              <w:rPr>
                <w:szCs w:val="21"/>
              </w:rPr>
            </w:pPr>
            <w:r>
              <w:rPr>
                <w:szCs w:val="21"/>
              </w:rPr>
              <w:t>（5）完钻设备搬迁</w:t>
            </w:r>
          </w:p>
          <w:p>
            <w:pPr>
              <w:spacing w:line="360" w:lineRule="auto"/>
              <w:ind w:firstLine="420" w:firstLineChars="200"/>
              <w:rPr>
                <w:szCs w:val="21"/>
              </w:rPr>
            </w:pPr>
            <w:r>
              <w:rPr>
                <w:szCs w:val="21"/>
              </w:rPr>
              <w:t>当钻井钻至目的层后，将对气井进行压裂测试作业，在进行压裂测试作业前需对钻井设备进行搬迁，为下一步压裂测试</w:t>
            </w:r>
            <w:r>
              <w:rPr>
                <w:rFonts w:hint="eastAsia"/>
                <w:szCs w:val="21"/>
                <w:lang w:eastAsia="zh-CN"/>
              </w:rPr>
              <w:t>做准备</w:t>
            </w:r>
            <w:r>
              <w:rPr>
                <w:szCs w:val="21"/>
              </w:rPr>
              <w:t>。</w:t>
            </w:r>
          </w:p>
          <w:p>
            <w:pPr>
              <w:spacing w:line="360" w:lineRule="auto"/>
              <w:ind w:firstLine="420" w:firstLineChars="200"/>
              <w:rPr>
                <w:szCs w:val="21"/>
              </w:rPr>
            </w:pPr>
            <w:r>
              <w:rPr>
                <w:szCs w:val="21"/>
              </w:rPr>
              <w:t>2、压裂测试工程作业工艺流程</w:t>
            </w:r>
          </w:p>
          <w:p>
            <w:pPr>
              <w:spacing w:line="360" w:lineRule="auto"/>
              <w:ind w:firstLine="420" w:firstLineChars="200"/>
              <w:rPr>
                <w:szCs w:val="21"/>
              </w:rPr>
            </w:pPr>
            <w:r>
              <w:rPr>
                <w:szCs w:val="21"/>
              </w:rPr>
              <w:t>当钻井钻至目的层后，将对气井进行压裂测试作业，以取得该井施工段流体性质、测试产能、地层压力等详细工程资料。压裂测试作业包括洗井、射孔、压裂和测试放喷等过程，其作业工艺流程下图。</w:t>
            </w:r>
          </w:p>
          <w:p>
            <w:pPr>
              <w:rPr>
                <w:szCs w:val="21"/>
              </w:rPr>
            </w:pPr>
            <w:r>
              <w:rPr>
                <w:szCs w:val="21"/>
              </w:rPr>
              <w:drawing>
                <wp:inline distT="0" distB="0" distL="0" distR="0">
                  <wp:extent cx="4933950" cy="1460500"/>
                  <wp:effectExtent l="0" t="0" r="0" b="0"/>
                  <wp:docPr id="12"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5"/>
                          <pic:cNvPicPr>
                            <a:picLocks noChangeAspect="1" noChangeArrowheads="1"/>
                          </pic:cNvPicPr>
                        </pic:nvPicPr>
                        <pic:blipFill>
                          <a:blip r:embed="rId14" cstate="print">
                            <a:extLst>
                              <a:ext uri="{28A0092B-C50C-407E-A947-70E740481C1C}">
                                <a14:useLocalDpi xmlns:a14="http://schemas.microsoft.com/office/drawing/2010/main" val="0"/>
                              </a:ext>
                            </a:extLst>
                          </a:blip>
                          <a:srcRect b="6490"/>
                          <a:stretch>
                            <a:fillRect/>
                          </a:stretch>
                        </pic:blipFill>
                        <pic:spPr>
                          <a:xfrm>
                            <a:off x="0" y="0"/>
                            <a:ext cx="4933950" cy="1460500"/>
                          </a:xfrm>
                          <a:prstGeom prst="rect">
                            <a:avLst/>
                          </a:prstGeom>
                          <a:noFill/>
                          <a:ln>
                            <a:noFill/>
                          </a:ln>
                        </pic:spPr>
                      </pic:pic>
                    </a:graphicData>
                  </a:graphic>
                </wp:inline>
              </w:drawing>
            </w:r>
          </w:p>
          <w:p>
            <w:pPr>
              <w:spacing w:line="360" w:lineRule="auto"/>
              <w:ind w:firstLine="422" w:firstLineChars="200"/>
              <w:jc w:val="center"/>
              <w:rPr>
                <w:b/>
                <w:szCs w:val="21"/>
              </w:rPr>
            </w:pPr>
            <w:r>
              <w:rPr>
                <w:b/>
                <w:szCs w:val="21"/>
              </w:rPr>
              <w:t>图2-8 压裂测试作业工艺流程及产污示意图</w:t>
            </w:r>
          </w:p>
          <w:p>
            <w:pPr>
              <w:spacing w:line="360" w:lineRule="auto"/>
              <w:ind w:firstLine="420" w:firstLineChars="200"/>
              <w:rPr>
                <w:szCs w:val="21"/>
              </w:rPr>
            </w:pPr>
            <w:r>
              <w:rPr>
                <w:szCs w:val="21"/>
              </w:rPr>
              <w:t>（1）洗井</w:t>
            </w:r>
          </w:p>
          <w:p>
            <w:pPr>
              <w:spacing w:line="360" w:lineRule="auto"/>
              <w:ind w:firstLine="420" w:firstLineChars="200"/>
              <w:rPr>
                <w:szCs w:val="21"/>
              </w:rPr>
            </w:pPr>
            <w:r>
              <w:rPr>
                <w:szCs w:val="21"/>
              </w:rPr>
              <w:t>本项目在进行压裂测试前将对气井进行洗井作业，替换井下的泥浆，为下一步压裂作业做准备。</w:t>
            </w:r>
          </w:p>
          <w:p>
            <w:pPr>
              <w:spacing w:line="360" w:lineRule="auto"/>
              <w:ind w:firstLine="420" w:firstLineChars="200"/>
              <w:rPr>
                <w:szCs w:val="21"/>
              </w:rPr>
            </w:pPr>
            <w:r>
              <w:rPr>
                <w:szCs w:val="21"/>
              </w:rPr>
              <w:t>（2）射孔完井</w:t>
            </w:r>
          </w:p>
          <w:p>
            <w:pPr>
              <w:spacing w:line="360" w:lineRule="auto"/>
              <w:ind w:firstLine="420" w:firstLineChars="200"/>
              <w:rPr>
                <w:szCs w:val="21"/>
              </w:rPr>
            </w:pPr>
            <w:r>
              <w:rPr>
                <w:szCs w:val="21"/>
              </w:rPr>
              <w:t>本工程采用射孔完井方式。射孔完井是目前国内外使用最广泛的完井方法。射孔技术是将射孔专用设备送至井下预定深度，对准目的层引爆射孔器，射孔弹被导爆索引爆后，产生高温、高压冲击波，从而穿透套管、水泥环进入地层，形成一个孔道，构成目的层至套管内连通的一项技术。射穿产层后油气井的生产能力受产层压力、产层性质、射孔参数及质量影响。</w:t>
            </w:r>
          </w:p>
          <w:p>
            <w:pPr>
              <w:spacing w:line="360" w:lineRule="auto"/>
              <w:ind w:firstLine="420" w:firstLineChars="200"/>
              <w:rPr>
                <w:szCs w:val="21"/>
              </w:rPr>
            </w:pPr>
            <w:r>
              <w:rPr>
                <w:szCs w:val="21"/>
              </w:rPr>
              <w:t>（3）压裂作业</w:t>
            </w:r>
          </w:p>
          <w:p>
            <w:pPr>
              <w:spacing w:line="360" w:lineRule="auto"/>
              <w:ind w:firstLine="420" w:firstLineChars="200"/>
              <w:rPr>
                <w:szCs w:val="21"/>
              </w:rPr>
            </w:pPr>
            <w:r>
              <w:rPr>
                <w:szCs w:val="21"/>
              </w:rPr>
              <w:t>射孔后，为提高目的层的渗透能力，实施压裂作业。本工程采用酸化压裂，是在高于地层破裂压力下用酸液作为压裂液，进行不加支撑剂的压裂。酸压过程中靠酸液的溶蚀作用将裂缝的壁面溶蚀成凹凸不平的表面，以使停泵卸压后，裂缝壁面不会完全闭合。因此，具有较高的导流能力，对恢复和提高井生产能力，效果明显。压裂测试工程时间约1个月。压裂作业过程见下图。</w:t>
            </w:r>
          </w:p>
          <w:p>
            <w:pPr>
              <w:rPr>
                <w:szCs w:val="21"/>
              </w:rPr>
            </w:pPr>
            <w:r>
              <w:rPr>
                <w:szCs w:val="21"/>
              </w:rPr>
              <w:drawing>
                <wp:inline distT="0" distB="0" distL="0" distR="0">
                  <wp:extent cx="4933950" cy="1879600"/>
                  <wp:effectExtent l="0" t="0" r="0" b="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4933950" cy="1879600"/>
                          </a:xfrm>
                          <a:prstGeom prst="rect">
                            <a:avLst/>
                          </a:prstGeom>
                          <a:noFill/>
                          <a:ln>
                            <a:noFill/>
                          </a:ln>
                        </pic:spPr>
                      </pic:pic>
                    </a:graphicData>
                  </a:graphic>
                </wp:inline>
              </w:drawing>
            </w:r>
          </w:p>
          <w:p>
            <w:pPr>
              <w:spacing w:line="360" w:lineRule="auto"/>
              <w:ind w:firstLine="422" w:firstLineChars="200"/>
              <w:jc w:val="center"/>
              <w:rPr>
                <w:b/>
                <w:szCs w:val="21"/>
              </w:rPr>
            </w:pPr>
            <w:r>
              <w:rPr>
                <w:b/>
                <w:szCs w:val="21"/>
              </w:rPr>
              <w:t>图2-9压裂作业过程示意图</w:t>
            </w:r>
          </w:p>
          <w:p>
            <w:pPr>
              <w:spacing w:line="360" w:lineRule="auto"/>
              <w:ind w:firstLine="420" w:firstLineChars="200"/>
              <w:rPr>
                <w:szCs w:val="21"/>
              </w:rPr>
            </w:pPr>
            <w:r>
              <w:rPr>
                <w:szCs w:val="21"/>
              </w:rPr>
              <w:t>本工程对返排出的压裂废水（也叫压裂返排液）经场内预处理后于应急池，最终运至四川瑞利生物科技有限公司处置。类比川渝地区已钻井压裂产排情况，返排周期一般为7天，工艺上可通过控制放喷阀门的尺寸控制返排量，本项目预计压裂测试作业时间约1个月。</w:t>
            </w:r>
          </w:p>
          <w:p>
            <w:pPr>
              <w:spacing w:line="360" w:lineRule="auto"/>
              <w:ind w:firstLine="420" w:firstLineChars="200"/>
              <w:rPr>
                <w:szCs w:val="21"/>
              </w:rPr>
            </w:pPr>
            <w:r>
              <w:rPr>
                <w:szCs w:val="21"/>
              </w:rPr>
              <w:t>（4）测试放喷</w:t>
            </w:r>
          </w:p>
          <w:p>
            <w:pPr>
              <w:spacing w:line="360" w:lineRule="auto"/>
              <w:ind w:firstLine="420" w:firstLineChars="200"/>
              <w:rPr>
                <w:szCs w:val="21"/>
              </w:rPr>
            </w:pPr>
            <w:r>
              <w:rPr>
                <w:szCs w:val="21"/>
              </w:rPr>
              <w:t>为了解气井的产气量，在完井及压裂后，需进行测试放喷。测试放喷是在射孔、压裂作业后，利用测试放喷专用管线将井内天然气引至放喷池点火燃烧对天然气井进行产量测试的过程。测试放喷时间约3天，依据测试气量，间歇性放喷，每次持续放喷时间约4~6h，废气排放属不连续排放。</w:t>
            </w:r>
          </w:p>
          <w:p>
            <w:pPr>
              <w:spacing w:line="360" w:lineRule="auto"/>
              <w:ind w:firstLine="420" w:firstLineChars="200"/>
              <w:rPr>
                <w:szCs w:val="21"/>
              </w:rPr>
            </w:pPr>
            <w:r>
              <w:rPr>
                <w:szCs w:val="21"/>
              </w:rPr>
              <w:t>3、完井搬迁及井场清理</w:t>
            </w:r>
          </w:p>
          <w:p>
            <w:pPr>
              <w:spacing w:line="360" w:lineRule="auto"/>
              <w:ind w:firstLine="420" w:firstLineChars="200"/>
              <w:rPr>
                <w:szCs w:val="21"/>
              </w:rPr>
            </w:pPr>
            <w:r>
              <w:rPr>
                <w:szCs w:val="21"/>
              </w:rPr>
              <w:t>若在勘探过程中，若该井不产油气或无工业开采价值，则将进行封井处理及完井后的设备搬迁工作。封井处理为全井段注入水泥封井，其中在可能的产气层段上部注入高标号水泥，形成水泥塞，封隔可能的工业气流产层。在封井井口套管头上安装丝扣法兰，并在井口周边修建围墙，围墙上设置醒目的警示标志，加以保护，防止人为破坏。完井测试结果若表明该井有工业开采价值，则在井口安装采气装置正常生产，地面采气工程应根据《关于进一步加强石油天然气行业环境影响评价管理的通知》（环办环评函﹝2019﹞910号）的相关规定另行开展环评。</w:t>
            </w:r>
          </w:p>
          <w:p>
            <w:pPr>
              <w:spacing w:line="360" w:lineRule="auto"/>
              <w:ind w:firstLine="420" w:firstLineChars="200"/>
              <w:rPr>
                <w:szCs w:val="21"/>
              </w:rPr>
            </w:pPr>
            <w:r>
              <w:rPr>
                <w:szCs w:val="21"/>
              </w:rPr>
              <w:t>完井搬迁主要包括设备搬迁和设施拆除，设备搬迁完成后即对场地内设施进行拆除，如清除场地碎石、拆除硬化地面、清挖设备基础等。完井搬迁前钻后污染物和场地碎石、硬化地面及防渗等设施拆除废物应得到妥善处理，做到工完、料净、场地清，放弃的井场应尽可能地恢复其原来的土地利用状况或者按土地承包人的意愿转换土地用途（如保留水泥/硬地面作为谷场等）。建设方依法办理环保手续并按照钻井井场环保标准进行验收，验收合格方可交井，并对后续可能出现的环保问题负责。</w:t>
            </w:r>
          </w:p>
          <w:p>
            <w:pPr>
              <w:spacing w:line="360" w:lineRule="auto"/>
              <w:ind w:firstLine="420" w:firstLineChars="200"/>
              <w:rPr>
                <w:szCs w:val="21"/>
              </w:rPr>
            </w:pPr>
            <w:r>
              <w:rPr>
                <w:szCs w:val="21"/>
              </w:rPr>
              <w:t>复垦后应满足《土地复垦质量控制标准》（TD/T1036-2013）中规定的要求，即：</w:t>
            </w:r>
          </w:p>
          <w:p>
            <w:pPr>
              <w:spacing w:line="360" w:lineRule="auto"/>
              <w:ind w:firstLine="420"/>
              <w:rPr>
                <w:szCs w:val="21"/>
              </w:rPr>
            </w:pPr>
            <w:r>
              <w:rPr>
                <w:szCs w:val="21"/>
              </w:rPr>
              <w:t>旱地田面坡度不得超过25°。复垦地为水浇地、水田时，地面坡度不宜超过15°。</w:t>
            </w:r>
          </w:p>
          <w:p>
            <w:pPr>
              <w:spacing w:line="360" w:lineRule="auto"/>
              <w:ind w:firstLine="420" w:firstLineChars="200"/>
              <w:rPr>
                <w:szCs w:val="21"/>
              </w:rPr>
            </w:pPr>
            <w:r>
              <w:rPr>
                <w:szCs w:val="21"/>
              </w:rPr>
              <w:t>有效土层厚度大于40cm，土壤具有较好的肥力，土壤环境质量符合《土壤环境质量农用地土壤污染风险管控标准（试行）》（GB15618-2018）规定的风险筛选值。</w:t>
            </w:r>
          </w:p>
          <w:p>
            <w:pPr>
              <w:spacing w:line="360" w:lineRule="auto"/>
              <w:ind w:firstLine="420" w:firstLineChars="200"/>
              <w:rPr>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6" w:hRule="atLeast"/>
          <w:jc w:val="center"/>
        </w:trPr>
        <w:tc>
          <w:tcPr>
            <w:tcW w:w="959" w:type="dxa"/>
            <w:vAlign w:val="center"/>
          </w:tcPr>
          <w:p>
            <w:pPr>
              <w:pStyle w:val="155"/>
              <w:spacing w:line="240" w:lineRule="auto"/>
              <w:ind w:firstLine="0"/>
              <w:jc w:val="center"/>
              <w:rPr>
                <w:rFonts w:ascii="Times New Roman" w:hAnsi="Times New Roman"/>
                <w:bCs/>
                <w:sz w:val="21"/>
                <w:szCs w:val="21"/>
              </w:rPr>
            </w:pPr>
            <w:r>
              <w:rPr>
                <w:rFonts w:ascii="Times New Roman" w:hAnsi="Times New Roman"/>
                <w:bCs/>
                <w:sz w:val="21"/>
                <w:szCs w:val="21"/>
              </w:rPr>
              <w:t>其他</w:t>
            </w:r>
          </w:p>
        </w:tc>
        <w:tc>
          <w:tcPr>
            <w:tcW w:w="7989" w:type="dxa"/>
            <w:vAlign w:val="center"/>
          </w:tcPr>
          <w:p>
            <w:pPr>
              <w:pStyle w:val="155"/>
              <w:spacing w:line="360" w:lineRule="auto"/>
              <w:ind w:firstLine="420" w:firstLineChars="200"/>
              <w:jc w:val="center"/>
              <w:rPr>
                <w:rFonts w:ascii="Times New Roman" w:hAnsi="Times New Roman"/>
                <w:bCs/>
                <w:sz w:val="21"/>
                <w:szCs w:val="21"/>
              </w:rPr>
            </w:pPr>
            <w:r>
              <w:rPr>
                <w:rFonts w:ascii="Times New Roman" w:hAnsi="Times New Roman"/>
                <w:bCs/>
                <w:sz w:val="21"/>
                <w:szCs w:val="21"/>
              </w:rPr>
              <w:t>无</w:t>
            </w:r>
          </w:p>
        </w:tc>
      </w:tr>
    </w:tbl>
    <w:p>
      <w:pPr>
        <w:pStyle w:val="36"/>
        <w:jc w:val="center"/>
        <w:outlineLvl w:val="0"/>
        <w:rPr>
          <w:rFonts w:ascii="Times New Roman" w:hAnsi="Times New Roman" w:eastAsia="仿宋_GB2312"/>
          <w:b/>
          <w:bCs/>
          <w:sz w:val="21"/>
          <w:szCs w:val="21"/>
        </w:rPr>
        <w:sectPr>
          <w:pgSz w:w="11906" w:h="16838"/>
          <w:pgMar w:top="1701" w:right="1531" w:bottom="1701" w:left="1531" w:header="851" w:footer="1077" w:gutter="0"/>
          <w:cols w:space="720" w:num="1"/>
          <w:docGrid w:linePitch="312" w:charSpace="0"/>
        </w:sectPr>
      </w:pPr>
    </w:p>
    <w:p>
      <w:pPr>
        <w:pStyle w:val="36"/>
        <w:jc w:val="center"/>
        <w:outlineLvl w:val="0"/>
        <w:rPr>
          <w:rFonts w:ascii="Times New Roman" w:hAnsi="Times New Roman" w:eastAsia="黑体"/>
          <w:snapToGrid w:val="0"/>
          <w:sz w:val="21"/>
          <w:szCs w:val="21"/>
        </w:rPr>
      </w:pPr>
      <w:r>
        <w:rPr>
          <w:rFonts w:ascii="Times New Roman" w:hAnsi="Times New Roman" w:eastAsia="黑体"/>
          <w:snapToGrid w:val="0"/>
          <w:sz w:val="21"/>
          <w:szCs w:val="21"/>
        </w:rPr>
        <w:t>三、生态环境现状、保护目标及评价标准</w:t>
      </w:r>
    </w:p>
    <w:tbl>
      <w:tblPr>
        <w:tblStyle w:val="4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04"/>
        <w:gridCol w:w="825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31" w:hRule="atLeast"/>
          <w:jc w:val="center"/>
        </w:trPr>
        <w:tc>
          <w:tcPr>
            <w:tcW w:w="904" w:type="dxa"/>
            <w:vAlign w:val="center"/>
          </w:tcPr>
          <w:p>
            <w:pPr>
              <w:adjustRightInd w:val="0"/>
              <w:snapToGrid w:val="0"/>
              <w:jc w:val="center"/>
              <w:rPr>
                <w:kern w:val="0"/>
                <w:szCs w:val="21"/>
              </w:rPr>
            </w:pPr>
            <w:r>
              <w:rPr>
                <w:kern w:val="0"/>
                <w:szCs w:val="21"/>
              </w:rPr>
              <w:t>生态环境现状</w:t>
            </w:r>
          </w:p>
        </w:tc>
        <w:tc>
          <w:tcPr>
            <w:tcW w:w="8253" w:type="dxa"/>
            <w:vAlign w:val="center"/>
          </w:tcPr>
          <w:p>
            <w:pPr>
              <w:adjustRightInd w:val="0"/>
              <w:snapToGrid w:val="0"/>
              <w:spacing w:line="360" w:lineRule="auto"/>
              <w:rPr>
                <w:b/>
                <w:bCs/>
                <w:kern w:val="0"/>
                <w:szCs w:val="21"/>
              </w:rPr>
            </w:pPr>
            <w:r>
              <w:rPr>
                <w:b/>
                <w:bCs/>
                <w:kern w:val="0"/>
                <w:szCs w:val="21"/>
              </w:rPr>
              <w:t>3.1生态功能区划</w:t>
            </w:r>
          </w:p>
          <w:p>
            <w:pPr>
              <w:adjustRightInd w:val="0"/>
              <w:snapToGrid w:val="0"/>
              <w:spacing w:line="360" w:lineRule="auto"/>
              <w:ind w:firstLine="420" w:firstLineChars="200"/>
              <w:rPr>
                <w:color w:val="FF0000"/>
                <w:szCs w:val="21"/>
              </w:rPr>
            </w:pPr>
            <w:r>
              <w:rPr>
                <w:rFonts w:hint="eastAsia"/>
                <w:szCs w:val="21"/>
              </w:rPr>
              <w:t>根据《四川省生态功能区划》，项目所在地属于“Ⅰ四川盆地亚热带湿润气候生态区、Ⅰ-2盆中丘陵农林复合生态亚区、Ⅰ-2-1盆北深丘农林也与土壤保持生态功能区”。该生态功能区主要生态特征为深切低山丘陵地貌，海拔460~1400米：山地气候垂直变化明显，年平均气温13.5~15.7℃，≥10℃的活动积温4240~4910℃，年平均降水量为560~1420毫米。跨嘉陵江干流和渠江两大水系。森林植被主要为马尾松林、柏木林、栎类林和栎类灌丛。生物多样性及矿产资源较丰富，主要生态问题为水土流失较严重，滑坡崩塌中等发育，主要生态服务功能为农林产品提供功能，土壤保持功能，生态保护与发展方向为巩固长江上游防护林建设、天然林保护和退耕还林成果。发挥山区资源优势，建立商品林基地，保护野生生物资源，发展生态农业和中药材产业。建设以天然气为主的基础原料和能源化工基地。开发人文景观资源，发展旅游业及相关产业链。用地养地结合，加强水土保持建设。严禁无序开发矿产、水力、生物资源。</w:t>
            </w:r>
            <w:r>
              <w:rPr>
                <w:szCs w:val="21"/>
              </w:rPr>
              <w:t>。</w:t>
            </w:r>
          </w:p>
          <w:p>
            <w:pPr>
              <w:adjustRightInd w:val="0"/>
              <w:snapToGrid w:val="0"/>
              <w:spacing w:line="360" w:lineRule="auto"/>
              <w:ind w:firstLine="420" w:firstLineChars="200"/>
              <w:rPr>
                <w:kern w:val="0"/>
                <w:szCs w:val="21"/>
              </w:rPr>
            </w:pPr>
            <w:r>
              <w:rPr>
                <w:szCs w:val="21"/>
              </w:rPr>
              <w:t>根据调查踏勘，工程所在地属于农村生态环境</w:t>
            </w:r>
            <w:r>
              <w:rPr>
                <w:rFonts w:hint="eastAsia"/>
                <w:szCs w:val="21"/>
              </w:rPr>
              <w:t>，</w:t>
            </w:r>
            <w:r>
              <w:rPr>
                <w:szCs w:val="21"/>
              </w:rPr>
              <w:t>生态系统较稳定，承受干扰的能力较强，目前受人类活动影响明显，生态系统单一，结构简单，环境异质性差。区域内以人工生境为主，易于恢复，项目不在自然保护区、风景名胜区等环境敏感区域范围内。项目所在地动物较少，主要有少量人工饲养的猪、牛、兔、鸡、鹅等家畜和少量野生鼠类、鸟类动物，未见大型野生哺乳动物，未见珍稀濒危保护野生动物分布。区域内无天然珍稀野生动、植物分布，该区域缺少生物物种的种群源，自然组分的调控能力弱</w:t>
            </w:r>
            <w:r>
              <w:rPr>
                <w:kern w:val="0"/>
                <w:szCs w:val="21"/>
              </w:rPr>
              <w:t>。</w:t>
            </w:r>
          </w:p>
          <w:p>
            <w:pPr>
              <w:adjustRightInd w:val="0"/>
              <w:snapToGrid w:val="0"/>
              <w:spacing w:line="360" w:lineRule="auto"/>
              <w:rPr>
                <w:b/>
                <w:bCs/>
                <w:kern w:val="0"/>
                <w:szCs w:val="21"/>
              </w:rPr>
            </w:pPr>
            <w:r>
              <w:rPr>
                <w:b/>
                <w:bCs/>
                <w:kern w:val="0"/>
                <w:szCs w:val="21"/>
              </w:rPr>
              <w:t>3.2环境质量现状</w:t>
            </w:r>
          </w:p>
          <w:p>
            <w:pPr>
              <w:pStyle w:val="339"/>
              <w:ind w:firstLine="420"/>
              <w:rPr>
                <w:szCs w:val="21"/>
              </w:rPr>
            </w:pPr>
            <w:r>
              <w:rPr>
                <w:szCs w:val="21"/>
              </w:rPr>
              <w:t>1、大气环境</w:t>
            </w:r>
          </w:p>
          <w:p>
            <w:pPr>
              <w:pStyle w:val="339"/>
              <w:ind w:firstLine="420"/>
              <w:rPr>
                <w:szCs w:val="21"/>
              </w:rPr>
            </w:pPr>
            <w:r>
              <w:rPr>
                <w:szCs w:val="21"/>
              </w:rPr>
              <w:t>（1）达标区判定</w:t>
            </w:r>
          </w:p>
          <w:p>
            <w:pPr>
              <w:adjustRightInd w:val="0"/>
              <w:snapToGrid w:val="0"/>
              <w:spacing w:line="360" w:lineRule="auto"/>
              <w:ind w:firstLine="420" w:firstLineChars="200"/>
              <w:rPr>
                <w:kern w:val="0"/>
                <w:szCs w:val="21"/>
              </w:rPr>
            </w:pPr>
            <w:r>
              <w:rPr>
                <w:kern w:val="0"/>
                <w:szCs w:val="21"/>
              </w:rPr>
              <w:t>根据《环境影响评价导则大气环境》（HJ2.2-2018）要求，本次环境空气质量引用达州市</w:t>
            </w:r>
            <w:r>
              <w:rPr>
                <w:rFonts w:hint="eastAsia"/>
                <w:kern w:val="0"/>
                <w:szCs w:val="21"/>
              </w:rPr>
              <w:t>通川</w:t>
            </w:r>
            <w:r>
              <w:rPr>
                <w:kern w:val="0"/>
                <w:szCs w:val="21"/>
              </w:rPr>
              <w:t>区生态环境局发布</w:t>
            </w:r>
            <w:r>
              <w:rPr>
                <w:rFonts w:hint="eastAsia"/>
                <w:kern w:val="0"/>
                <w:szCs w:val="21"/>
              </w:rPr>
              <w:t>的</w:t>
            </w:r>
            <w:r>
              <w:rPr>
                <w:kern w:val="0"/>
                <w:szCs w:val="21"/>
              </w:rPr>
              <w:t>《</w:t>
            </w:r>
            <w:r>
              <w:rPr>
                <w:rFonts w:hint="eastAsia"/>
                <w:kern w:val="0"/>
                <w:szCs w:val="21"/>
              </w:rPr>
              <w:t>达州市通川区2021年度空气质量通报</w:t>
            </w:r>
            <w:r>
              <w:rPr>
                <w:kern w:val="0"/>
                <w:szCs w:val="21"/>
              </w:rPr>
              <w:t>》（2022年3月8日发布）环境空气质量现状数据进行评价。</w:t>
            </w:r>
          </w:p>
          <w:p>
            <w:pPr>
              <w:pStyle w:val="331"/>
              <w:numPr>
                <w:ilvl w:val="0"/>
                <w:numId w:val="6"/>
              </w:numPr>
              <w:adjustRightInd w:val="0"/>
              <w:snapToGrid w:val="0"/>
              <w:spacing w:line="360" w:lineRule="auto"/>
              <w:ind w:left="0" w:firstLine="0" w:firstLineChars="0"/>
              <w:jc w:val="center"/>
              <w:rPr>
                <w:b/>
                <w:bCs/>
                <w:kern w:val="0"/>
                <w:szCs w:val="21"/>
              </w:rPr>
            </w:pPr>
            <w:r>
              <w:rPr>
                <w:rFonts w:hint="eastAsia"/>
                <w:b/>
                <w:bCs/>
                <w:kern w:val="0"/>
                <w:szCs w:val="21"/>
              </w:rPr>
              <w:t>达州市通川区</w:t>
            </w:r>
            <w:r>
              <w:rPr>
                <w:b/>
                <w:bCs/>
                <w:kern w:val="0"/>
                <w:szCs w:val="21"/>
              </w:rPr>
              <w:t>空气质量现状评价表</w:t>
            </w:r>
          </w:p>
          <w:tbl>
            <w:tblPr>
              <w:tblStyle w:val="42"/>
              <w:tblW w:w="80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607"/>
              <w:gridCol w:w="1479"/>
              <w:gridCol w:w="1139"/>
              <w:gridCol w:w="1042"/>
              <w:gridCol w:w="9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860" w:type="dxa"/>
                  <w:vAlign w:val="center"/>
                </w:tcPr>
                <w:p>
                  <w:pPr>
                    <w:pStyle w:val="340"/>
                  </w:pPr>
                  <w:r>
                    <w:t>污染物</w:t>
                  </w:r>
                </w:p>
              </w:tc>
              <w:tc>
                <w:tcPr>
                  <w:tcW w:w="2607" w:type="dxa"/>
                  <w:vAlign w:val="center"/>
                </w:tcPr>
                <w:p>
                  <w:pPr>
                    <w:pStyle w:val="340"/>
                  </w:pPr>
                  <w:r>
                    <w:t>年评价指标</w:t>
                  </w:r>
                </w:p>
              </w:tc>
              <w:tc>
                <w:tcPr>
                  <w:tcW w:w="1479" w:type="dxa"/>
                  <w:vAlign w:val="center"/>
                </w:tcPr>
                <w:p>
                  <w:pPr>
                    <w:pStyle w:val="340"/>
                  </w:pPr>
                  <w:r>
                    <w:t>现状浓度/(μg/m</w:t>
                  </w:r>
                  <w:r>
                    <w:rPr>
                      <w:vertAlign w:val="superscript"/>
                    </w:rPr>
                    <w:t>3</w:t>
                  </w:r>
                  <w:r>
                    <w:t>)</w:t>
                  </w:r>
                </w:p>
              </w:tc>
              <w:tc>
                <w:tcPr>
                  <w:tcW w:w="1139" w:type="dxa"/>
                  <w:vAlign w:val="center"/>
                </w:tcPr>
                <w:p>
                  <w:pPr>
                    <w:pStyle w:val="340"/>
                  </w:pPr>
                  <w:r>
                    <w:t>标准值/(μg/m</w:t>
                  </w:r>
                  <w:r>
                    <w:rPr>
                      <w:vertAlign w:val="superscript"/>
                    </w:rPr>
                    <w:t>3</w:t>
                  </w:r>
                  <w:r>
                    <w:t>)</w:t>
                  </w:r>
                </w:p>
              </w:tc>
              <w:tc>
                <w:tcPr>
                  <w:tcW w:w="1042" w:type="dxa"/>
                  <w:vAlign w:val="center"/>
                </w:tcPr>
                <w:p>
                  <w:pPr>
                    <w:pStyle w:val="340"/>
                  </w:pPr>
                  <w:r>
                    <w:t>占标率/%</w:t>
                  </w:r>
                </w:p>
              </w:tc>
              <w:tc>
                <w:tcPr>
                  <w:tcW w:w="942" w:type="dxa"/>
                  <w:vAlign w:val="center"/>
                </w:tcPr>
                <w:p>
                  <w:pPr>
                    <w:pStyle w:val="340"/>
                  </w:pPr>
                  <w: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860" w:type="dxa"/>
                  <w:vAlign w:val="center"/>
                </w:tcPr>
                <w:p>
                  <w:pPr>
                    <w:pStyle w:val="340"/>
                  </w:pPr>
                  <w:r>
                    <w:t>PM</w:t>
                  </w:r>
                  <w:r>
                    <w:rPr>
                      <w:vertAlign w:val="subscript"/>
                    </w:rPr>
                    <w:t>10</w:t>
                  </w:r>
                </w:p>
              </w:tc>
              <w:tc>
                <w:tcPr>
                  <w:tcW w:w="2607" w:type="dxa"/>
                  <w:vAlign w:val="center"/>
                </w:tcPr>
                <w:p>
                  <w:pPr>
                    <w:pStyle w:val="340"/>
                  </w:pPr>
                  <w:r>
                    <w:t>2021年平均质量浓度</w:t>
                  </w:r>
                </w:p>
              </w:tc>
              <w:tc>
                <w:tcPr>
                  <w:tcW w:w="1479" w:type="dxa"/>
                  <w:vAlign w:val="center"/>
                </w:tcPr>
                <w:p>
                  <w:pPr>
                    <w:pStyle w:val="340"/>
                  </w:pPr>
                  <w:r>
                    <w:t>54</w:t>
                  </w:r>
                </w:p>
              </w:tc>
              <w:tc>
                <w:tcPr>
                  <w:tcW w:w="1139" w:type="dxa"/>
                  <w:vAlign w:val="center"/>
                </w:tcPr>
                <w:p>
                  <w:pPr>
                    <w:pStyle w:val="340"/>
                  </w:pPr>
                  <w:r>
                    <w:t>70</w:t>
                  </w:r>
                </w:p>
              </w:tc>
              <w:tc>
                <w:tcPr>
                  <w:tcW w:w="1042" w:type="dxa"/>
                  <w:vAlign w:val="center"/>
                </w:tcPr>
                <w:p>
                  <w:pPr>
                    <w:widowControl/>
                    <w:jc w:val="center"/>
                    <w:rPr>
                      <w:color w:val="000000"/>
                      <w:kern w:val="0"/>
                      <w:sz w:val="22"/>
                      <w:szCs w:val="22"/>
                    </w:rPr>
                  </w:pPr>
                  <w:r>
                    <w:rPr>
                      <w:rFonts w:hint="eastAsia"/>
                      <w:color w:val="000000"/>
                      <w:sz w:val="22"/>
                      <w:szCs w:val="22"/>
                    </w:rPr>
                    <w:t>77</w:t>
                  </w:r>
                </w:p>
              </w:tc>
              <w:tc>
                <w:tcPr>
                  <w:tcW w:w="942" w:type="dxa"/>
                  <w:vAlign w:val="center"/>
                </w:tcPr>
                <w:p>
                  <w:pPr>
                    <w:pStyle w:val="340"/>
                  </w:pPr>
                  <w: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860" w:type="dxa"/>
                  <w:vAlign w:val="center"/>
                </w:tcPr>
                <w:p>
                  <w:pPr>
                    <w:pStyle w:val="340"/>
                  </w:pPr>
                  <w:r>
                    <w:t>SO</w:t>
                  </w:r>
                  <w:r>
                    <w:rPr>
                      <w:vertAlign w:val="subscript"/>
                    </w:rPr>
                    <w:t>2</w:t>
                  </w:r>
                </w:p>
              </w:tc>
              <w:tc>
                <w:tcPr>
                  <w:tcW w:w="2607" w:type="dxa"/>
                  <w:vAlign w:val="center"/>
                </w:tcPr>
                <w:p>
                  <w:pPr>
                    <w:pStyle w:val="340"/>
                  </w:pPr>
                  <w:r>
                    <w:t>2021年平均质量浓度</w:t>
                  </w:r>
                </w:p>
              </w:tc>
              <w:tc>
                <w:tcPr>
                  <w:tcW w:w="1479" w:type="dxa"/>
                  <w:vAlign w:val="center"/>
                </w:tcPr>
                <w:p>
                  <w:pPr>
                    <w:pStyle w:val="340"/>
                  </w:pPr>
                  <w:r>
                    <w:t>9</w:t>
                  </w:r>
                </w:p>
              </w:tc>
              <w:tc>
                <w:tcPr>
                  <w:tcW w:w="1139" w:type="dxa"/>
                  <w:vAlign w:val="center"/>
                </w:tcPr>
                <w:p>
                  <w:pPr>
                    <w:pStyle w:val="340"/>
                  </w:pPr>
                  <w:r>
                    <w:t>60</w:t>
                  </w:r>
                </w:p>
              </w:tc>
              <w:tc>
                <w:tcPr>
                  <w:tcW w:w="1042" w:type="dxa"/>
                  <w:vAlign w:val="center"/>
                </w:tcPr>
                <w:p>
                  <w:pPr>
                    <w:jc w:val="center"/>
                    <w:rPr>
                      <w:color w:val="000000"/>
                      <w:sz w:val="22"/>
                      <w:szCs w:val="22"/>
                    </w:rPr>
                  </w:pPr>
                  <w:r>
                    <w:rPr>
                      <w:rFonts w:hint="eastAsia"/>
                      <w:color w:val="000000"/>
                      <w:sz w:val="22"/>
                      <w:szCs w:val="22"/>
                    </w:rPr>
                    <w:t>15</w:t>
                  </w:r>
                </w:p>
              </w:tc>
              <w:tc>
                <w:tcPr>
                  <w:tcW w:w="942" w:type="dxa"/>
                  <w:vAlign w:val="center"/>
                </w:tcPr>
                <w:p>
                  <w:pPr>
                    <w:pStyle w:val="340"/>
                  </w:pPr>
                  <w: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860" w:type="dxa"/>
                  <w:vAlign w:val="center"/>
                </w:tcPr>
                <w:p>
                  <w:pPr>
                    <w:pStyle w:val="340"/>
                  </w:pPr>
                  <w:r>
                    <w:t>NO</w:t>
                  </w:r>
                  <w:r>
                    <w:rPr>
                      <w:vertAlign w:val="subscript"/>
                    </w:rPr>
                    <w:t>2</w:t>
                  </w:r>
                </w:p>
              </w:tc>
              <w:tc>
                <w:tcPr>
                  <w:tcW w:w="2607" w:type="dxa"/>
                  <w:vAlign w:val="center"/>
                </w:tcPr>
                <w:p>
                  <w:pPr>
                    <w:pStyle w:val="340"/>
                  </w:pPr>
                  <w:r>
                    <w:t>2021年平均质量浓度</w:t>
                  </w:r>
                </w:p>
              </w:tc>
              <w:tc>
                <w:tcPr>
                  <w:tcW w:w="1479" w:type="dxa"/>
                  <w:vAlign w:val="center"/>
                </w:tcPr>
                <w:p>
                  <w:pPr>
                    <w:pStyle w:val="340"/>
                  </w:pPr>
                  <w:r>
                    <w:t>28</w:t>
                  </w:r>
                </w:p>
              </w:tc>
              <w:tc>
                <w:tcPr>
                  <w:tcW w:w="1139" w:type="dxa"/>
                  <w:vAlign w:val="center"/>
                </w:tcPr>
                <w:p>
                  <w:pPr>
                    <w:pStyle w:val="340"/>
                  </w:pPr>
                  <w:r>
                    <w:t>40</w:t>
                  </w:r>
                </w:p>
              </w:tc>
              <w:tc>
                <w:tcPr>
                  <w:tcW w:w="1042" w:type="dxa"/>
                  <w:vAlign w:val="center"/>
                </w:tcPr>
                <w:p>
                  <w:pPr>
                    <w:jc w:val="center"/>
                    <w:rPr>
                      <w:color w:val="000000"/>
                      <w:sz w:val="22"/>
                      <w:szCs w:val="22"/>
                    </w:rPr>
                  </w:pPr>
                  <w:r>
                    <w:rPr>
                      <w:rFonts w:hint="eastAsia"/>
                      <w:color w:val="000000"/>
                      <w:sz w:val="22"/>
                      <w:szCs w:val="22"/>
                    </w:rPr>
                    <w:t>70</w:t>
                  </w:r>
                </w:p>
              </w:tc>
              <w:tc>
                <w:tcPr>
                  <w:tcW w:w="942" w:type="dxa"/>
                  <w:vAlign w:val="center"/>
                </w:tcPr>
                <w:p>
                  <w:pPr>
                    <w:pStyle w:val="340"/>
                  </w:pPr>
                  <w: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860" w:type="dxa"/>
                  <w:vAlign w:val="center"/>
                </w:tcPr>
                <w:p>
                  <w:pPr>
                    <w:pStyle w:val="340"/>
                  </w:pPr>
                  <w:r>
                    <w:t>PM</w:t>
                  </w:r>
                  <w:r>
                    <w:rPr>
                      <w:vertAlign w:val="subscript"/>
                    </w:rPr>
                    <w:t>2.5</w:t>
                  </w:r>
                </w:p>
              </w:tc>
              <w:tc>
                <w:tcPr>
                  <w:tcW w:w="2607" w:type="dxa"/>
                  <w:vAlign w:val="center"/>
                </w:tcPr>
                <w:p>
                  <w:pPr>
                    <w:pStyle w:val="340"/>
                  </w:pPr>
                  <w:r>
                    <w:t>2021年平均质量浓度</w:t>
                  </w:r>
                </w:p>
              </w:tc>
              <w:tc>
                <w:tcPr>
                  <w:tcW w:w="1479" w:type="dxa"/>
                  <w:vAlign w:val="center"/>
                </w:tcPr>
                <w:p>
                  <w:pPr>
                    <w:pStyle w:val="340"/>
                  </w:pPr>
                  <w:r>
                    <w:t>32</w:t>
                  </w:r>
                </w:p>
              </w:tc>
              <w:tc>
                <w:tcPr>
                  <w:tcW w:w="1139" w:type="dxa"/>
                  <w:vAlign w:val="center"/>
                </w:tcPr>
                <w:p>
                  <w:pPr>
                    <w:pStyle w:val="340"/>
                  </w:pPr>
                  <w:r>
                    <w:t>35</w:t>
                  </w:r>
                </w:p>
              </w:tc>
              <w:tc>
                <w:tcPr>
                  <w:tcW w:w="1042" w:type="dxa"/>
                  <w:vAlign w:val="center"/>
                </w:tcPr>
                <w:p>
                  <w:pPr>
                    <w:jc w:val="center"/>
                    <w:rPr>
                      <w:color w:val="000000"/>
                      <w:sz w:val="22"/>
                      <w:szCs w:val="22"/>
                    </w:rPr>
                  </w:pPr>
                  <w:r>
                    <w:rPr>
                      <w:rFonts w:hint="eastAsia"/>
                      <w:color w:val="000000"/>
                      <w:sz w:val="22"/>
                      <w:szCs w:val="22"/>
                    </w:rPr>
                    <w:t>91</w:t>
                  </w:r>
                </w:p>
              </w:tc>
              <w:tc>
                <w:tcPr>
                  <w:tcW w:w="942" w:type="dxa"/>
                  <w:vAlign w:val="center"/>
                </w:tcPr>
                <w:p>
                  <w:pPr>
                    <w:pStyle w:val="340"/>
                  </w:pPr>
                  <w: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860" w:type="dxa"/>
                  <w:vAlign w:val="center"/>
                </w:tcPr>
                <w:p>
                  <w:pPr>
                    <w:pStyle w:val="340"/>
                  </w:pPr>
                  <w:r>
                    <w:t>O</w:t>
                  </w:r>
                  <w:r>
                    <w:rPr>
                      <w:vertAlign w:val="subscript"/>
                    </w:rPr>
                    <w:t>3</w:t>
                  </w:r>
                </w:p>
              </w:tc>
              <w:tc>
                <w:tcPr>
                  <w:tcW w:w="2607" w:type="dxa"/>
                  <w:vAlign w:val="center"/>
                </w:tcPr>
                <w:p>
                  <w:pPr>
                    <w:pStyle w:val="340"/>
                  </w:pPr>
                  <w:r>
                    <w:t>2021年最大8小时平均浓度的第90百分位数</w:t>
                  </w:r>
                </w:p>
              </w:tc>
              <w:tc>
                <w:tcPr>
                  <w:tcW w:w="1479" w:type="dxa"/>
                  <w:vAlign w:val="center"/>
                </w:tcPr>
                <w:p>
                  <w:pPr>
                    <w:pStyle w:val="340"/>
                  </w:pPr>
                  <w:r>
                    <w:t>90</w:t>
                  </w:r>
                </w:p>
              </w:tc>
              <w:tc>
                <w:tcPr>
                  <w:tcW w:w="1139" w:type="dxa"/>
                  <w:vAlign w:val="center"/>
                </w:tcPr>
                <w:p>
                  <w:pPr>
                    <w:pStyle w:val="340"/>
                  </w:pPr>
                  <w:r>
                    <w:t>160</w:t>
                  </w:r>
                </w:p>
              </w:tc>
              <w:tc>
                <w:tcPr>
                  <w:tcW w:w="1042" w:type="dxa"/>
                  <w:vAlign w:val="center"/>
                </w:tcPr>
                <w:p>
                  <w:pPr>
                    <w:jc w:val="center"/>
                    <w:rPr>
                      <w:color w:val="000000"/>
                      <w:sz w:val="22"/>
                      <w:szCs w:val="22"/>
                    </w:rPr>
                  </w:pPr>
                  <w:r>
                    <w:rPr>
                      <w:rFonts w:hint="eastAsia"/>
                      <w:color w:val="000000"/>
                      <w:sz w:val="22"/>
                      <w:szCs w:val="22"/>
                    </w:rPr>
                    <w:t>56</w:t>
                  </w:r>
                </w:p>
              </w:tc>
              <w:tc>
                <w:tcPr>
                  <w:tcW w:w="942" w:type="dxa"/>
                  <w:vAlign w:val="center"/>
                </w:tcPr>
                <w:p>
                  <w:pPr>
                    <w:pStyle w:val="340"/>
                  </w:pPr>
                  <w: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860" w:type="dxa"/>
                  <w:vAlign w:val="center"/>
                </w:tcPr>
                <w:p>
                  <w:pPr>
                    <w:pStyle w:val="340"/>
                  </w:pPr>
                  <w:r>
                    <w:t>CO</w:t>
                  </w:r>
                </w:p>
              </w:tc>
              <w:tc>
                <w:tcPr>
                  <w:tcW w:w="2607" w:type="dxa"/>
                  <w:vAlign w:val="center"/>
                </w:tcPr>
                <w:p>
                  <w:pPr>
                    <w:pStyle w:val="340"/>
                  </w:pPr>
                  <w:r>
                    <w:t>2021年24小时平均浓度的第95百分位数</w:t>
                  </w:r>
                </w:p>
              </w:tc>
              <w:tc>
                <w:tcPr>
                  <w:tcW w:w="1479" w:type="dxa"/>
                  <w:vAlign w:val="center"/>
                </w:tcPr>
                <w:p>
                  <w:pPr>
                    <w:pStyle w:val="340"/>
                  </w:pPr>
                  <w:r>
                    <w:t>1200</w:t>
                  </w:r>
                </w:p>
              </w:tc>
              <w:tc>
                <w:tcPr>
                  <w:tcW w:w="1139" w:type="dxa"/>
                  <w:vAlign w:val="center"/>
                </w:tcPr>
                <w:p>
                  <w:pPr>
                    <w:pStyle w:val="340"/>
                  </w:pPr>
                  <w:r>
                    <w:t>4000</w:t>
                  </w:r>
                </w:p>
              </w:tc>
              <w:tc>
                <w:tcPr>
                  <w:tcW w:w="1042" w:type="dxa"/>
                  <w:vAlign w:val="center"/>
                </w:tcPr>
                <w:p>
                  <w:pPr>
                    <w:jc w:val="center"/>
                    <w:rPr>
                      <w:color w:val="000000"/>
                      <w:sz w:val="22"/>
                      <w:szCs w:val="22"/>
                    </w:rPr>
                  </w:pPr>
                  <w:r>
                    <w:rPr>
                      <w:rFonts w:hint="eastAsia"/>
                      <w:color w:val="000000"/>
                      <w:sz w:val="22"/>
                      <w:szCs w:val="22"/>
                    </w:rPr>
                    <w:t>30</w:t>
                  </w:r>
                </w:p>
              </w:tc>
              <w:tc>
                <w:tcPr>
                  <w:tcW w:w="942" w:type="dxa"/>
                  <w:vAlign w:val="center"/>
                </w:tcPr>
                <w:p>
                  <w:pPr>
                    <w:pStyle w:val="340"/>
                  </w:pPr>
                  <w:r>
                    <w:t>达标</w:t>
                  </w:r>
                </w:p>
              </w:tc>
            </w:tr>
          </w:tbl>
          <w:p>
            <w:pPr>
              <w:adjustRightInd w:val="0"/>
              <w:snapToGrid w:val="0"/>
              <w:spacing w:line="360" w:lineRule="auto"/>
              <w:ind w:firstLine="420" w:firstLineChars="200"/>
              <w:rPr>
                <w:kern w:val="0"/>
                <w:szCs w:val="21"/>
              </w:rPr>
            </w:pPr>
          </w:p>
          <w:p>
            <w:pPr>
              <w:adjustRightInd w:val="0"/>
              <w:snapToGrid w:val="0"/>
              <w:spacing w:line="360" w:lineRule="auto"/>
              <w:ind w:firstLine="420" w:firstLineChars="200"/>
              <w:rPr>
                <w:kern w:val="0"/>
                <w:szCs w:val="21"/>
              </w:rPr>
            </w:pPr>
            <w:r>
              <w:rPr>
                <w:rFonts w:hint="eastAsia"/>
                <w:kern w:val="0"/>
                <w:szCs w:val="21"/>
              </w:rPr>
              <w:t>根据上表中的数据和结论，2021年达州市</w:t>
            </w:r>
            <w:r>
              <w:rPr>
                <w:kern w:val="0"/>
                <w:szCs w:val="21"/>
              </w:rPr>
              <w:t>通川区</w:t>
            </w:r>
            <w:r>
              <w:rPr>
                <w:rFonts w:hint="eastAsia"/>
                <w:kern w:val="0"/>
                <w:szCs w:val="21"/>
              </w:rPr>
              <w:t>环境空气中可吸入颗粒物（PM</w:t>
            </w:r>
            <w:r>
              <w:rPr>
                <w:rFonts w:hint="eastAsia"/>
                <w:kern w:val="0"/>
                <w:szCs w:val="21"/>
                <w:vertAlign w:val="subscript"/>
              </w:rPr>
              <w:t>10</w:t>
            </w:r>
            <w:r>
              <w:rPr>
                <w:rFonts w:hint="eastAsia"/>
                <w:kern w:val="0"/>
                <w:szCs w:val="21"/>
              </w:rPr>
              <w:t>）、细颗粒物（PM</w:t>
            </w:r>
            <w:r>
              <w:rPr>
                <w:rFonts w:hint="eastAsia"/>
                <w:kern w:val="0"/>
                <w:szCs w:val="21"/>
                <w:vertAlign w:val="subscript"/>
              </w:rPr>
              <w:t>2.5</w:t>
            </w:r>
            <w:r>
              <w:rPr>
                <w:rFonts w:hint="eastAsia"/>
                <w:kern w:val="0"/>
                <w:szCs w:val="21"/>
              </w:rPr>
              <w:t>）、二氧化硫（SO</w:t>
            </w:r>
            <w:r>
              <w:rPr>
                <w:rFonts w:hint="eastAsia"/>
                <w:kern w:val="0"/>
                <w:szCs w:val="21"/>
                <w:vertAlign w:val="subscript"/>
              </w:rPr>
              <w:t>2</w:t>
            </w:r>
            <w:r>
              <w:rPr>
                <w:rFonts w:hint="eastAsia"/>
                <w:kern w:val="0"/>
                <w:szCs w:val="21"/>
              </w:rPr>
              <w:t>）、二氧化氮（NO</w:t>
            </w:r>
            <w:r>
              <w:rPr>
                <w:rFonts w:hint="eastAsia"/>
                <w:kern w:val="0"/>
                <w:szCs w:val="21"/>
                <w:vertAlign w:val="subscript"/>
              </w:rPr>
              <w:t>2</w:t>
            </w:r>
            <w:r>
              <w:rPr>
                <w:rFonts w:hint="eastAsia"/>
                <w:kern w:val="0"/>
                <w:szCs w:val="21"/>
              </w:rPr>
              <w:t>）、一氧化碳（CO）和臭氧（O</w:t>
            </w:r>
            <w:r>
              <w:rPr>
                <w:rFonts w:hint="eastAsia"/>
                <w:kern w:val="0"/>
                <w:szCs w:val="21"/>
                <w:vertAlign w:val="subscript"/>
              </w:rPr>
              <w:t>3</w:t>
            </w:r>
            <w:r>
              <w:rPr>
                <w:rFonts w:hint="eastAsia"/>
                <w:kern w:val="0"/>
                <w:szCs w:val="21"/>
              </w:rPr>
              <w:t>）浓度均达到国家环境空气质量二级标准，项目所在评价区域为达标区。</w:t>
            </w:r>
          </w:p>
          <w:p>
            <w:pPr>
              <w:adjustRightInd w:val="0"/>
              <w:snapToGrid w:val="0"/>
              <w:spacing w:line="360" w:lineRule="auto"/>
              <w:ind w:firstLine="420" w:firstLineChars="200"/>
              <w:rPr>
                <w:kern w:val="0"/>
              </w:rPr>
            </w:pPr>
            <w:r>
              <w:rPr>
                <w:kern w:val="0"/>
              </w:rPr>
              <w:t>（2）特征因子环境质量现状</w:t>
            </w:r>
          </w:p>
          <w:p>
            <w:pPr>
              <w:pStyle w:val="13"/>
              <w:spacing w:line="360" w:lineRule="auto"/>
              <w:ind w:firstLineChars="200"/>
              <w:rPr>
                <w:rFonts w:ascii="Times New Roman" w:hAnsi="Times New Roman"/>
                <w:sz w:val="21"/>
                <w:szCs w:val="24"/>
              </w:rPr>
            </w:pPr>
            <w:r>
              <w:rPr>
                <w:rFonts w:hint="eastAsia" w:ascii="Times New Roman" w:hAnsi="Times New Roman"/>
                <w:sz w:val="21"/>
                <w:szCs w:val="24"/>
              </w:rPr>
              <w:t>重庆智海科技有限责任公司对平安101井所在地环境空气</w:t>
            </w:r>
            <w:r>
              <w:rPr>
                <w:rFonts w:ascii="Times New Roman" w:hAnsi="Times New Roman"/>
                <w:sz w:val="21"/>
                <w:szCs w:val="24"/>
              </w:rPr>
              <w:t>现状</w:t>
            </w:r>
            <w:r>
              <w:rPr>
                <w:rFonts w:hint="eastAsia" w:ascii="Times New Roman" w:hAnsi="Times New Roman"/>
                <w:sz w:val="21"/>
                <w:szCs w:val="24"/>
              </w:rPr>
              <w:t>进行监测</w:t>
            </w:r>
            <w:r>
              <w:rPr>
                <w:rFonts w:ascii="Times New Roman" w:hAnsi="Times New Roman"/>
                <w:sz w:val="21"/>
                <w:szCs w:val="24"/>
              </w:rPr>
              <w:t>。</w:t>
            </w:r>
          </w:p>
          <w:p>
            <w:pPr>
              <w:pStyle w:val="13"/>
              <w:spacing w:line="360" w:lineRule="auto"/>
              <w:ind w:firstLineChars="200"/>
              <w:rPr>
                <w:rFonts w:ascii="Times New Roman" w:hAnsi="Times New Roman"/>
                <w:sz w:val="21"/>
                <w:szCs w:val="24"/>
              </w:rPr>
            </w:pPr>
            <w:r>
              <w:rPr>
                <w:rFonts w:ascii="Times New Roman" w:hAnsi="Times New Roman"/>
                <w:sz w:val="21"/>
                <w:szCs w:val="24"/>
              </w:rPr>
              <w:fldChar w:fldCharType="begin"/>
            </w:r>
            <w:r>
              <w:rPr>
                <w:rFonts w:ascii="Times New Roman" w:hAnsi="Times New Roman"/>
                <w:sz w:val="21"/>
                <w:szCs w:val="24"/>
              </w:rPr>
              <w:instrText xml:space="preserve"> </w:instrText>
            </w:r>
            <w:r>
              <w:rPr>
                <w:rFonts w:hint="eastAsia" w:ascii="Times New Roman" w:hAnsi="Times New Roman"/>
                <w:sz w:val="21"/>
                <w:szCs w:val="24"/>
              </w:rPr>
              <w:instrText xml:space="preserve">= 1 \* GB3</w:instrText>
            </w:r>
            <w:r>
              <w:rPr>
                <w:rFonts w:ascii="Times New Roman" w:hAnsi="Times New Roman"/>
                <w:sz w:val="21"/>
                <w:szCs w:val="24"/>
              </w:rPr>
              <w:instrText xml:space="preserve"> </w:instrText>
            </w:r>
            <w:r>
              <w:rPr>
                <w:rFonts w:ascii="Times New Roman" w:hAnsi="Times New Roman"/>
                <w:sz w:val="21"/>
                <w:szCs w:val="24"/>
              </w:rPr>
              <w:fldChar w:fldCharType="separate"/>
            </w:r>
            <w:r>
              <w:rPr>
                <w:rFonts w:hint="eastAsia" w:ascii="Times New Roman" w:hAnsi="Times New Roman"/>
                <w:sz w:val="21"/>
                <w:szCs w:val="24"/>
              </w:rPr>
              <w:t>①</w:t>
            </w:r>
            <w:r>
              <w:rPr>
                <w:rFonts w:ascii="Times New Roman" w:hAnsi="Times New Roman"/>
                <w:sz w:val="21"/>
                <w:szCs w:val="24"/>
              </w:rPr>
              <w:fldChar w:fldCharType="end"/>
            </w:r>
            <w:r>
              <w:rPr>
                <w:rFonts w:ascii="Times New Roman" w:hAnsi="Times New Roman"/>
                <w:sz w:val="21"/>
                <w:szCs w:val="24"/>
              </w:rPr>
              <w:t>监测方案</w:t>
            </w:r>
          </w:p>
          <w:p>
            <w:pPr>
              <w:pStyle w:val="13"/>
              <w:spacing w:line="360" w:lineRule="auto"/>
              <w:ind w:firstLineChars="200"/>
              <w:rPr>
                <w:rFonts w:ascii="Times New Roman" w:hAnsi="Times New Roman"/>
                <w:sz w:val="21"/>
                <w:szCs w:val="24"/>
              </w:rPr>
            </w:pPr>
            <w:r>
              <w:rPr>
                <w:rFonts w:ascii="Times New Roman" w:hAnsi="Times New Roman"/>
                <w:sz w:val="21"/>
                <w:szCs w:val="24"/>
              </w:rPr>
              <w:t>监测布点：</w:t>
            </w:r>
            <w:r>
              <w:rPr>
                <w:rFonts w:hint="eastAsia" w:ascii="Times New Roman" w:hAnsi="Times New Roman"/>
                <w:sz w:val="21"/>
                <w:szCs w:val="24"/>
              </w:rPr>
              <w:t>平安101井井场</w:t>
            </w:r>
            <w:r>
              <w:rPr>
                <w:rFonts w:ascii="Times New Roman" w:hAnsi="Times New Roman"/>
                <w:sz w:val="21"/>
                <w:szCs w:val="24"/>
              </w:rPr>
              <w:t>内；</w:t>
            </w:r>
          </w:p>
          <w:p>
            <w:pPr>
              <w:pStyle w:val="13"/>
              <w:spacing w:line="360" w:lineRule="auto"/>
              <w:ind w:firstLineChars="200"/>
              <w:rPr>
                <w:rFonts w:ascii="Times New Roman" w:hAnsi="Times New Roman"/>
                <w:sz w:val="21"/>
                <w:szCs w:val="24"/>
              </w:rPr>
            </w:pPr>
            <w:r>
              <w:rPr>
                <w:rFonts w:ascii="Times New Roman" w:hAnsi="Times New Roman"/>
                <w:sz w:val="21"/>
                <w:szCs w:val="24"/>
              </w:rPr>
              <w:t>监测因子：H</w:t>
            </w:r>
            <w:r>
              <w:rPr>
                <w:rFonts w:ascii="Times New Roman" w:hAnsi="Times New Roman"/>
                <w:sz w:val="21"/>
                <w:szCs w:val="24"/>
                <w:vertAlign w:val="subscript"/>
              </w:rPr>
              <w:t>2</w:t>
            </w:r>
            <w:r>
              <w:rPr>
                <w:rFonts w:ascii="Times New Roman" w:hAnsi="Times New Roman"/>
                <w:sz w:val="21"/>
                <w:szCs w:val="24"/>
              </w:rPr>
              <w:t>S</w:t>
            </w:r>
          </w:p>
          <w:p>
            <w:pPr>
              <w:pStyle w:val="13"/>
              <w:spacing w:line="360" w:lineRule="auto"/>
              <w:ind w:firstLineChars="200"/>
              <w:rPr>
                <w:rFonts w:ascii="Times New Roman" w:hAnsi="Times New Roman"/>
                <w:sz w:val="21"/>
                <w:szCs w:val="24"/>
              </w:rPr>
            </w:pPr>
            <w:r>
              <w:rPr>
                <w:rFonts w:ascii="Times New Roman" w:hAnsi="Times New Roman"/>
                <w:sz w:val="21"/>
                <w:szCs w:val="24"/>
              </w:rPr>
              <w:t>监测时间与频率：监测时间为2022年6月29日~7月1日，连续监测3天，每天监测4次，监测小时值。</w:t>
            </w:r>
          </w:p>
          <w:p>
            <w:pPr>
              <w:pStyle w:val="375"/>
              <w:numPr>
                <w:ilvl w:val="0"/>
                <w:numId w:val="6"/>
              </w:numPr>
              <w:adjustRightInd w:val="0"/>
              <w:snapToGrid w:val="0"/>
              <w:spacing w:line="360" w:lineRule="auto"/>
              <w:ind w:left="0" w:firstLine="0" w:firstLineChars="0"/>
              <w:jc w:val="center"/>
              <w:rPr>
                <w:b/>
                <w:bCs/>
                <w:kern w:val="0"/>
              </w:rPr>
            </w:pPr>
            <w:r>
              <w:rPr>
                <w:b/>
                <w:bCs/>
                <w:kern w:val="0"/>
              </w:rPr>
              <w:t>其他污染物监测点位基本信息</w:t>
            </w:r>
          </w:p>
          <w:tbl>
            <w:tblPr>
              <w:tblStyle w:val="42"/>
              <w:tblW w:w="94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4"/>
              <w:gridCol w:w="1344"/>
              <w:gridCol w:w="1344"/>
              <w:gridCol w:w="916"/>
              <w:gridCol w:w="1772"/>
              <w:gridCol w:w="1344"/>
              <w:gridCol w:w="13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344" w:type="dxa"/>
                  <w:vMerge w:val="restart"/>
                  <w:vAlign w:val="center"/>
                </w:tcPr>
                <w:p>
                  <w:pPr>
                    <w:pStyle w:val="251"/>
                    <w:spacing w:line="240" w:lineRule="auto"/>
                    <w:ind w:firstLine="0" w:firstLineChars="0"/>
                    <w:jc w:val="center"/>
                    <w:rPr>
                      <w:sz w:val="18"/>
                      <w:szCs w:val="18"/>
                      <w:lang w:bidi="ar"/>
                    </w:rPr>
                  </w:pPr>
                  <w:r>
                    <w:rPr>
                      <w:sz w:val="18"/>
                      <w:szCs w:val="18"/>
                      <w:lang w:bidi="ar"/>
                    </w:rPr>
                    <w:t>监测点名称</w:t>
                  </w:r>
                </w:p>
              </w:tc>
              <w:tc>
                <w:tcPr>
                  <w:tcW w:w="2688" w:type="dxa"/>
                  <w:gridSpan w:val="2"/>
                  <w:vAlign w:val="center"/>
                </w:tcPr>
                <w:p>
                  <w:pPr>
                    <w:pStyle w:val="251"/>
                    <w:spacing w:line="240" w:lineRule="auto"/>
                    <w:ind w:firstLine="0" w:firstLineChars="0"/>
                    <w:jc w:val="center"/>
                    <w:rPr>
                      <w:sz w:val="18"/>
                      <w:szCs w:val="18"/>
                      <w:lang w:bidi="ar"/>
                    </w:rPr>
                  </w:pPr>
                  <w:r>
                    <w:rPr>
                      <w:sz w:val="18"/>
                      <w:szCs w:val="18"/>
                      <w:lang w:bidi="ar"/>
                    </w:rPr>
                    <w:t>监测点坐标/m</w:t>
                  </w:r>
                </w:p>
              </w:tc>
              <w:tc>
                <w:tcPr>
                  <w:tcW w:w="916" w:type="dxa"/>
                  <w:vMerge w:val="restart"/>
                  <w:vAlign w:val="center"/>
                </w:tcPr>
                <w:p>
                  <w:pPr>
                    <w:pStyle w:val="251"/>
                    <w:spacing w:line="240" w:lineRule="auto"/>
                    <w:ind w:firstLine="0" w:firstLineChars="0"/>
                    <w:jc w:val="center"/>
                    <w:rPr>
                      <w:sz w:val="18"/>
                      <w:szCs w:val="18"/>
                      <w:lang w:bidi="ar"/>
                    </w:rPr>
                  </w:pPr>
                  <w:r>
                    <w:rPr>
                      <w:sz w:val="18"/>
                      <w:szCs w:val="18"/>
                      <w:lang w:bidi="ar"/>
                    </w:rPr>
                    <w:t>检测因子</w:t>
                  </w:r>
                </w:p>
              </w:tc>
              <w:tc>
                <w:tcPr>
                  <w:tcW w:w="1772" w:type="dxa"/>
                  <w:vMerge w:val="restart"/>
                  <w:vAlign w:val="center"/>
                </w:tcPr>
                <w:p>
                  <w:pPr>
                    <w:pStyle w:val="251"/>
                    <w:spacing w:line="240" w:lineRule="auto"/>
                    <w:ind w:firstLine="0" w:firstLineChars="0"/>
                    <w:jc w:val="center"/>
                    <w:rPr>
                      <w:sz w:val="18"/>
                      <w:szCs w:val="18"/>
                      <w:lang w:bidi="ar"/>
                    </w:rPr>
                  </w:pPr>
                  <w:r>
                    <w:rPr>
                      <w:sz w:val="18"/>
                      <w:szCs w:val="18"/>
                      <w:lang w:bidi="ar"/>
                    </w:rPr>
                    <w:t>检测时段</w:t>
                  </w:r>
                </w:p>
              </w:tc>
              <w:tc>
                <w:tcPr>
                  <w:tcW w:w="1344" w:type="dxa"/>
                  <w:vMerge w:val="restart"/>
                  <w:vAlign w:val="center"/>
                </w:tcPr>
                <w:p>
                  <w:pPr>
                    <w:pStyle w:val="251"/>
                    <w:spacing w:line="240" w:lineRule="auto"/>
                    <w:ind w:firstLine="0" w:firstLineChars="0"/>
                    <w:jc w:val="center"/>
                    <w:rPr>
                      <w:sz w:val="18"/>
                      <w:szCs w:val="18"/>
                      <w:lang w:bidi="ar"/>
                    </w:rPr>
                  </w:pPr>
                  <w:r>
                    <w:rPr>
                      <w:sz w:val="18"/>
                      <w:szCs w:val="18"/>
                      <w:lang w:bidi="ar"/>
                    </w:rPr>
                    <w:t>相对厂址方位</w:t>
                  </w:r>
                </w:p>
              </w:tc>
              <w:tc>
                <w:tcPr>
                  <w:tcW w:w="1344" w:type="dxa"/>
                  <w:vMerge w:val="restart"/>
                  <w:vAlign w:val="center"/>
                </w:tcPr>
                <w:p>
                  <w:pPr>
                    <w:pStyle w:val="251"/>
                    <w:spacing w:line="240" w:lineRule="auto"/>
                    <w:ind w:firstLine="0" w:firstLineChars="0"/>
                    <w:jc w:val="center"/>
                    <w:rPr>
                      <w:sz w:val="18"/>
                      <w:szCs w:val="18"/>
                      <w:lang w:bidi="ar"/>
                    </w:rPr>
                  </w:pPr>
                  <w:r>
                    <w:rPr>
                      <w:sz w:val="18"/>
                      <w:szCs w:val="18"/>
                      <w:lang w:bidi="ar"/>
                    </w:rPr>
                    <w:t>相对厂界距离/m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344" w:type="dxa"/>
                  <w:vMerge w:val="continue"/>
                  <w:vAlign w:val="center"/>
                </w:tcPr>
                <w:p>
                  <w:pPr>
                    <w:pStyle w:val="251"/>
                    <w:spacing w:line="240" w:lineRule="auto"/>
                    <w:ind w:firstLine="0" w:firstLineChars="0"/>
                    <w:jc w:val="center"/>
                    <w:rPr>
                      <w:sz w:val="18"/>
                      <w:szCs w:val="18"/>
                      <w:lang w:bidi="ar"/>
                    </w:rPr>
                  </w:pPr>
                </w:p>
              </w:tc>
              <w:tc>
                <w:tcPr>
                  <w:tcW w:w="1344" w:type="dxa"/>
                  <w:vAlign w:val="center"/>
                </w:tcPr>
                <w:p>
                  <w:pPr>
                    <w:pStyle w:val="251"/>
                    <w:spacing w:line="240" w:lineRule="auto"/>
                    <w:ind w:firstLine="0" w:firstLineChars="0"/>
                    <w:jc w:val="center"/>
                    <w:rPr>
                      <w:sz w:val="18"/>
                      <w:szCs w:val="18"/>
                      <w:lang w:bidi="ar"/>
                    </w:rPr>
                  </w:pPr>
                  <w:r>
                    <w:rPr>
                      <w:sz w:val="18"/>
                      <w:szCs w:val="18"/>
                      <w:lang w:bidi="ar"/>
                    </w:rPr>
                    <w:t>X</w:t>
                  </w:r>
                </w:p>
              </w:tc>
              <w:tc>
                <w:tcPr>
                  <w:tcW w:w="1344" w:type="dxa"/>
                  <w:vAlign w:val="center"/>
                </w:tcPr>
                <w:p>
                  <w:pPr>
                    <w:pStyle w:val="251"/>
                    <w:spacing w:line="240" w:lineRule="auto"/>
                    <w:ind w:firstLine="0" w:firstLineChars="0"/>
                    <w:jc w:val="center"/>
                    <w:rPr>
                      <w:sz w:val="18"/>
                      <w:szCs w:val="18"/>
                      <w:lang w:bidi="ar"/>
                    </w:rPr>
                  </w:pPr>
                  <w:r>
                    <w:rPr>
                      <w:sz w:val="18"/>
                      <w:szCs w:val="18"/>
                      <w:lang w:bidi="ar"/>
                    </w:rPr>
                    <w:t>Y</w:t>
                  </w:r>
                </w:p>
              </w:tc>
              <w:tc>
                <w:tcPr>
                  <w:tcW w:w="916" w:type="dxa"/>
                  <w:vMerge w:val="continue"/>
                  <w:vAlign w:val="center"/>
                </w:tcPr>
                <w:p>
                  <w:pPr>
                    <w:pStyle w:val="251"/>
                    <w:spacing w:line="240" w:lineRule="auto"/>
                    <w:ind w:firstLine="0" w:firstLineChars="0"/>
                    <w:jc w:val="center"/>
                    <w:rPr>
                      <w:sz w:val="18"/>
                      <w:szCs w:val="18"/>
                      <w:lang w:bidi="ar"/>
                    </w:rPr>
                  </w:pPr>
                </w:p>
              </w:tc>
              <w:tc>
                <w:tcPr>
                  <w:tcW w:w="1772" w:type="dxa"/>
                  <w:vMerge w:val="continue"/>
                  <w:vAlign w:val="center"/>
                </w:tcPr>
                <w:p>
                  <w:pPr>
                    <w:pStyle w:val="251"/>
                    <w:spacing w:line="240" w:lineRule="auto"/>
                    <w:ind w:firstLine="0" w:firstLineChars="0"/>
                    <w:jc w:val="center"/>
                    <w:rPr>
                      <w:sz w:val="18"/>
                      <w:szCs w:val="18"/>
                      <w:lang w:bidi="ar"/>
                    </w:rPr>
                  </w:pPr>
                </w:p>
              </w:tc>
              <w:tc>
                <w:tcPr>
                  <w:tcW w:w="1344" w:type="dxa"/>
                  <w:vMerge w:val="continue"/>
                  <w:vAlign w:val="center"/>
                </w:tcPr>
                <w:p>
                  <w:pPr>
                    <w:pStyle w:val="251"/>
                    <w:spacing w:line="240" w:lineRule="auto"/>
                    <w:ind w:firstLine="0" w:firstLineChars="0"/>
                    <w:jc w:val="center"/>
                    <w:rPr>
                      <w:sz w:val="18"/>
                      <w:szCs w:val="18"/>
                      <w:lang w:bidi="ar"/>
                    </w:rPr>
                  </w:pPr>
                </w:p>
              </w:tc>
              <w:tc>
                <w:tcPr>
                  <w:tcW w:w="1344" w:type="dxa"/>
                  <w:vMerge w:val="continue"/>
                  <w:vAlign w:val="center"/>
                </w:tcPr>
                <w:p>
                  <w:pPr>
                    <w:pStyle w:val="251"/>
                    <w:spacing w:line="240" w:lineRule="auto"/>
                    <w:ind w:firstLine="0" w:firstLineChars="0"/>
                    <w:jc w:val="center"/>
                    <w:rPr>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344" w:type="dxa"/>
                  <w:vAlign w:val="center"/>
                </w:tcPr>
                <w:p>
                  <w:pPr>
                    <w:pStyle w:val="251"/>
                    <w:spacing w:line="240" w:lineRule="auto"/>
                    <w:ind w:firstLine="0" w:firstLineChars="0"/>
                    <w:jc w:val="center"/>
                    <w:rPr>
                      <w:sz w:val="18"/>
                      <w:szCs w:val="18"/>
                      <w:lang w:bidi="ar"/>
                    </w:rPr>
                  </w:pPr>
                  <w:r>
                    <w:rPr>
                      <w:rFonts w:hint="eastAsia"/>
                      <w:sz w:val="18"/>
                      <w:szCs w:val="18"/>
                      <w:lang w:bidi="ar"/>
                    </w:rPr>
                    <w:t>井场内</w:t>
                  </w:r>
                </w:p>
              </w:tc>
              <w:tc>
                <w:tcPr>
                  <w:tcW w:w="1344" w:type="dxa"/>
                  <w:vAlign w:val="center"/>
                </w:tcPr>
                <w:p>
                  <w:pPr>
                    <w:pStyle w:val="251"/>
                    <w:spacing w:line="240" w:lineRule="auto"/>
                    <w:ind w:firstLine="0" w:firstLineChars="0"/>
                    <w:jc w:val="center"/>
                    <w:rPr>
                      <w:sz w:val="18"/>
                      <w:szCs w:val="18"/>
                      <w:lang w:bidi="ar"/>
                    </w:rPr>
                  </w:pPr>
                  <w:r>
                    <w:rPr>
                      <w:rFonts w:hint="eastAsia"/>
                      <w:sz w:val="18"/>
                      <w:szCs w:val="18"/>
                      <w:lang w:bidi="ar"/>
                    </w:rPr>
                    <w:t>0</w:t>
                  </w:r>
                </w:p>
              </w:tc>
              <w:tc>
                <w:tcPr>
                  <w:tcW w:w="1344" w:type="dxa"/>
                  <w:vAlign w:val="center"/>
                </w:tcPr>
                <w:p>
                  <w:pPr>
                    <w:pStyle w:val="251"/>
                    <w:spacing w:line="240" w:lineRule="auto"/>
                    <w:ind w:firstLine="0" w:firstLineChars="0"/>
                    <w:jc w:val="center"/>
                    <w:rPr>
                      <w:sz w:val="18"/>
                      <w:szCs w:val="18"/>
                      <w:lang w:bidi="ar"/>
                    </w:rPr>
                  </w:pPr>
                  <w:r>
                    <w:rPr>
                      <w:rFonts w:hint="eastAsia"/>
                      <w:sz w:val="18"/>
                      <w:szCs w:val="18"/>
                      <w:lang w:bidi="ar"/>
                    </w:rPr>
                    <w:t>0</w:t>
                  </w:r>
                </w:p>
              </w:tc>
              <w:tc>
                <w:tcPr>
                  <w:tcW w:w="916" w:type="dxa"/>
                  <w:vAlign w:val="center"/>
                </w:tcPr>
                <w:p>
                  <w:pPr>
                    <w:pStyle w:val="251"/>
                    <w:spacing w:line="240" w:lineRule="auto"/>
                    <w:ind w:firstLine="0" w:firstLineChars="0"/>
                    <w:jc w:val="center"/>
                    <w:rPr>
                      <w:sz w:val="18"/>
                      <w:szCs w:val="18"/>
                      <w:lang w:bidi="ar"/>
                    </w:rPr>
                  </w:pPr>
                  <w:r>
                    <w:rPr>
                      <w:sz w:val="18"/>
                      <w:szCs w:val="18"/>
                      <w:lang w:bidi="ar"/>
                    </w:rPr>
                    <w:t>H</w:t>
                  </w:r>
                  <w:r>
                    <w:rPr>
                      <w:sz w:val="18"/>
                      <w:szCs w:val="18"/>
                      <w:vertAlign w:val="subscript"/>
                      <w:lang w:bidi="ar"/>
                    </w:rPr>
                    <w:t>2</w:t>
                  </w:r>
                  <w:r>
                    <w:rPr>
                      <w:sz w:val="18"/>
                      <w:szCs w:val="18"/>
                      <w:lang w:bidi="ar"/>
                    </w:rPr>
                    <w:t>S</w:t>
                  </w:r>
                </w:p>
              </w:tc>
              <w:tc>
                <w:tcPr>
                  <w:tcW w:w="1772" w:type="dxa"/>
                  <w:vAlign w:val="center"/>
                </w:tcPr>
                <w:p>
                  <w:pPr>
                    <w:pStyle w:val="251"/>
                    <w:spacing w:line="240" w:lineRule="auto"/>
                    <w:ind w:firstLine="0" w:firstLineChars="0"/>
                    <w:jc w:val="center"/>
                    <w:rPr>
                      <w:sz w:val="18"/>
                      <w:szCs w:val="18"/>
                      <w:lang w:bidi="ar"/>
                    </w:rPr>
                  </w:pPr>
                  <w:r>
                    <w:rPr>
                      <w:sz w:val="18"/>
                      <w:szCs w:val="18"/>
                      <w:lang w:bidi="ar"/>
                    </w:rPr>
                    <w:t>2022年6月29日~7月1日</w:t>
                  </w:r>
                </w:p>
              </w:tc>
              <w:tc>
                <w:tcPr>
                  <w:tcW w:w="1344" w:type="dxa"/>
                  <w:vAlign w:val="center"/>
                </w:tcPr>
                <w:p>
                  <w:pPr>
                    <w:pStyle w:val="251"/>
                    <w:spacing w:line="240" w:lineRule="auto"/>
                    <w:ind w:firstLine="0" w:firstLineChars="0"/>
                    <w:jc w:val="center"/>
                    <w:rPr>
                      <w:sz w:val="18"/>
                      <w:szCs w:val="18"/>
                      <w:lang w:bidi="ar"/>
                    </w:rPr>
                  </w:pPr>
                  <w:r>
                    <w:rPr>
                      <w:sz w:val="18"/>
                      <w:szCs w:val="18"/>
                      <w:lang w:bidi="ar"/>
                    </w:rPr>
                    <w:t>/</w:t>
                  </w:r>
                </w:p>
              </w:tc>
              <w:tc>
                <w:tcPr>
                  <w:tcW w:w="1344" w:type="dxa"/>
                  <w:vAlign w:val="center"/>
                </w:tcPr>
                <w:p>
                  <w:pPr>
                    <w:pStyle w:val="251"/>
                    <w:spacing w:line="240" w:lineRule="auto"/>
                    <w:ind w:firstLine="0" w:firstLineChars="0"/>
                    <w:jc w:val="center"/>
                    <w:rPr>
                      <w:sz w:val="18"/>
                      <w:szCs w:val="18"/>
                      <w:lang w:bidi="ar"/>
                    </w:rPr>
                  </w:pPr>
                </w:p>
              </w:tc>
            </w:tr>
          </w:tbl>
          <w:p>
            <w:pPr>
              <w:pStyle w:val="251"/>
              <w:ind w:firstLine="420"/>
              <w:rPr>
                <w:sz w:val="21"/>
                <w:szCs w:val="24"/>
                <w:lang w:bidi="ar"/>
              </w:rPr>
            </w:pPr>
            <w:r>
              <w:rPr>
                <w:sz w:val="21"/>
                <w:szCs w:val="24"/>
                <w:lang w:bidi="ar"/>
              </w:rPr>
              <w:fldChar w:fldCharType="begin"/>
            </w:r>
            <w:r>
              <w:rPr>
                <w:sz w:val="21"/>
                <w:szCs w:val="24"/>
                <w:lang w:bidi="ar"/>
              </w:rPr>
              <w:instrText xml:space="preserve"> </w:instrText>
            </w:r>
            <w:r>
              <w:rPr>
                <w:rFonts w:hint="eastAsia"/>
                <w:sz w:val="21"/>
                <w:szCs w:val="24"/>
                <w:lang w:bidi="ar"/>
              </w:rPr>
              <w:instrText xml:space="preserve">= 2 \* GB3</w:instrText>
            </w:r>
            <w:r>
              <w:rPr>
                <w:sz w:val="21"/>
                <w:szCs w:val="24"/>
                <w:lang w:bidi="ar"/>
              </w:rPr>
              <w:instrText xml:space="preserve"> </w:instrText>
            </w:r>
            <w:r>
              <w:rPr>
                <w:sz w:val="21"/>
                <w:szCs w:val="24"/>
                <w:lang w:bidi="ar"/>
              </w:rPr>
              <w:fldChar w:fldCharType="separate"/>
            </w:r>
            <w:r>
              <w:rPr>
                <w:rFonts w:hint="eastAsia"/>
                <w:sz w:val="21"/>
                <w:szCs w:val="24"/>
                <w:lang w:bidi="ar"/>
              </w:rPr>
              <w:t>②</w:t>
            </w:r>
            <w:r>
              <w:rPr>
                <w:sz w:val="21"/>
                <w:szCs w:val="24"/>
                <w:lang w:bidi="ar"/>
              </w:rPr>
              <w:fldChar w:fldCharType="end"/>
            </w:r>
            <w:r>
              <w:rPr>
                <w:sz w:val="21"/>
                <w:szCs w:val="24"/>
                <w:lang w:bidi="ar"/>
              </w:rPr>
              <w:t>评价标准与方法</w:t>
            </w:r>
          </w:p>
          <w:p>
            <w:pPr>
              <w:pStyle w:val="251"/>
              <w:ind w:firstLine="420"/>
              <w:rPr>
                <w:sz w:val="21"/>
                <w:szCs w:val="24"/>
                <w:lang w:bidi="ar"/>
              </w:rPr>
            </w:pPr>
            <w:r>
              <w:rPr>
                <w:sz w:val="21"/>
                <w:szCs w:val="24"/>
                <w:lang w:bidi="ar"/>
              </w:rPr>
              <w:t>大气特征因子H</w:t>
            </w:r>
            <w:r>
              <w:rPr>
                <w:sz w:val="21"/>
                <w:szCs w:val="24"/>
                <w:vertAlign w:val="subscript"/>
                <w:lang w:bidi="ar"/>
              </w:rPr>
              <w:t>2</w:t>
            </w:r>
            <w:r>
              <w:rPr>
                <w:sz w:val="21"/>
                <w:szCs w:val="24"/>
                <w:lang w:bidi="ar"/>
              </w:rPr>
              <w:t>S执行《环境影响评价技术导则</w:t>
            </w:r>
            <w:r>
              <w:rPr>
                <w:rFonts w:hint="eastAsia"/>
                <w:sz w:val="21"/>
                <w:szCs w:val="24"/>
                <w:lang w:bidi="ar"/>
              </w:rPr>
              <w:t xml:space="preserve"> </w:t>
            </w:r>
            <w:r>
              <w:rPr>
                <w:sz w:val="21"/>
                <w:szCs w:val="24"/>
                <w:lang w:bidi="ar"/>
              </w:rPr>
              <w:t>大气环境》（HJ2.2-2018）中其他污染物空气质量浓度参考限值的1h平均值。</w:t>
            </w:r>
          </w:p>
          <w:p>
            <w:pPr>
              <w:pStyle w:val="251"/>
              <w:ind w:firstLine="420"/>
              <w:rPr>
                <w:sz w:val="21"/>
                <w:szCs w:val="24"/>
                <w:lang w:bidi="ar"/>
              </w:rPr>
            </w:pPr>
            <w:r>
              <w:rPr>
                <w:sz w:val="21"/>
                <w:szCs w:val="24"/>
                <w:lang w:bidi="ar"/>
              </w:rPr>
              <w:t>本评价采用导则推荐的最大浓度占标率进行评价。评价公式如下：</w:t>
            </w:r>
          </w:p>
          <w:p>
            <w:pPr>
              <w:pStyle w:val="251"/>
              <w:ind w:firstLine="420"/>
              <w:jc w:val="center"/>
              <w:rPr>
                <w:sz w:val="21"/>
                <w:szCs w:val="24"/>
                <w:lang w:bidi="ar"/>
              </w:rPr>
            </w:pPr>
            <w:r>
              <w:rPr>
                <w:sz w:val="21"/>
                <w:szCs w:val="24"/>
                <w:lang w:bidi="ar"/>
              </w:rPr>
              <w:t>Pij=Cij/Csj×100%</w:t>
            </w:r>
          </w:p>
          <w:p>
            <w:pPr>
              <w:pStyle w:val="251"/>
              <w:ind w:firstLine="420"/>
              <w:rPr>
                <w:sz w:val="21"/>
                <w:szCs w:val="24"/>
                <w:lang w:bidi="ar"/>
              </w:rPr>
            </w:pPr>
            <w:r>
              <w:rPr>
                <w:sz w:val="21"/>
                <w:szCs w:val="24"/>
                <w:lang w:bidi="ar"/>
              </w:rPr>
              <w:t>式中：Pij——第i现状监测点第污染因子j的最大浓度占标率，其值在0～100%之间为满足标准，大于100%则为超标；</w:t>
            </w:r>
          </w:p>
          <w:p>
            <w:pPr>
              <w:pStyle w:val="251"/>
              <w:ind w:firstLine="420"/>
              <w:rPr>
                <w:sz w:val="21"/>
                <w:szCs w:val="24"/>
                <w:lang w:bidi="ar"/>
              </w:rPr>
            </w:pPr>
            <w:r>
              <w:rPr>
                <w:sz w:val="21"/>
                <w:szCs w:val="24"/>
                <w:lang w:bidi="ar"/>
              </w:rPr>
              <w:t>Cij——第i现状监测点第污染因子j的实测浓度（mg/m</w:t>
            </w:r>
            <w:r>
              <w:rPr>
                <w:sz w:val="21"/>
                <w:szCs w:val="24"/>
                <w:vertAlign w:val="superscript"/>
                <w:lang w:bidi="ar"/>
              </w:rPr>
              <w:t>3</w:t>
            </w:r>
            <w:r>
              <w:rPr>
                <w:sz w:val="21"/>
                <w:szCs w:val="24"/>
                <w:lang w:bidi="ar"/>
              </w:rPr>
              <w:t>）；</w:t>
            </w:r>
          </w:p>
          <w:p>
            <w:pPr>
              <w:pStyle w:val="251"/>
              <w:ind w:firstLine="420"/>
              <w:rPr>
                <w:sz w:val="21"/>
                <w:szCs w:val="24"/>
                <w:lang w:bidi="ar"/>
              </w:rPr>
            </w:pPr>
            <w:r>
              <w:rPr>
                <w:sz w:val="21"/>
                <w:szCs w:val="24"/>
                <w:lang w:bidi="ar"/>
              </w:rPr>
              <w:t>Csj——污染因子j的环境质量标准（mg/m</w:t>
            </w:r>
            <w:r>
              <w:rPr>
                <w:sz w:val="21"/>
                <w:szCs w:val="24"/>
                <w:vertAlign w:val="superscript"/>
                <w:lang w:bidi="ar"/>
              </w:rPr>
              <w:t>3</w:t>
            </w:r>
            <w:r>
              <w:rPr>
                <w:sz w:val="21"/>
                <w:szCs w:val="24"/>
                <w:lang w:bidi="ar"/>
              </w:rPr>
              <w:t>）。</w:t>
            </w:r>
          </w:p>
          <w:p>
            <w:pPr>
              <w:pStyle w:val="251"/>
              <w:ind w:firstLine="420"/>
              <w:rPr>
                <w:sz w:val="21"/>
                <w:szCs w:val="24"/>
                <w:lang w:bidi="ar"/>
              </w:rPr>
            </w:pPr>
            <w:r>
              <w:rPr>
                <w:sz w:val="21"/>
                <w:szCs w:val="24"/>
                <w:lang w:bidi="ar"/>
              </w:rPr>
              <w:fldChar w:fldCharType="begin"/>
            </w:r>
            <w:r>
              <w:rPr>
                <w:sz w:val="21"/>
                <w:szCs w:val="24"/>
                <w:lang w:bidi="ar"/>
              </w:rPr>
              <w:instrText xml:space="preserve"> </w:instrText>
            </w:r>
            <w:r>
              <w:rPr>
                <w:rFonts w:hint="eastAsia"/>
                <w:sz w:val="21"/>
                <w:szCs w:val="24"/>
                <w:lang w:bidi="ar"/>
              </w:rPr>
              <w:instrText xml:space="preserve">= 3 \* GB3</w:instrText>
            </w:r>
            <w:r>
              <w:rPr>
                <w:sz w:val="21"/>
                <w:szCs w:val="24"/>
                <w:lang w:bidi="ar"/>
              </w:rPr>
              <w:instrText xml:space="preserve"> </w:instrText>
            </w:r>
            <w:r>
              <w:rPr>
                <w:sz w:val="21"/>
                <w:szCs w:val="24"/>
                <w:lang w:bidi="ar"/>
              </w:rPr>
              <w:fldChar w:fldCharType="separate"/>
            </w:r>
            <w:r>
              <w:rPr>
                <w:rFonts w:hint="eastAsia"/>
                <w:sz w:val="21"/>
                <w:szCs w:val="24"/>
                <w:lang w:bidi="ar"/>
              </w:rPr>
              <w:t>③</w:t>
            </w:r>
            <w:r>
              <w:rPr>
                <w:sz w:val="21"/>
                <w:szCs w:val="24"/>
                <w:lang w:bidi="ar"/>
              </w:rPr>
              <w:fldChar w:fldCharType="end"/>
            </w:r>
            <w:r>
              <w:rPr>
                <w:sz w:val="21"/>
                <w:szCs w:val="24"/>
                <w:lang w:bidi="ar"/>
              </w:rPr>
              <w:t>监测及评价结果</w:t>
            </w:r>
          </w:p>
          <w:p>
            <w:pPr>
              <w:pStyle w:val="251"/>
              <w:ind w:firstLine="420"/>
              <w:rPr>
                <w:sz w:val="21"/>
                <w:szCs w:val="24"/>
                <w:lang w:bidi="ar"/>
              </w:rPr>
            </w:pPr>
            <w:r>
              <w:rPr>
                <w:sz w:val="21"/>
                <w:szCs w:val="24"/>
                <w:lang w:bidi="ar"/>
              </w:rPr>
              <w:t>监测点环境空气现状监测值和评价结果见</w:t>
            </w:r>
            <w:r>
              <w:rPr>
                <w:rFonts w:hint="eastAsia"/>
                <w:sz w:val="21"/>
                <w:szCs w:val="24"/>
                <w:lang w:bidi="ar"/>
              </w:rPr>
              <w:t>下表</w:t>
            </w:r>
            <w:r>
              <w:rPr>
                <w:sz w:val="21"/>
                <w:szCs w:val="24"/>
                <w:lang w:bidi="ar"/>
              </w:rPr>
              <w:t>。</w:t>
            </w:r>
          </w:p>
          <w:p>
            <w:pPr>
              <w:pStyle w:val="375"/>
              <w:numPr>
                <w:ilvl w:val="0"/>
                <w:numId w:val="6"/>
              </w:numPr>
              <w:adjustRightInd w:val="0"/>
              <w:snapToGrid w:val="0"/>
              <w:spacing w:line="360" w:lineRule="auto"/>
              <w:ind w:left="0" w:firstLine="0" w:firstLineChars="0"/>
              <w:jc w:val="center"/>
              <w:rPr>
                <w:b/>
                <w:bCs/>
                <w:kern w:val="0"/>
              </w:rPr>
            </w:pPr>
            <w:r>
              <w:rPr>
                <w:b/>
                <w:bCs/>
                <w:kern w:val="0"/>
              </w:rPr>
              <w:t>特征因子环境现状监测结果一览表</w:t>
            </w:r>
          </w:p>
          <w:tbl>
            <w:tblPr>
              <w:tblStyle w:val="4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1"/>
              <w:gridCol w:w="692"/>
              <w:gridCol w:w="589"/>
              <w:gridCol w:w="710"/>
              <w:gridCol w:w="1249"/>
              <w:gridCol w:w="1276"/>
              <w:gridCol w:w="849"/>
              <w:gridCol w:w="849"/>
              <w:gridCol w:w="8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91" w:type="dxa"/>
                  <w:vMerge w:val="restart"/>
                  <w:vAlign w:val="center"/>
                </w:tcPr>
                <w:p>
                  <w:pPr>
                    <w:pStyle w:val="251"/>
                    <w:spacing w:line="240" w:lineRule="auto"/>
                    <w:ind w:firstLine="0" w:firstLineChars="0"/>
                    <w:jc w:val="center"/>
                    <w:rPr>
                      <w:sz w:val="18"/>
                      <w:szCs w:val="21"/>
                      <w:lang w:bidi="ar"/>
                    </w:rPr>
                  </w:pPr>
                  <w:r>
                    <w:rPr>
                      <w:sz w:val="18"/>
                      <w:szCs w:val="21"/>
                      <w:lang w:bidi="ar"/>
                    </w:rPr>
                    <w:t>监测点名称</w:t>
                  </w:r>
                </w:p>
              </w:tc>
              <w:tc>
                <w:tcPr>
                  <w:tcW w:w="1281" w:type="dxa"/>
                  <w:gridSpan w:val="2"/>
                  <w:vAlign w:val="center"/>
                </w:tcPr>
                <w:p>
                  <w:pPr>
                    <w:pStyle w:val="251"/>
                    <w:spacing w:line="240" w:lineRule="auto"/>
                    <w:ind w:firstLine="0" w:firstLineChars="0"/>
                    <w:jc w:val="center"/>
                    <w:rPr>
                      <w:sz w:val="18"/>
                      <w:szCs w:val="21"/>
                      <w:lang w:bidi="ar"/>
                    </w:rPr>
                  </w:pPr>
                  <w:r>
                    <w:rPr>
                      <w:sz w:val="18"/>
                      <w:szCs w:val="21"/>
                      <w:lang w:bidi="ar"/>
                    </w:rPr>
                    <w:t>监测点坐标/m</w:t>
                  </w:r>
                </w:p>
              </w:tc>
              <w:tc>
                <w:tcPr>
                  <w:tcW w:w="710" w:type="dxa"/>
                  <w:vMerge w:val="restart"/>
                  <w:vAlign w:val="center"/>
                </w:tcPr>
                <w:p>
                  <w:pPr>
                    <w:pStyle w:val="251"/>
                    <w:spacing w:line="240" w:lineRule="auto"/>
                    <w:ind w:firstLine="0" w:firstLineChars="0"/>
                    <w:jc w:val="center"/>
                    <w:rPr>
                      <w:sz w:val="18"/>
                      <w:szCs w:val="21"/>
                      <w:lang w:bidi="ar"/>
                    </w:rPr>
                  </w:pPr>
                  <w:r>
                    <w:rPr>
                      <w:sz w:val="18"/>
                      <w:szCs w:val="21"/>
                      <w:lang w:bidi="ar"/>
                    </w:rPr>
                    <w:t>污染物</w:t>
                  </w:r>
                </w:p>
              </w:tc>
              <w:tc>
                <w:tcPr>
                  <w:tcW w:w="1249" w:type="dxa"/>
                  <w:vMerge w:val="restart"/>
                  <w:vAlign w:val="center"/>
                </w:tcPr>
                <w:p>
                  <w:pPr>
                    <w:pStyle w:val="251"/>
                    <w:spacing w:line="240" w:lineRule="auto"/>
                    <w:ind w:firstLine="0" w:firstLineChars="0"/>
                    <w:jc w:val="center"/>
                    <w:rPr>
                      <w:sz w:val="18"/>
                      <w:szCs w:val="21"/>
                      <w:lang w:bidi="ar"/>
                    </w:rPr>
                  </w:pPr>
                  <w:r>
                    <w:rPr>
                      <w:sz w:val="18"/>
                      <w:szCs w:val="21"/>
                      <w:lang w:bidi="ar"/>
                    </w:rPr>
                    <w:t>评价标准（mg/m</w:t>
                  </w:r>
                  <w:r>
                    <w:rPr>
                      <w:sz w:val="18"/>
                      <w:szCs w:val="21"/>
                      <w:vertAlign w:val="superscript"/>
                      <w:lang w:bidi="ar"/>
                    </w:rPr>
                    <w:t>3</w:t>
                  </w:r>
                  <w:r>
                    <w:rPr>
                      <w:sz w:val="18"/>
                      <w:szCs w:val="21"/>
                      <w:lang w:bidi="ar"/>
                    </w:rPr>
                    <w:t>）</w:t>
                  </w:r>
                </w:p>
              </w:tc>
              <w:tc>
                <w:tcPr>
                  <w:tcW w:w="1276" w:type="dxa"/>
                  <w:vMerge w:val="restart"/>
                  <w:vAlign w:val="center"/>
                </w:tcPr>
                <w:p>
                  <w:pPr>
                    <w:pStyle w:val="251"/>
                    <w:spacing w:line="240" w:lineRule="auto"/>
                    <w:ind w:firstLine="0" w:firstLineChars="0"/>
                    <w:jc w:val="center"/>
                    <w:rPr>
                      <w:sz w:val="18"/>
                      <w:szCs w:val="21"/>
                      <w:lang w:bidi="ar"/>
                    </w:rPr>
                  </w:pPr>
                  <w:r>
                    <w:rPr>
                      <w:sz w:val="18"/>
                      <w:szCs w:val="21"/>
                      <w:lang w:bidi="ar"/>
                    </w:rPr>
                    <w:t>监测浓度范围（mg/m</w:t>
                  </w:r>
                  <w:r>
                    <w:rPr>
                      <w:sz w:val="18"/>
                      <w:szCs w:val="21"/>
                      <w:vertAlign w:val="superscript"/>
                      <w:lang w:bidi="ar"/>
                    </w:rPr>
                    <w:t>3</w:t>
                  </w:r>
                  <w:r>
                    <w:rPr>
                      <w:sz w:val="18"/>
                      <w:szCs w:val="21"/>
                      <w:lang w:bidi="ar"/>
                    </w:rPr>
                    <w:t>）</w:t>
                  </w:r>
                </w:p>
              </w:tc>
              <w:tc>
                <w:tcPr>
                  <w:tcW w:w="849" w:type="dxa"/>
                  <w:vMerge w:val="restart"/>
                  <w:vAlign w:val="center"/>
                </w:tcPr>
                <w:p>
                  <w:pPr>
                    <w:pStyle w:val="251"/>
                    <w:spacing w:line="240" w:lineRule="auto"/>
                    <w:ind w:firstLine="0" w:firstLineChars="0"/>
                    <w:jc w:val="center"/>
                    <w:rPr>
                      <w:sz w:val="18"/>
                      <w:szCs w:val="21"/>
                      <w:lang w:bidi="ar"/>
                    </w:rPr>
                  </w:pPr>
                  <w:r>
                    <w:rPr>
                      <w:sz w:val="18"/>
                      <w:szCs w:val="21"/>
                      <w:lang w:bidi="ar"/>
                    </w:rPr>
                    <w:t>最大浓度占标率</w:t>
                  </w:r>
                </w:p>
              </w:tc>
              <w:tc>
                <w:tcPr>
                  <w:tcW w:w="849" w:type="dxa"/>
                  <w:vMerge w:val="restart"/>
                  <w:vAlign w:val="center"/>
                </w:tcPr>
                <w:p>
                  <w:pPr>
                    <w:pStyle w:val="251"/>
                    <w:spacing w:line="240" w:lineRule="auto"/>
                    <w:ind w:firstLine="0" w:firstLineChars="0"/>
                    <w:jc w:val="center"/>
                    <w:rPr>
                      <w:sz w:val="18"/>
                      <w:szCs w:val="21"/>
                      <w:lang w:bidi="ar"/>
                    </w:rPr>
                  </w:pPr>
                  <w:r>
                    <w:rPr>
                      <w:sz w:val="18"/>
                      <w:szCs w:val="21"/>
                      <w:lang w:bidi="ar"/>
                    </w:rPr>
                    <w:t>超标率</w:t>
                  </w:r>
                </w:p>
              </w:tc>
              <w:tc>
                <w:tcPr>
                  <w:tcW w:w="822" w:type="dxa"/>
                  <w:vMerge w:val="restart"/>
                  <w:vAlign w:val="center"/>
                </w:tcPr>
                <w:p>
                  <w:pPr>
                    <w:pStyle w:val="251"/>
                    <w:spacing w:line="240" w:lineRule="auto"/>
                    <w:ind w:firstLine="0" w:firstLineChars="0"/>
                    <w:jc w:val="center"/>
                    <w:rPr>
                      <w:sz w:val="18"/>
                      <w:szCs w:val="21"/>
                      <w:lang w:bidi="ar"/>
                    </w:rPr>
                  </w:pPr>
                  <w:r>
                    <w:rPr>
                      <w:sz w:val="18"/>
                      <w:szCs w:val="21"/>
                      <w:lang w:bidi="ar"/>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91" w:type="dxa"/>
                  <w:vMerge w:val="continue"/>
                  <w:vAlign w:val="center"/>
                </w:tcPr>
                <w:p>
                  <w:pPr>
                    <w:pStyle w:val="251"/>
                    <w:spacing w:line="240" w:lineRule="auto"/>
                    <w:ind w:firstLine="0" w:firstLineChars="0"/>
                    <w:jc w:val="center"/>
                    <w:rPr>
                      <w:sz w:val="18"/>
                      <w:szCs w:val="21"/>
                      <w:lang w:bidi="ar"/>
                    </w:rPr>
                  </w:pPr>
                </w:p>
              </w:tc>
              <w:tc>
                <w:tcPr>
                  <w:tcW w:w="692" w:type="dxa"/>
                  <w:vAlign w:val="center"/>
                </w:tcPr>
                <w:p>
                  <w:pPr>
                    <w:pStyle w:val="251"/>
                    <w:spacing w:line="240" w:lineRule="auto"/>
                    <w:ind w:firstLine="0" w:firstLineChars="0"/>
                    <w:jc w:val="center"/>
                    <w:rPr>
                      <w:sz w:val="18"/>
                      <w:szCs w:val="21"/>
                      <w:lang w:bidi="ar"/>
                    </w:rPr>
                  </w:pPr>
                  <w:r>
                    <w:rPr>
                      <w:sz w:val="18"/>
                      <w:szCs w:val="21"/>
                      <w:lang w:bidi="ar"/>
                    </w:rPr>
                    <w:t>X</w:t>
                  </w:r>
                </w:p>
              </w:tc>
              <w:tc>
                <w:tcPr>
                  <w:tcW w:w="589" w:type="dxa"/>
                  <w:vAlign w:val="center"/>
                </w:tcPr>
                <w:p>
                  <w:pPr>
                    <w:pStyle w:val="251"/>
                    <w:spacing w:line="240" w:lineRule="auto"/>
                    <w:ind w:firstLine="0" w:firstLineChars="0"/>
                    <w:jc w:val="center"/>
                    <w:rPr>
                      <w:sz w:val="18"/>
                      <w:szCs w:val="21"/>
                      <w:lang w:bidi="ar"/>
                    </w:rPr>
                  </w:pPr>
                  <w:r>
                    <w:rPr>
                      <w:sz w:val="18"/>
                      <w:szCs w:val="21"/>
                      <w:lang w:bidi="ar"/>
                    </w:rPr>
                    <w:t>Y</w:t>
                  </w:r>
                </w:p>
              </w:tc>
              <w:tc>
                <w:tcPr>
                  <w:tcW w:w="710" w:type="dxa"/>
                  <w:vMerge w:val="continue"/>
                  <w:vAlign w:val="center"/>
                </w:tcPr>
                <w:p>
                  <w:pPr>
                    <w:pStyle w:val="251"/>
                    <w:spacing w:line="240" w:lineRule="auto"/>
                    <w:ind w:firstLine="0" w:firstLineChars="0"/>
                    <w:jc w:val="center"/>
                    <w:rPr>
                      <w:sz w:val="18"/>
                      <w:szCs w:val="21"/>
                      <w:lang w:bidi="ar"/>
                    </w:rPr>
                  </w:pPr>
                </w:p>
              </w:tc>
              <w:tc>
                <w:tcPr>
                  <w:tcW w:w="1249" w:type="dxa"/>
                  <w:vMerge w:val="continue"/>
                  <w:vAlign w:val="center"/>
                </w:tcPr>
                <w:p>
                  <w:pPr>
                    <w:pStyle w:val="251"/>
                    <w:spacing w:line="240" w:lineRule="auto"/>
                    <w:ind w:firstLine="0" w:firstLineChars="0"/>
                    <w:jc w:val="center"/>
                    <w:rPr>
                      <w:sz w:val="18"/>
                      <w:szCs w:val="21"/>
                      <w:lang w:bidi="ar"/>
                    </w:rPr>
                  </w:pPr>
                </w:p>
              </w:tc>
              <w:tc>
                <w:tcPr>
                  <w:tcW w:w="1276" w:type="dxa"/>
                  <w:vMerge w:val="continue"/>
                  <w:vAlign w:val="center"/>
                </w:tcPr>
                <w:p>
                  <w:pPr>
                    <w:pStyle w:val="251"/>
                    <w:spacing w:line="240" w:lineRule="auto"/>
                    <w:ind w:firstLine="0" w:firstLineChars="0"/>
                    <w:jc w:val="center"/>
                    <w:rPr>
                      <w:sz w:val="18"/>
                      <w:szCs w:val="21"/>
                      <w:lang w:bidi="ar"/>
                    </w:rPr>
                  </w:pPr>
                </w:p>
              </w:tc>
              <w:tc>
                <w:tcPr>
                  <w:tcW w:w="849" w:type="dxa"/>
                  <w:vMerge w:val="continue"/>
                  <w:vAlign w:val="center"/>
                </w:tcPr>
                <w:p>
                  <w:pPr>
                    <w:pStyle w:val="251"/>
                    <w:spacing w:line="240" w:lineRule="auto"/>
                    <w:ind w:firstLine="0" w:firstLineChars="0"/>
                    <w:jc w:val="center"/>
                    <w:rPr>
                      <w:sz w:val="18"/>
                      <w:szCs w:val="21"/>
                      <w:lang w:bidi="ar"/>
                    </w:rPr>
                  </w:pPr>
                </w:p>
              </w:tc>
              <w:tc>
                <w:tcPr>
                  <w:tcW w:w="849" w:type="dxa"/>
                  <w:vMerge w:val="continue"/>
                  <w:vAlign w:val="center"/>
                </w:tcPr>
                <w:p>
                  <w:pPr>
                    <w:pStyle w:val="251"/>
                    <w:spacing w:line="240" w:lineRule="auto"/>
                    <w:ind w:firstLine="0" w:firstLineChars="0"/>
                    <w:jc w:val="center"/>
                    <w:rPr>
                      <w:sz w:val="18"/>
                      <w:szCs w:val="21"/>
                      <w:lang w:bidi="ar"/>
                    </w:rPr>
                  </w:pPr>
                </w:p>
              </w:tc>
              <w:tc>
                <w:tcPr>
                  <w:tcW w:w="822" w:type="dxa"/>
                  <w:vMerge w:val="continue"/>
                  <w:vAlign w:val="center"/>
                </w:tcPr>
                <w:p>
                  <w:pPr>
                    <w:pStyle w:val="251"/>
                    <w:spacing w:line="240" w:lineRule="auto"/>
                    <w:ind w:firstLine="0" w:firstLineChars="0"/>
                    <w:jc w:val="center"/>
                    <w:rPr>
                      <w:sz w:val="18"/>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91" w:type="dxa"/>
                  <w:vAlign w:val="center"/>
                </w:tcPr>
                <w:p>
                  <w:pPr>
                    <w:pStyle w:val="251"/>
                    <w:spacing w:line="240" w:lineRule="auto"/>
                    <w:ind w:firstLine="0" w:firstLineChars="0"/>
                    <w:jc w:val="center"/>
                    <w:rPr>
                      <w:sz w:val="18"/>
                      <w:szCs w:val="21"/>
                      <w:lang w:bidi="ar"/>
                    </w:rPr>
                  </w:pPr>
                  <w:r>
                    <w:rPr>
                      <w:rFonts w:hint="eastAsia"/>
                      <w:sz w:val="18"/>
                      <w:szCs w:val="21"/>
                      <w:lang w:bidi="ar"/>
                    </w:rPr>
                    <w:t>井场</w:t>
                  </w:r>
                  <w:r>
                    <w:rPr>
                      <w:sz w:val="18"/>
                      <w:szCs w:val="21"/>
                      <w:lang w:bidi="ar"/>
                    </w:rPr>
                    <w:t>内</w:t>
                  </w:r>
                </w:p>
              </w:tc>
              <w:tc>
                <w:tcPr>
                  <w:tcW w:w="692" w:type="dxa"/>
                  <w:vAlign w:val="center"/>
                </w:tcPr>
                <w:p>
                  <w:pPr>
                    <w:pStyle w:val="251"/>
                    <w:spacing w:line="240" w:lineRule="auto"/>
                    <w:ind w:firstLine="0" w:firstLineChars="0"/>
                    <w:jc w:val="center"/>
                    <w:rPr>
                      <w:sz w:val="18"/>
                      <w:szCs w:val="21"/>
                      <w:lang w:bidi="ar"/>
                    </w:rPr>
                  </w:pPr>
                  <w:r>
                    <w:rPr>
                      <w:rFonts w:hint="eastAsia"/>
                      <w:sz w:val="18"/>
                      <w:szCs w:val="21"/>
                      <w:lang w:bidi="ar"/>
                    </w:rPr>
                    <w:t>0</w:t>
                  </w:r>
                </w:p>
              </w:tc>
              <w:tc>
                <w:tcPr>
                  <w:tcW w:w="589" w:type="dxa"/>
                  <w:vAlign w:val="center"/>
                </w:tcPr>
                <w:p>
                  <w:pPr>
                    <w:pStyle w:val="251"/>
                    <w:spacing w:line="240" w:lineRule="auto"/>
                    <w:ind w:firstLine="0" w:firstLineChars="0"/>
                    <w:jc w:val="center"/>
                    <w:rPr>
                      <w:sz w:val="18"/>
                      <w:szCs w:val="21"/>
                      <w:lang w:bidi="ar"/>
                    </w:rPr>
                  </w:pPr>
                  <w:r>
                    <w:rPr>
                      <w:rFonts w:hint="eastAsia"/>
                      <w:sz w:val="18"/>
                      <w:szCs w:val="21"/>
                      <w:lang w:bidi="ar"/>
                    </w:rPr>
                    <w:t>0</w:t>
                  </w:r>
                </w:p>
              </w:tc>
              <w:tc>
                <w:tcPr>
                  <w:tcW w:w="710" w:type="dxa"/>
                  <w:vAlign w:val="center"/>
                </w:tcPr>
                <w:p>
                  <w:pPr>
                    <w:pStyle w:val="251"/>
                    <w:spacing w:line="240" w:lineRule="auto"/>
                    <w:ind w:firstLine="0" w:firstLineChars="0"/>
                    <w:jc w:val="center"/>
                    <w:rPr>
                      <w:sz w:val="18"/>
                      <w:szCs w:val="21"/>
                      <w:lang w:bidi="ar"/>
                    </w:rPr>
                  </w:pPr>
                  <w:r>
                    <w:rPr>
                      <w:sz w:val="18"/>
                      <w:szCs w:val="21"/>
                      <w:lang w:bidi="ar"/>
                    </w:rPr>
                    <w:t>H</w:t>
                  </w:r>
                  <w:r>
                    <w:rPr>
                      <w:sz w:val="18"/>
                      <w:szCs w:val="21"/>
                      <w:vertAlign w:val="subscript"/>
                      <w:lang w:bidi="ar"/>
                    </w:rPr>
                    <w:t>2</w:t>
                  </w:r>
                  <w:r>
                    <w:rPr>
                      <w:sz w:val="18"/>
                      <w:szCs w:val="21"/>
                      <w:lang w:bidi="ar"/>
                    </w:rPr>
                    <w:t>S</w:t>
                  </w:r>
                </w:p>
              </w:tc>
              <w:tc>
                <w:tcPr>
                  <w:tcW w:w="1249" w:type="dxa"/>
                  <w:vAlign w:val="center"/>
                </w:tcPr>
                <w:p>
                  <w:pPr>
                    <w:pStyle w:val="251"/>
                    <w:spacing w:line="240" w:lineRule="auto"/>
                    <w:ind w:firstLine="0" w:firstLineChars="0"/>
                    <w:jc w:val="center"/>
                    <w:rPr>
                      <w:sz w:val="18"/>
                      <w:szCs w:val="21"/>
                      <w:lang w:bidi="ar"/>
                    </w:rPr>
                  </w:pPr>
                  <w:r>
                    <w:rPr>
                      <w:sz w:val="18"/>
                      <w:szCs w:val="21"/>
                      <w:lang w:bidi="ar"/>
                    </w:rPr>
                    <w:t>0.01</w:t>
                  </w:r>
                </w:p>
              </w:tc>
              <w:tc>
                <w:tcPr>
                  <w:tcW w:w="1276" w:type="dxa"/>
                  <w:vAlign w:val="center"/>
                </w:tcPr>
                <w:p>
                  <w:pPr>
                    <w:pStyle w:val="251"/>
                    <w:spacing w:line="240" w:lineRule="auto"/>
                    <w:ind w:firstLine="0" w:firstLineChars="0"/>
                    <w:jc w:val="center"/>
                    <w:rPr>
                      <w:sz w:val="18"/>
                      <w:szCs w:val="21"/>
                      <w:lang w:bidi="ar"/>
                    </w:rPr>
                  </w:pPr>
                  <w:r>
                    <w:rPr>
                      <w:sz w:val="18"/>
                      <w:szCs w:val="21"/>
                      <w:lang w:bidi="ar"/>
                    </w:rPr>
                    <w:t>0.001L</w:t>
                  </w:r>
                </w:p>
              </w:tc>
              <w:tc>
                <w:tcPr>
                  <w:tcW w:w="849" w:type="dxa"/>
                  <w:vAlign w:val="center"/>
                </w:tcPr>
                <w:p>
                  <w:pPr>
                    <w:pStyle w:val="251"/>
                    <w:spacing w:line="240" w:lineRule="auto"/>
                    <w:ind w:firstLine="0" w:firstLineChars="0"/>
                    <w:jc w:val="center"/>
                    <w:rPr>
                      <w:sz w:val="18"/>
                      <w:szCs w:val="21"/>
                      <w:lang w:bidi="ar"/>
                    </w:rPr>
                  </w:pPr>
                  <w:r>
                    <w:rPr>
                      <w:rFonts w:hint="eastAsia"/>
                      <w:sz w:val="18"/>
                      <w:szCs w:val="21"/>
                      <w:lang w:bidi="ar"/>
                    </w:rPr>
                    <w:t>10%</w:t>
                  </w:r>
                </w:p>
              </w:tc>
              <w:tc>
                <w:tcPr>
                  <w:tcW w:w="849" w:type="dxa"/>
                  <w:vAlign w:val="center"/>
                </w:tcPr>
                <w:p>
                  <w:pPr>
                    <w:pStyle w:val="251"/>
                    <w:spacing w:line="240" w:lineRule="auto"/>
                    <w:ind w:firstLine="0" w:firstLineChars="0"/>
                    <w:jc w:val="center"/>
                    <w:rPr>
                      <w:sz w:val="18"/>
                      <w:szCs w:val="21"/>
                      <w:lang w:bidi="ar"/>
                    </w:rPr>
                  </w:pPr>
                  <w:r>
                    <w:rPr>
                      <w:sz w:val="18"/>
                      <w:szCs w:val="21"/>
                      <w:lang w:bidi="ar"/>
                    </w:rPr>
                    <w:t>/</w:t>
                  </w:r>
                </w:p>
              </w:tc>
              <w:tc>
                <w:tcPr>
                  <w:tcW w:w="822" w:type="dxa"/>
                  <w:vAlign w:val="center"/>
                </w:tcPr>
                <w:p>
                  <w:pPr>
                    <w:pStyle w:val="251"/>
                    <w:spacing w:line="240" w:lineRule="auto"/>
                    <w:ind w:firstLine="0" w:firstLineChars="0"/>
                    <w:jc w:val="center"/>
                    <w:rPr>
                      <w:sz w:val="18"/>
                      <w:szCs w:val="21"/>
                      <w:lang w:bidi="ar"/>
                    </w:rPr>
                  </w:pPr>
                  <w:r>
                    <w:rPr>
                      <w:sz w:val="18"/>
                      <w:szCs w:val="21"/>
                      <w:lang w:bidi="ar"/>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027" w:type="dxa"/>
                  <w:gridSpan w:val="9"/>
                  <w:vAlign w:val="center"/>
                </w:tcPr>
                <w:p>
                  <w:pPr>
                    <w:pStyle w:val="251"/>
                    <w:spacing w:line="240" w:lineRule="auto"/>
                    <w:ind w:firstLine="0" w:firstLineChars="0"/>
                    <w:rPr>
                      <w:sz w:val="18"/>
                      <w:szCs w:val="21"/>
                      <w:lang w:bidi="ar"/>
                    </w:rPr>
                  </w:pPr>
                  <w:r>
                    <w:rPr>
                      <w:sz w:val="18"/>
                      <w:szCs w:val="21"/>
                      <w:lang w:bidi="ar"/>
                    </w:rPr>
                    <w:t>注：检测结果未检出或小于检出限以</w:t>
                  </w:r>
                  <w:r>
                    <w:rPr>
                      <w:rFonts w:ascii="宋体" w:hAnsi="宋体"/>
                      <w:sz w:val="18"/>
                      <w:szCs w:val="21"/>
                      <w:lang w:bidi="ar"/>
                    </w:rPr>
                    <w:t>“</w:t>
                  </w:r>
                  <w:r>
                    <w:rPr>
                      <w:sz w:val="18"/>
                      <w:szCs w:val="21"/>
                      <w:lang w:bidi="ar"/>
                    </w:rPr>
                    <w:t>检出限+L</w:t>
                  </w:r>
                  <w:r>
                    <w:rPr>
                      <w:rFonts w:ascii="宋体" w:hAnsi="宋体"/>
                      <w:sz w:val="18"/>
                      <w:szCs w:val="21"/>
                      <w:lang w:bidi="ar"/>
                    </w:rPr>
                    <w:t>”</w:t>
                  </w:r>
                  <w:r>
                    <w:rPr>
                      <w:sz w:val="18"/>
                      <w:szCs w:val="21"/>
                      <w:lang w:bidi="ar"/>
                    </w:rPr>
                    <w:t>表示</w:t>
                  </w:r>
                </w:p>
              </w:tc>
            </w:tr>
          </w:tbl>
          <w:p>
            <w:pPr>
              <w:adjustRightInd w:val="0"/>
              <w:snapToGrid w:val="0"/>
              <w:spacing w:line="360" w:lineRule="auto"/>
              <w:ind w:firstLine="420" w:firstLineChars="200"/>
              <w:rPr>
                <w:szCs w:val="32"/>
                <w:lang w:bidi="ar"/>
              </w:rPr>
            </w:pPr>
          </w:p>
          <w:p>
            <w:pPr>
              <w:adjustRightInd w:val="0"/>
              <w:snapToGrid w:val="0"/>
              <w:spacing w:line="360" w:lineRule="auto"/>
              <w:ind w:firstLine="420" w:firstLineChars="200"/>
              <w:rPr>
                <w:szCs w:val="32"/>
                <w:lang w:bidi="ar"/>
              </w:rPr>
            </w:pPr>
            <w:r>
              <w:rPr>
                <w:szCs w:val="32"/>
                <w:lang w:bidi="ar"/>
              </w:rPr>
              <w:t>根据监测点环境空气质量监测结果表明，项目所在地H</w:t>
            </w:r>
            <w:r>
              <w:rPr>
                <w:szCs w:val="32"/>
                <w:vertAlign w:val="subscript"/>
                <w:lang w:bidi="ar"/>
              </w:rPr>
              <w:t>2</w:t>
            </w:r>
            <w:r>
              <w:rPr>
                <w:szCs w:val="32"/>
                <w:lang w:bidi="ar"/>
              </w:rPr>
              <w:t>S满足《环境影响评价技术导则 大气环境》（HJ 2.2-2018）中其他污染物空气质量浓度参考限值的1h平均值要求。</w:t>
            </w:r>
          </w:p>
          <w:p>
            <w:pPr>
              <w:adjustRightInd w:val="0"/>
              <w:snapToGrid w:val="0"/>
              <w:spacing w:line="360" w:lineRule="auto"/>
              <w:ind w:firstLine="420" w:firstLineChars="200"/>
              <w:rPr>
                <w:szCs w:val="21"/>
                <w:lang w:bidi="ar"/>
              </w:rPr>
            </w:pPr>
            <w:r>
              <w:rPr>
                <w:szCs w:val="21"/>
                <w:lang w:bidi="ar"/>
              </w:rPr>
              <w:t>2、地表水环境</w:t>
            </w:r>
          </w:p>
          <w:p>
            <w:pPr>
              <w:adjustRightInd w:val="0"/>
              <w:snapToGrid w:val="0"/>
              <w:spacing w:line="360" w:lineRule="auto"/>
              <w:ind w:firstLine="420" w:firstLineChars="200"/>
              <w:rPr>
                <w:kern w:val="0"/>
                <w:szCs w:val="21"/>
              </w:rPr>
            </w:pPr>
            <w:r>
              <w:rPr>
                <w:kern w:val="0"/>
                <w:szCs w:val="21"/>
              </w:rPr>
              <w:t>根据《2022年2月达州市地表水水质月报》，2022年2月全市32个开展了监测的河流断面中，优（I~II类）良（III类）水质断面29个，占比90.6%；轻度污染（IV类）水质断面3个，占比9.4%。</w:t>
            </w:r>
          </w:p>
          <w:p>
            <w:pPr>
              <w:adjustRightInd w:val="0"/>
              <w:snapToGrid w:val="0"/>
              <w:spacing w:line="360" w:lineRule="auto"/>
              <w:ind w:firstLine="420" w:firstLineChars="200"/>
              <w:rPr>
                <w:kern w:val="0"/>
                <w:szCs w:val="21"/>
              </w:rPr>
            </w:pPr>
            <w:r>
              <w:rPr>
                <w:kern w:val="0"/>
                <w:szCs w:val="21"/>
              </w:rPr>
              <w:t>全市河流断面超标情况为：流江河白兔乡、石桥河凌家桥、东柳河墩子河断面受到轻度污染，主要污染指标为氨氮、五日生化需氧量。</w:t>
            </w:r>
          </w:p>
          <w:p>
            <w:pPr>
              <w:pStyle w:val="331"/>
              <w:numPr>
                <w:ilvl w:val="0"/>
                <w:numId w:val="6"/>
              </w:numPr>
              <w:adjustRightInd w:val="0"/>
              <w:snapToGrid w:val="0"/>
              <w:spacing w:line="360" w:lineRule="auto"/>
              <w:ind w:left="0" w:firstLine="0" w:firstLineChars="0"/>
              <w:jc w:val="center"/>
              <w:rPr>
                <w:b/>
                <w:bCs/>
                <w:kern w:val="0"/>
                <w:szCs w:val="21"/>
              </w:rPr>
            </w:pPr>
            <w:r>
              <w:rPr>
                <w:b/>
                <w:bCs/>
                <w:kern w:val="0"/>
                <w:szCs w:val="21"/>
              </w:rPr>
              <w:t>2022年2月达州市巴河水系水质评价结果表</w:t>
            </w:r>
          </w:p>
          <w:tbl>
            <w:tblPr>
              <w:tblStyle w:val="42"/>
              <w:tblW w:w="806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3"/>
              <w:gridCol w:w="412"/>
              <w:gridCol w:w="722"/>
              <w:gridCol w:w="1260"/>
              <w:gridCol w:w="1391"/>
              <w:gridCol w:w="1326"/>
              <w:gridCol w:w="628"/>
              <w:gridCol w:w="628"/>
              <w:gridCol w:w="628"/>
              <w:gridCol w:w="6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403" w:type="dxa"/>
                  <w:vAlign w:val="center"/>
                </w:tcPr>
                <w:p>
                  <w:pPr>
                    <w:pStyle w:val="361"/>
                    <w:rPr>
                      <w:szCs w:val="21"/>
                    </w:rPr>
                  </w:pPr>
                  <w:r>
                    <w:rPr>
                      <w:szCs w:val="21"/>
                    </w:rPr>
                    <w:t>序号</w:t>
                  </w:r>
                </w:p>
              </w:tc>
              <w:tc>
                <w:tcPr>
                  <w:tcW w:w="1134" w:type="dxa"/>
                  <w:gridSpan w:val="2"/>
                  <w:vAlign w:val="center"/>
                </w:tcPr>
                <w:p>
                  <w:pPr>
                    <w:pStyle w:val="361"/>
                    <w:rPr>
                      <w:szCs w:val="21"/>
                    </w:rPr>
                  </w:pPr>
                  <w:r>
                    <w:rPr>
                      <w:szCs w:val="21"/>
                    </w:rPr>
                    <w:t>河流名称</w:t>
                  </w:r>
                </w:p>
              </w:tc>
              <w:tc>
                <w:tcPr>
                  <w:tcW w:w="1260" w:type="dxa"/>
                  <w:vAlign w:val="center"/>
                </w:tcPr>
                <w:p>
                  <w:pPr>
                    <w:pStyle w:val="361"/>
                    <w:rPr>
                      <w:szCs w:val="21"/>
                    </w:rPr>
                  </w:pPr>
                  <w:r>
                    <w:rPr>
                      <w:szCs w:val="21"/>
                    </w:rPr>
                    <w:t>断面名称</w:t>
                  </w:r>
                </w:p>
              </w:tc>
              <w:tc>
                <w:tcPr>
                  <w:tcW w:w="1391" w:type="dxa"/>
                  <w:vAlign w:val="center"/>
                </w:tcPr>
                <w:p>
                  <w:pPr>
                    <w:pStyle w:val="361"/>
                    <w:rPr>
                      <w:szCs w:val="21"/>
                    </w:rPr>
                  </w:pPr>
                  <w:r>
                    <w:rPr>
                      <w:szCs w:val="21"/>
                    </w:rPr>
                    <w:t>断面属性</w:t>
                  </w:r>
                </w:p>
              </w:tc>
              <w:tc>
                <w:tcPr>
                  <w:tcW w:w="1326" w:type="dxa"/>
                  <w:vAlign w:val="center"/>
                </w:tcPr>
                <w:p>
                  <w:pPr>
                    <w:pStyle w:val="361"/>
                    <w:rPr>
                      <w:szCs w:val="21"/>
                    </w:rPr>
                  </w:pPr>
                  <w:r>
                    <w:rPr>
                      <w:szCs w:val="21"/>
                    </w:rPr>
                    <w:t>断面性质</w:t>
                  </w:r>
                </w:p>
              </w:tc>
              <w:tc>
                <w:tcPr>
                  <w:tcW w:w="628" w:type="dxa"/>
                  <w:vAlign w:val="center"/>
                </w:tcPr>
                <w:p>
                  <w:pPr>
                    <w:pStyle w:val="361"/>
                    <w:rPr>
                      <w:szCs w:val="21"/>
                    </w:rPr>
                  </w:pPr>
                  <w:r>
                    <w:rPr>
                      <w:szCs w:val="21"/>
                    </w:rPr>
                    <w:t>上年同期</w:t>
                  </w:r>
                </w:p>
              </w:tc>
              <w:tc>
                <w:tcPr>
                  <w:tcW w:w="628" w:type="dxa"/>
                  <w:vAlign w:val="center"/>
                </w:tcPr>
                <w:p>
                  <w:pPr>
                    <w:pStyle w:val="361"/>
                    <w:rPr>
                      <w:szCs w:val="21"/>
                    </w:rPr>
                  </w:pPr>
                  <w:r>
                    <w:rPr>
                      <w:szCs w:val="21"/>
                    </w:rPr>
                    <w:t>上月类别</w:t>
                  </w:r>
                </w:p>
              </w:tc>
              <w:tc>
                <w:tcPr>
                  <w:tcW w:w="628" w:type="dxa"/>
                  <w:vAlign w:val="center"/>
                </w:tcPr>
                <w:p>
                  <w:pPr>
                    <w:pStyle w:val="361"/>
                    <w:rPr>
                      <w:szCs w:val="21"/>
                    </w:rPr>
                  </w:pPr>
                  <w:r>
                    <w:rPr>
                      <w:szCs w:val="21"/>
                    </w:rPr>
                    <w:t>本月类别</w:t>
                  </w:r>
                </w:p>
              </w:tc>
              <w:tc>
                <w:tcPr>
                  <w:tcW w:w="671" w:type="dxa"/>
                  <w:vAlign w:val="center"/>
                </w:tcPr>
                <w:p>
                  <w:pPr>
                    <w:pStyle w:val="361"/>
                    <w:rPr>
                      <w:szCs w:val="21"/>
                    </w:rPr>
                  </w:pPr>
                  <w:r>
                    <w:rPr>
                      <w:szCs w:val="21"/>
                    </w:rPr>
                    <w:t>主要污染指标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403" w:type="dxa"/>
                  <w:vAlign w:val="center"/>
                </w:tcPr>
                <w:p>
                  <w:pPr>
                    <w:pStyle w:val="361"/>
                    <w:rPr>
                      <w:szCs w:val="21"/>
                    </w:rPr>
                  </w:pPr>
                  <w:r>
                    <w:rPr>
                      <w:szCs w:val="21"/>
                    </w:rPr>
                    <w:t>1</w:t>
                  </w:r>
                </w:p>
              </w:tc>
              <w:tc>
                <w:tcPr>
                  <w:tcW w:w="412" w:type="dxa"/>
                  <w:vMerge w:val="restart"/>
                  <w:vAlign w:val="center"/>
                </w:tcPr>
                <w:p>
                  <w:pPr>
                    <w:pStyle w:val="361"/>
                    <w:rPr>
                      <w:szCs w:val="21"/>
                    </w:rPr>
                  </w:pPr>
                  <w:r>
                    <w:rPr>
                      <w:szCs w:val="21"/>
                    </w:rPr>
                    <w:t>巴河水系</w:t>
                  </w:r>
                </w:p>
              </w:tc>
              <w:tc>
                <w:tcPr>
                  <w:tcW w:w="722" w:type="dxa"/>
                  <w:vMerge w:val="restart"/>
                  <w:vAlign w:val="center"/>
                </w:tcPr>
                <w:p>
                  <w:pPr>
                    <w:pStyle w:val="361"/>
                    <w:rPr>
                      <w:szCs w:val="21"/>
                    </w:rPr>
                  </w:pPr>
                  <w:r>
                    <w:rPr>
                      <w:szCs w:val="21"/>
                    </w:rPr>
                    <w:t>干流</w:t>
                  </w:r>
                </w:p>
              </w:tc>
              <w:tc>
                <w:tcPr>
                  <w:tcW w:w="1260" w:type="dxa"/>
                  <w:vAlign w:val="center"/>
                </w:tcPr>
                <w:p>
                  <w:pPr>
                    <w:pStyle w:val="361"/>
                    <w:rPr>
                      <w:szCs w:val="21"/>
                    </w:rPr>
                  </w:pPr>
                  <w:r>
                    <w:rPr>
                      <w:szCs w:val="21"/>
                    </w:rPr>
                    <w:t>江陵</w:t>
                  </w:r>
                </w:p>
              </w:tc>
              <w:tc>
                <w:tcPr>
                  <w:tcW w:w="1391" w:type="dxa"/>
                  <w:vAlign w:val="center"/>
                </w:tcPr>
                <w:p>
                  <w:pPr>
                    <w:pStyle w:val="361"/>
                    <w:rPr>
                      <w:szCs w:val="21"/>
                    </w:rPr>
                  </w:pPr>
                  <w:r>
                    <w:rPr>
                      <w:szCs w:val="21"/>
                    </w:rPr>
                    <w:t>市界（巴中市-达州市）</w:t>
                  </w:r>
                </w:p>
              </w:tc>
              <w:tc>
                <w:tcPr>
                  <w:tcW w:w="1326" w:type="dxa"/>
                  <w:vAlign w:val="center"/>
                </w:tcPr>
                <w:p>
                  <w:pPr>
                    <w:pStyle w:val="361"/>
                    <w:rPr>
                      <w:szCs w:val="21"/>
                    </w:rPr>
                  </w:pPr>
                  <w:r>
                    <w:rPr>
                      <w:rFonts w:ascii="宋体" w:hAnsi="宋体"/>
                      <w:szCs w:val="21"/>
                    </w:rPr>
                    <w:t>“</w:t>
                  </w:r>
                  <w:r>
                    <w:rPr>
                      <w:szCs w:val="21"/>
                    </w:rPr>
                    <w:t>十四五</w:t>
                  </w:r>
                  <w:r>
                    <w:rPr>
                      <w:rFonts w:ascii="宋体" w:hAnsi="宋体"/>
                      <w:szCs w:val="21"/>
                    </w:rPr>
                    <w:t>”</w:t>
                  </w:r>
                  <w:r>
                    <w:rPr>
                      <w:szCs w:val="21"/>
                    </w:rPr>
                    <w:t>国控</w:t>
                  </w:r>
                </w:p>
              </w:tc>
              <w:tc>
                <w:tcPr>
                  <w:tcW w:w="628" w:type="dxa"/>
                  <w:vAlign w:val="center"/>
                </w:tcPr>
                <w:p>
                  <w:pPr>
                    <w:pStyle w:val="361"/>
                    <w:rPr>
                      <w:szCs w:val="21"/>
                    </w:rPr>
                  </w:pPr>
                  <w:r>
                    <w:rPr>
                      <w:szCs w:val="21"/>
                    </w:rPr>
                    <w:fldChar w:fldCharType="begin"/>
                  </w:r>
                  <w:r>
                    <w:rPr>
                      <w:szCs w:val="21"/>
                    </w:rPr>
                    <w:instrText xml:space="preserve"> = 2 \* ROMAN </w:instrText>
                  </w:r>
                  <w:r>
                    <w:rPr>
                      <w:szCs w:val="21"/>
                    </w:rPr>
                    <w:fldChar w:fldCharType="separate"/>
                  </w:r>
                  <w:r>
                    <w:rPr>
                      <w:szCs w:val="21"/>
                    </w:rPr>
                    <w:t>II</w:t>
                  </w:r>
                  <w:r>
                    <w:rPr>
                      <w:szCs w:val="21"/>
                    </w:rPr>
                    <w:fldChar w:fldCharType="end"/>
                  </w:r>
                </w:p>
              </w:tc>
              <w:tc>
                <w:tcPr>
                  <w:tcW w:w="628" w:type="dxa"/>
                  <w:vAlign w:val="center"/>
                </w:tcPr>
                <w:p>
                  <w:pPr>
                    <w:pStyle w:val="361"/>
                    <w:rPr>
                      <w:szCs w:val="21"/>
                    </w:rPr>
                  </w:pPr>
                  <w:r>
                    <w:rPr>
                      <w:szCs w:val="21"/>
                    </w:rPr>
                    <w:fldChar w:fldCharType="begin"/>
                  </w:r>
                  <w:r>
                    <w:rPr>
                      <w:szCs w:val="21"/>
                    </w:rPr>
                    <w:instrText xml:space="preserve"> = 1 \* ROMAN </w:instrText>
                  </w:r>
                  <w:r>
                    <w:rPr>
                      <w:szCs w:val="21"/>
                    </w:rPr>
                    <w:fldChar w:fldCharType="separate"/>
                  </w:r>
                  <w:r>
                    <w:rPr>
                      <w:szCs w:val="21"/>
                    </w:rPr>
                    <w:t>I</w:t>
                  </w:r>
                  <w:r>
                    <w:rPr>
                      <w:szCs w:val="21"/>
                    </w:rPr>
                    <w:fldChar w:fldCharType="end"/>
                  </w:r>
                </w:p>
              </w:tc>
              <w:tc>
                <w:tcPr>
                  <w:tcW w:w="628" w:type="dxa"/>
                  <w:vAlign w:val="center"/>
                </w:tcPr>
                <w:p>
                  <w:pPr>
                    <w:pStyle w:val="361"/>
                    <w:rPr>
                      <w:szCs w:val="21"/>
                    </w:rPr>
                  </w:pPr>
                  <w:r>
                    <w:rPr>
                      <w:szCs w:val="21"/>
                    </w:rPr>
                    <w:fldChar w:fldCharType="begin"/>
                  </w:r>
                  <w:r>
                    <w:rPr>
                      <w:szCs w:val="21"/>
                    </w:rPr>
                    <w:instrText xml:space="preserve"> = 1 \* ROMAN </w:instrText>
                  </w:r>
                  <w:r>
                    <w:rPr>
                      <w:szCs w:val="21"/>
                    </w:rPr>
                    <w:fldChar w:fldCharType="separate"/>
                  </w:r>
                  <w:r>
                    <w:rPr>
                      <w:szCs w:val="21"/>
                    </w:rPr>
                    <w:t>I</w:t>
                  </w:r>
                  <w:r>
                    <w:rPr>
                      <w:szCs w:val="21"/>
                    </w:rPr>
                    <w:fldChar w:fldCharType="end"/>
                  </w:r>
                </w:p>
              </w:tc>
              <w:tc>
                <w:tcPr>
                  <w:tcW w:w="671" w:type="dxa"/>
                  <w:vAlign w:val="center"/>
                </w:tcPr>
                <w:p>
                  <w:pPr>
                    <w:pStyle w:val="361"/>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403" w:type="dxa"/>
                  <w:vAlign w:val="center"/>
                </w:tcPr>
                <w:p>
                  <w:pPr>
                    <w:pStyle w:val="361"/>
                    <w:rPr>
                      <w:szCs w:val="21"/>
                    </w:rPr>
                  </w:pPr>
                  <w:r>
                    <w:rPr>
                      <w:szCs w:val="21"/>
                    </w:rPr>
                    <w:t>2</w:t>
                  </w:r>
                </w:p>
              </w:tc>
              <w:tc>
                <w:tcPr>
                  <w:tcW w:w="412" w:type="dxa"/>
                  <w:vMerge w:val="continue"/>
                  <w:vAlign w:val="center"/>
                </w:tcPr>
                <w:p>
                  <w:pPr>
                    <w:pStyle w:val="361"/>
                    <w:rPr>
                      <w:szCs w:val="21"/>
                    </w:rPr>
                  </w:pPr>
                </w:p>
              </w:tc>
              <w:tc>
                <w:tcPr>
                  <w:tcW w:w="722" w:type="dxa"/>
                  <w:vMerge w:val="continue"/>
                  <w:vAlign w:val="center"/>
                </w:tcPr>
                <w:p>
                  <w:pPr>
                    <w:pStyle w:val="361"/>
                    <w:rPr>
                      <w:szCs w:val="21"/>
                    </w:rPr>
                  </w:pPr>
                </w:p>
              </w:tc>
              <w:tc>
                <w:tcPr>
                  <w:tcW w:w="1260" w:type="dxa"/>
                  <w:vAlign w:val="center"/>
                </w:tcPr>
                <w:p>
                  <w:pPr>
                    <w:pStyle w:val="361"/>
                    <w:rPr>
                      <w:szCs w:val="21"/>
                    </w:rPr>
                  </w:pPr>
                  <w:r>
                    <w:rPr>
                      <w:szCs w:val="21"/>
                    </w:rPr>
                    <w:t>大蹬沟</w:t>
                  </w:r>
                </w:p>
              </w:tc>
              <w:tc>
                <w:tcPr>
                  <w:tcW w:w="1391" w:type="dxa"/>
                  <w:vAlign w:val="center"/>
                </w:tcPr>
                <w:p>
                  <w:pPr>
                    <w:pStyle w:val="361"/>
                    <w:rPr>
                      <w:szCs w:val="21"/>
                    </w:rPr>
                  </w:pPr>
                  <w:r>
                    <w:rPr>
                      <w:szCs w:val="21"/>
                    </w:rPr>
                    <w:t>渠县境内</w:t>
                  </w:r>
                </w:p>
              </w:tc>
              <w:tc>
                <w:tcPr>
                  <w:tcW w:w="1326" w:type="dxa"/>
                  <w:vAlign w:val="center"/>
                </w:tcPr>
                <w:p>
                  <w:pPr>
                    <w:pStyle w:val="361"/>
                    <w:rPr>
                      <w:szCs w:val="21"/>
                    </w:rPr>
                  </w:pPr>
                  <w:r>
                    <w:rPr>
                      <w:rFonts w:ascii="宋体" w:hAnsi="宋体"/>
                      <w:szCs w:val="21"/>
                    </w:rPr>
                    <w:t>“</w:t>
                  </w:r>
                  <w:r>
                    <w:rPr>
                      <w:szCs w:val="21"/>
                    </w:rPr>
                    <w:t>十四五</w:t>
                  </w:r>
                  <w:r>
                    <w:rPr>
                      <w:rFonts w:ascii="宋体" w:hAnsi="宋体"/>
                      <w:szCs w:val="21"/>
                    </w:rPr>
                    <w:t>”</w:t>
                  </w:r>
                  <w:r>
                    <w:rPr>
                      <w:szCs w:val="21"/>
                    </w:rPr>
                    <w:t>国控</w:t>
                  </w:r>
                </w:p>
              </w:tc>
              <w:tc>
                <w:tcPr>
                  <w:tcW w:w="628" w:type="dxa"/>
                  <w:vAlign w:val="center"/>
                </w:tcPr>
                <w:p>
                  <w:pPr>
                    <w:pStyle w:val="361"/>
                    <w:rPr>
                      <w:szCs w:val="21"/>
                    </w:rPr>
                  </w:pPr>
                  <w:r>
                    <w:rPr>
                      <w:szCs w:val="21"/>
                    </w:rPr>
                    <w:fldChar w:fldCharType="begin"/>
                  </w:r>
                  <w:r>
                    <w:rPr>
                      <w:szCs w:val="21"/>
                    </w:rPr>
                    <w:instrText xml:space="preserve"> = 1 \* ROMAN </w:instrText>
                  </w:r>
                  <w:r>
                    <w:rPr>
                      <w:szCs w:val="21"/>
                    </w:rPr>
                    <w:fldChar w:fldCharType="separate"/>
                  </w:r>
                  <w:r>
                    <w:rPr>
                      <w:szCs w:val="21"/>
                    </w:rPr>
                    <w:t>I</w:t>
                  </w:r>
                  <w:r>
                    <w:rPr>
                      <w:szCs w:val="21"/>
                    </w:rPr>
                    <w:fldChar w:fldCharType="end"/>
                  </w:r>
                </w:p>
              </w:tc>
              <w:tc>
                <w:tcPr>
                  <w:tcW w:w="628" w:type="dxa"/>
                  <w:vAlign w:val="center"/>
                </w:tcPr>
                <w:p>
                  <w:pPr>
                    <w:pStyle w:val="361"/>
                    <w:rPr>
                      <w:szCs w:val="21"/>
                    </w:rPr>
                  </w:pPr>
                  <w:r>
                    <w:rPr>
                      <w:szCs w:val="21"/>
                    </w:rPr>
                    <w:fldChar w:fldCharType="begin"/>
                  </w:r>
                  <w:r>
                    <w:rPr>
                      <w:szCs w:val="21"/>
                    </w:rPr>
                    <w:instrText xml:space="preserve"> = 1 \* ROMAN </w:instrText>
                  </w:r>
                  <w:r>
                    <w:rPr>
                      <w:szCs w:val="21"/>
                    </w:rPr>
                    <w:fldChar w:fldCharType="separate"/>
                  </w:r>
                  <w:r>
                    <w:rPr>
                      <w:szCs w:val="21"/>
                    </w:rPr>
                    <w:t>I</w:t>
                  </w:r>
                  <w:r>
                    <w:rPr>
                      <w:szCs w:val="21"/>
                    </w:rPr>
                    <w:fldChar w:fldCharType="end"/>
                  </w:r>
                </w:p>
              </w:tc>
              <w:tc>
                <w:tcPr>
                  <w:tcW w:w="628" w:type="dxa"/>
                  <w:vAlign w:val="center"/>
                </w:tcPr>
                <w:p>
                  <w:pPr>
                    <w:pStyle w:val="361"/>
                    <w:rPr>
                      <w:szCs w:val="21"/>
                    </w:rPr>
                  </w:pPr>
                  <w:r>
                    <w:rPr>
                      <w:szCs w:val="21"/>
                    </w:rPr>
                    <w:fldChar w:fldCharType="begin"/>
                  </w:r>
                  <w:r>
                    <w:rPr>
                      <w:szCs w:val="21"/>
                    </w:rPr>
                    <w:instrText xml:space="preserve"> = 1 \* ROMAN </w:instrText>
                  </w:r>
                  <w:r>
                    <w:rPr>
                      <w:szCs w:val="21"/>
                    </w:rPr>
                    <w:fldChar w:fldCharType="separate"/>
                  </w:r>
                  <w:r>
                    <w:rPr>
                      <w:szCs w:val="21"/>
                    </w:rPr>
                    <w:t>I</w:t>
                  </w:r>
                  <w:r>
                    <w:rPr>
                      <w:szCs w:val="21"/>
                    </w:rPr>
                    <w:fldChar w:fldCharType="end"/>
                  </w:r>
                </w:p>
              </w:tc>
              <w:tc>
                <w:tcPr>
                  <w:tcW w:w="671" w:type="dxa"/>
                  <w:vAlign w:val="center"/>
                </w:tcPr>
                <w:p>
                  <w:pPr>
                    <w:pStyle w:val="361"/>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403" w:type="dxa"/>
                  <w:vAlign w:val="center"/>
                </w:tcPr>
                <w:p>
                  <w:pPr>
                    <w:pStyle w:val="361"/>
                    <w:rPr>
                      <w:szCs w:val="21"/>
                    </w:rPr>
                  </w:pPr>
                  <w:r>
                    <w:rPr>
                      <w:szCs w:val="21"/>
                    </w:rPr>
                    <w:t>3</w:t>
                  </w:r>
                </w:p>
              </w:tc>
              <w:tc>
                <w:tcPr>
                  <w:tcW w:w="412" w:type="dxa"/>
                  <w:vMerge w:val="continue"/>
                  <w:vAlign w:val="center"/>
                </w:tcPr>
                <w:p>
                  <w:pPr>
                    <w:pStyle w:val="361"/>
                    <w:rPr>
                      <w:szCs w:val="21"/>
                    </w:rPr>
                  </w:pPr>
                </w:p>
              </w:tc>
              <w:tc>
                <w:tcPr>
                  <w:tcW w:w="722" w:type="dxa"/>
                  <w:vMerge w:val="continue"/>
                  <w:vAlign w:val="center"/>
                </w:tcPr>
                <w:p>
                  <w:pPr>
                    <w:pStyle w:val="361"/>
                    <w:rPr>
                      <w:szCs w:val="21"/>
                    </w:rPr>
                  </w:pPr>
                </w:p>
              </w:tc>
              <w:tc>
                <w:tcPr>
                  <w:tcW w:w="1260" w:type="dxa"/>
                  <w:vAlign w:val="center"/>
                </w:tcPr>
                <w:p>
                  <w:pPr>
                    <w:pStyle w:val="361"/>
                    <w:rPr>
                      <w:szCs w:val="21"/>
                    </w:rPr>
                  </w:pPr>
                  <w:r>
                    <w:rPr>
                      <w:szCs w:val="21"/>
                    </w:rPr>
                    <w:t>排马梯</w:t>
                  </w:r>
                </w:p>
              </w:tc>
              <w:tc>
                <w:tcPr>
                  <w:tcW w:w="1391" w:type="dxa"/>
                  <w:vAlign w:val="center"/>
                </w:tcPr>
                <w:p>
                  <w:pPr>
                    <w:pStyle w:val="361"/>
                    <w:rPr>
                      <w:szCs w:val="21"/>
                    </w:rPr>
                  </w:pPr>
                  <w:r>
                    <w:rPr>
                      <w:szCs w:val="21"/>
                    </w:rPr>
                    <w:t>县界（通川区-通川区）</w:t>
                  </w:r>
                </w:p>
              </w:tc>
              <w:tc>
                <w:tcPr>
                  <w:tcW w:w="1326" w:type="dxa"/>
                  <w:vAlign w:val="center"/>
                </w:tcPr>
                <w:p>
                  <w:pPr>
                    <w:pStyle w:val="361"/>
                    <w:rPr>
                      <w:szCs w:val="21"/>
                    </w:rPr>
                  </w:pPr>
                  <w:r>
                    <w:rPr>
                      <w:rFonts w:ascii="宋体" w:hAnsi="宋体"/>
                      <w:szCs w:val="21"/>
                    </w:rPr>
                    <w:t>“</w:t>
                  </w:r>
                  <w:r>
                    <w:rPr>
                      <w:szCs w:val="21"/>
                    </w:rPr>
                    <w:t>十四五</w:t>
                  </w:r>
                  <w:r>
                    <w:rPr>
                      <w:rFonts w:ascii="宋体" w:hAnsi="宋体"/>
                      <w:szCs w:val="21"/>
                    </w:rPr>
                    <w:t>”</w:t>
                  </w:r>
                  <w:r>
                    <w:rPr>
                      <w:szCs w:val="21"/>
                    </w:rPr>
                    <w:t>省控考核评价</w:t>
                  </w:r>
                </w:p>
              </w:tc>
              <w:tc>
                <w:tcPr>
                  <w:tcW w:w="628" w:type="dxa"/>
                  <w:vAlign w:val="center"/>
                </w:tcPr>
                <w:p>
                  <w:pPr>
                    <w:pStyle w:val="361"/>
                    <w:rPr>
                      <w:szCs w:val="21"/>
                    </w:rPr>
                  </w:pPr>
                  <w:r>
                    <w:rPr>
                      <w:szCs w:val="21"/>
                    </w:rPr>
                    <w:fldChar w:fldCharType="begin"/>
                  </w:r>
                  <w:r>
                    <w:rPr>
                      <w:szCs w:val="21"/>
                    </w:rPr>
                    <w:instrText xml:space="preserve"> = 3 \* ROMAN </w:instrText>
                  </w:r>
                  <w:r>
                    <w:rPr>
                      <w:szCs w:val="21"/>
                    </w:rPr>
                    <w:fldChar w:fldCharType="separate"/>
                  </w:r>
                  <w:r>
                    <w:rPr>
                      <w:szCs w:val="21"/>
                    </w:rPr>
                    <w:t>III</w:t>
                  </w:r>
                  <w:r>
                    <w:rPr>
                      <w:szCs w:val="21"/>
                    </w:rPr>
                    <w:fldChar w:fldCharType="end"/>
                  </w:r>
                </w:p>
              </w:tc>
              <w:tc>
                <w:tcPr>
                  <w:tcW w:w="628" w:type="dxa"/>
                  <w:vAlign w:val="center"/>
                </w:tcPr>
                <w:p>
                  <w:pPr>
                    <w:pStyle w:val="361"/>
                    <w:rPr>
                      <w:szCs w:val="21"/>
                    </w:rPr>
                  </w:pPr>
                  <w:r>
                    <w:rPr>
                      <w:szCs w:val="21"/>
                    </w:rPr>
                    <w:fldChar w:fldCharType="begin"/>
                  </w:r>
                  <w:r>
                    <w:rPr>
                      <w:szCs w:val="21"/>
                    </w:rPr>
                    <w:instrText xml:space="preserve"> = 2 \* ROMAN </w:instrText>
                  </w:r>
                  <w:r>
                    <w:rPr>
                      <w:szCs w:val="21"/>
                    </w:rPr>
                    <w:fldChar w:fldCharType="separate"/>
                  </w:r>
                  <w:r>
                    <w:rPr>
                      <w:szCs w:val="21"/>
                    </w:rPr>
                    <w:t>II</w:t>
                  </w:r>
                  <w:r>
                    <w:rPr>
                      <w:szCs w:val="21"/>
                    </w:rPr>
                    <w:fldChar w:fldCharType="end"/>
                  </w:r>
                </w:p>
              </w:tc>
              <w:tc>
                <w:tcPr>
                  <w:tcW w:w="628" w:type="dxa"/>
                  <w:vAlign w:val="center"/>
                </w:tcPr>
                <w:p>
                  <w:pPr>
                    <w:pStyle w:val="361"/>
                    <w:rPr>
                      <w:szCs w:val="21"/>
                    </w:rPr>
                  </w:pPr>
                  <w:r>
                    <w:rPr>
                      <w:szCs w:val="21"/>
                    </w:rPr>
                    <w:fldChar w:fldCharType="begin"/>
                  </w:r>
                  <w:r>
                    <w:rPr>
                      <w:szCs w:val="21"/>
                    </w:rPr>
                    <w:instrText xml:space="preserve"> = 2 \* ROMAN </w:instrText>
                  </w:r>
                  <w:r>
                    <w:rPr>
                      <w:szCs w:val="21"/>
                    </w:rPr>
                    <w:fldChar w:fldCharType="separate"/>
                  </w:r>
                  <w:r>
                    <w:rPr>
                      <w:szCs w:val="21"/>
                    </w:rPr>
                    <w:t>II</w:t>
                  </w:r>
                  <w:r>
                    <w:rPr>
                      <w:szCs w:val="21"/>
                    </w:rPr>
                    <w:fldChar w:fldCharType="end"/>
                  </w:r>
                </w:p>
              </w:tc>
              <w:tc>
                <w:tcPr>
                  <w:tcW w:w="671" w:type="dxa"/>
                  <w:vAlign w:val="center"/>
                </w:tcPr>
                <w:p>
                  <w:pPr>
                    <w:pStyle w:val="361"/>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403" w:type="dxa"/>
                  <w:vAlign w:val="center"/>
                </w:tcPr>
                <w:p>
                  <w:pPr>
                    <w:pStyle w:val="361"/>
                    <w:rPr>
                      <w:szCs w:val="21"/>
                    </w:rPr>
                  </w:pPr>
                  <w:r>
                    <w:rPr>
                      <w:szCs w:val="21"/>
                    </w:rPr>
                    <w:t>4</w:t>
                  </w:r>
                </w:p>
              </w:tc>
              <w:tc>
                <w:tcPr>
                  <w:tcW w:w="412" w:type="dxa"/>
                  <w:vMerge w:val="continue"/>
                  <w:vAlign w:val="center"/>
                </w:tcPr>
                <w:p>
                  <w:pPr>
                    <w:pStyle w:val="361"/>
                    <w:rPr>
                      <w:szCs w:val="21"/>
                    </w:rPr>
                  </w:pPr>
                </w:p>
              </w:tc>
              <w:tc>
                <w:tcPr>
                  <w:tcW w:w="722" w:type="dxa"/>
                  <w:vMerge w:val="continue"/>
                  <w:vAlign w:val="center"/>
                </w:tcPr>
                <w:p>
                  <w:pPr>
                    <w:pStyle w:val="361"/>
                    <w:rPr>
                      <w:szCs w:val="21"/>
                    </w:rPr>
                  </w:pPr>
                </w:p>
              </w:tc>
              <w:tc>
                <w:tcPr>
                  <w:tcW w:w="1260" w:type="dxa"/>
                  <w:vAlign w:val="center"/>
                </w:tcPr>
                <w:p>
                  <w:pPr>
                    <w:pStyle w:val="361"/>
                    <w:rPr>
                      <w:szCs w:val="21"/>
                    </w:rPr>
                  </w:pPr>
                  <w:r>
                    <w:rPr>
                      <w:szCs w:val="21"/>
                    </w:rPr>
                    <w:t>清河坝</w:t>
                  </w:r>
                </w:p>
              </w:tc>
              <w:tc>
                <w:tcPr>
                  <w:tcW w:w="1391" w:type="dxa"/>
                  <w:vAlign w:val="center"/>
                </w:tcPr>
                <w:p>
                  <w:pPr>
                    <w:pStyle w:val="361"/>
                    <w:rPr>
                      <w:szCs w:val="21"/>
                    </w:rPr>
                  </w:pPr>
                  <w:r>
                    <w:rPr>
                      <w:szCs w:val="21"/>
                    </w:rPr>
                    <w:t>县界</w:t>
                  </w:r>
                  <w:r>
                    <w:rPr>
                      <w:rFonts w:hint="eastAsia"/>
                      <w:szCs w:val="21"/>
                    </w:rPr>
                    <w:t>（</w:t>
                  </w:r>
                  <w:r>
                    <w:rPr>
                      <w:szCs w:val="21"/>
                    </w:rPr>
                    <w:t>通川区-渠县</w:t>
                  </w:r>
                  <w:r>
                    <w:rPr>
                      <w:rFonts w:hint="eastAsia"/>
                      <w:szCs w:val="21"/>
                    </w:rPr>
                    <w:t>）</w:t>
                  </w:r>
                </w:p>
              </w:tc>
              <w:tc>
                <w:tcPr>
                  <w:tcW w:w="1326" w:type="dxa"/>
                  <w:vAlign w:val="center"/>
                </w:tcPr>
                <w:p>
                  <w:pPr>
                    <w:pStyle w:val="361"/>
                    <w:rPr>
                      <w:szCs w:val="21"/>
                    </w:rPr>
                  </w:pPr>
                  <w:r>
                    <w:rPr>
                      <w:rFonts w:ascii="宋体" w:hAnsi="宋体"/>
                      <w:szCs w:val="21"/>
                    </w:rPr>
                    <w:t>“</w:t>
                  </w:r>
                  <w:r>
                    <w:rPr>
                      <w:szCs w:val="21"/>
                    </w:rPr>
                    <w:t>十四五</w:t>
                  </w:r>
                  <w:r>
                    <w:rPr>
                      <w:rFonts w:ascii="宋体" w:hAnsi="宋体"/>
                      <w:szCs w:val="21"/>
                    </w:rPr>
                    <w:t>”</w:t>
                  </w:r>
                  <w:r>
                    <w:rPr>
                      <w:szCs w:val="21"/>
                    </w:rPr>
                    <w:t>省控考核评价</w:t>
                  </w:r>
                </w:p>
              </w:tc>
              <w:tc>
                <w:tcPr>
                  <w:tcW w:w="628" w:type="dxa"/>
                  <w:vAlign w:val="center"/>
                </w:tcPr>
                <w:p>
                  <w:pPr>
                    <w:pStyle w:val="361"/>
                    <w:rPr>
                      <w:szCs w:val="21"/>
                    </w:rPr>
                  </w:pPr>
                  <w:r>
                    <w:rPr>
                      <w:szCs w:val="21"/>
                    </w:rPr>
                    <w:fldChar w:fldCharType="begin"/>
                  </w:r>
                  <w:r>
                    <w:rPr>
                      <w:szCs w:val="21"/>
                    </w:rPr>
                    <w:instrText xml:space="preserve"> = 2 \* ROMAN </w:instrText>
                  </w:r>
                  <w:r>
                    <w:rPr>
                      <w:szCs w:val="21"/>
                    </w:rPr>
                    <w:fldChar w:fldCharType="separate"/>
                  </w:r>
                  <w:r>
                    <w:rPr>
                      <w:szCs w:val="21"/>
                    </w:rPr>
                    <w:t>II</w:t>
                  </w:r>
                  <w:r>
                    <w:rPr>
                      <w:szCs w:val="21"/>
                    </w:rPr>
                    <w:fldChar w:fldCharType="end"/>
                  </w:r>
                </w:p>
              </w:tc>
              <w:tc>
                <w:tcPr>
                  <w:tcW w:w="628" w:type="dxa"/>
                  <w:vAlign w:val="center"/>
                </w:tcPr>
                <w:p>
                  <w:pPr>
                    <w:pStyle w:val="361"/>
                    <w:rPr>
                      <w:szCs w:val="21"/>
                    </w:rPr>
                  </w:pPr>
                  <w:r>
                    <w:rPr>
                      <w:szCs w:val="21"/>
                    </w:rPr>
                    <w:fldChar w:fldCharType="begin"/>
                  </w:r>
                  <w:r>
                    <w:rPr>
                      <w:szCs w:val="21"/>
                    </w:rPr>
                    <w:instrText xml:space="preserve"> = 3 \* ROMAN </w:instrText>
                  </w:r>
                  <w:r>
                    <w:rPr>
                      <w:szCs w:val="21"/>
                    </w:rPr>
                    <w:fldChar w:fldCharType="separate"/>
                  </w:r>
                  <w:r>
                    <w:rPr>
                      <w:szCs w:val="21"/>
                    </w:rPr>
                    <w:t>III</w:t>
                  </w:r>
                  <w:r>
                    <w:rPr>
                      <w:szCs w:val="21"/>
                    </w:rPr>
                    <w:fldChar w:fldCharType="end"/>
                  </w:r>
                </w:p>
              </w:tc>
              <w:tc>
                <w:tcPr>
                  <w:tcW w:w="628" w:type="dxa"/>
                  <w:vAlign w:val="center"/>
                </w:tcPr>
                <w:p>
                  <w:pPr>
                    <w:pStyle w:val="361"/>
                    <w:rPr>
                      <w:szCs w:val="21"/>
                    </w:rPr>
                  </w:pPr>
                  <w:r>
                    <w:rPr>
                      <w:szCs w:val="21"/>
                    </w:rPr>
                    <w:fldChar w:fldCharType="begin"/>
                  </w:r>
                  <w:r>
                    <w:rPr>
                      <w:szCs w:val="21"/>
                    </w:rPr>
                    <w:instrText xml:space="preserve"> = 2 \* ROMAN </w:instrText>
                  </w:r>
                  <w:r>
                    <w:rPr>
                      <w:szCs w:val="21"/>
                    </w:rPr>
                    <w:fldChar w:fldCharType="separate"/>
                  </w:r>
                  <w:r>
                    <w:rPr>
                      <w:szCs w:val="21"/>
                    </w:rPr>
                    <w:t>II</w:t>
                  </w:r>
                  <w:r>
                    <w:rPr>
                      <w:szCs w:val="21"/>
                    </w:rPr>
                    <w:fldChar w:fldCharType="end"/>
                  </w:r>
                </w:p>
              </w:tc>
              <w:tc>
                <w:tcPr>
                  <w:tcW w:w="671" w:type="dxa"/>
                  <w:vAlign w:val="center"/>
                </w:tcPr>
                <w:p>
                  <w:pPr>
                    <w:pStyle w:val="361"/>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403" w:type="dxa"/>
                  <w:vAlign w:val="center"/>
                </w:tcPr>
                <w:p>
                  <w:pPr>
                    <w:pStyle w:val="361"/>
                    <w:rPr>
                      <w:szCs w:val="21"/>
                    </w:rPr>
                  </w:pPr>
                  <w:r>
                    <w:rPr>
                      <w:szCs w:val="21"/>
                    </w:rPr>
                    <w:t>5</w:t>
                  </w:r>
                </w:p>
              </w:tc>
              <w:tc>
                <w:tcPr>
                  <w:tcW w:w="412" w:type="dxa"/>
                  <w:vMerge w:val="continue"/>
                  <w:vAlign w:val="center"/>
                </w:tcPr>
                <w:p>
                  <w:pPr>
                    <w:pStyle w:val="361"/>
                    <w:rPr>
                      <w:szCs w:val="21"/>
                    </w:rPr>
                  </w:pPr>
                </w:p>
              </w:tc>
              <w:tc>
                <w:tcPr>
                  <w:tcW w:w="722" w:type="dxa"/>
                  <w:vAlign w:val="center"/>
                </w:tcPr>
                <w:p>
                  <w:pPr>
                    <w:pStyle w:val="361"/>
                    <w:rPr>
                      <w:szCs w:val="21"/>
                    </w:rPr>
                  </w:pPr>
                  <w:r>
                    <w:rPr>
                      <w:szCs w:val="21"/>
                    </w:rPr>
                    <w:t>肖口河(长滩河)</w:t>
                  </w:r>
                </w:p>
              </w:tc>
              <w:tc>
                <w:tcPr>
                  <w:tcW w:w="1260" w:type="dxa"/>
                  <w:vAlign w:val="center"/>
                </w:tcPr>
                <w:p>
                  <w:pPr>
                    <w:pStyle w:val="361"/>
                    <w:rPr>
                      <w:szCs w:val="21"/>
                    </w:rPr>
                  </w:pPr>
                  <w:r>
                    <w:rPr>
                      <w:szCs w:val="21"/>
                    </w:rPr>
                    <w:t>苟家湾</w:t>
                  </w:r>
                </w:p>
              </w:tc>
              <w:tc>
                <w:tcPr>
                  <w:tcW w:w="1391" w:type="dxa"/>
                  <w:vAlign w:val="center"/>
                </w:tcPr>
                <w:p>
                  <w:pPr>
                    <w:pStyle w:val="361"/>
                    <w:rPr>
                      <w:szCs w:val="21"/>
                    </w:rPr>
                  </w:pPr>
                  <w:r>
                    <w:rPr>
                      <w:szCs w:val="21"/>
                    </w:rPr>
                    <w:t>市界</w:t>
                  </w:r>
                  <w:r>
                    <w:rPr>
                      <w:rFonts w:hint="eastAsia"/>
                      <w:szCs w:val="21"/>
                    </w:rPr>
                    <w:t>（</w:t>
                  </w:r>
                  <w:r>
                    <w:rPr>
                      <w:szCs w:val="21"/>
                    </w:rPr>
                    <w:t>达州市-巴中市</w:t>
                  </w:r>
                  <w:r>
                    <w:rPr>
                      <w:rFonts w:hint="eastAsia"/>
                      <w:szCs w:val="21"/>
                    </w:rPr>
                    <w:t>）</w:t>
                  </w:r>
                </w:p>
              </w:tc>
              <w:tc>
                <w:tcPr>
                  <w:tcW w:w="1326" w:type="dxa"/>
                  <w:vAlign w:val="center"/>
                </w:tcPr>
                <w:p>
                  <w:pPr>
                    <w:pStyle w:val="361"/>
                    <w:rPr>
                      <w:szCs w:val="21"/>
                    </w:rPr>
                  </w:pPr>
                  <w:r>
                    <w:rPr>
                      <w:rFonts w:ascii="宋体" w:hAnsi="宋体"/>
                      <w:szCs w:val="21"/>
                    </w:rPr>
                    <w:t>“</w:t>
                  </w:r>
                  <w:r>
                    <w:rPr>
                      <w:szCs w:val="21"/>
                    </w:rPr>
                    <w:t>十四五</w:t>
                  </w:r>
                  <w:r>
                    <w:rPr>
                      <w:rFonts w:ascii="宋体" w:hAnsi="宋体"/>
                      <w:szCs w:val="21"/>
                    </w:rPr>
                    <w:t>”</w:t>
                  </w:r>
                  <w:r>
                    <w:rPr>
                      <w:szCs w:val="21"/>
                    </w:rPr>
                    <w:t>国控</w:t>
                  </w:r>
                </w:p>
              </w:tc>
              <w:tc>
                <w:tcPr>
                  <w:tcW w:w="628" w:type="dxa"/>
                  <w:vAlign w:val="center"/>
                </w:tcPr>
                <w:p>
                  <w:pPr>
                    <w:pStyle w:val="361"/>
                    <w:rPr>
                      <w:szCs w:val="21"/>
                    </w:rPr>
                  </w:pPr>
                  <w:r>
                    <w:rPr>
                      <w:szCs w:val="21"/>
                    </w:rPr>
                    <w:fldChar w:fldCharType="begin"/>
                  </w:r>
                  <w:r>
                    <w:rPr>
                      <w:szCs w:val="21"/>
                    </w:rPr>
                    <w:instrText xml:space="preserve"> = 2 \* ROMAN </w:instrText>
                  </w:r>
                  <w:r>
                    <w:rPr>
                      <w:szCs w:val="21"/>
                    </w:rPr>
                    <w:fldChar w:fldCharType="separate"/>
                  </w:r>
                  <w:r>
                    <w:rPr>
                      <w:szCs w:val="21"/>
                    </w:rPr>
                    <w:t>II</w:t>
                  </w:r>
                  <w:r>
                    <w:rPr>
                      <w:szCs w:val="21"/>
                    </w:rPr>
                    <w:fldChar w:fldCharType="end"/>
                  </w:r>
                </w:p>
              </w:tc>
              <w:tc>
                <w:tcPr>
                  <w:tcW w:w="628" w:type="dxa"/>
                  <w:vAlign w:val="center"/>
                </w:tcPr>
                <w:p>
                  <w:pPr>
                    <w:pStyle w:val="361"/>
                    <w:rPr>
                      <w:szCs w:val="21"/>
                    </w:rPr>
                  </w:pPr>
                  <w:r>
                    <w:rPr>
                      <w:szCs w:val="21"/>
                    </w:rPr>
                    <w:fldChar w:fldCharType="begin"/>
                  </w:r>
                  <w:r>
                    <w:rPr>
                      <w:szCs w:val="21"/>
                    </w:rPr>
                    <w:instrText xml:space="preserve"> = 2 \* ROMAN </w:instrText>
                  </w:r>
                  <w:r>
                    <w:rPr>
                      <w:szCs w:val="21"/>
                    </w:rPr>
                    <w:fldChar w:fldCharType="separate"/>
                  </w:r>
                  <w:r>
                    <w:rPr>
                      <w:szCs w:val="21"/>
                    </w:rPr>
                    <w:t>II</w:t>
                  </w:r>
                  <w:r>
                    <w:rPr>
                      <w:szCs w:val="21"/>
                    </w:rPr>
                    <w:fldChar w:fldCharType="end"/>
                  </w:r>
                </w:p>
              </w:tc>
              <w:tc>
                <w:tcPr>
                  <w:tcW w:w="628" w:type="dxa"/>
                  <w:vAlign w:val="center"/>
                </w:tcPr>
                <w:p>
                  <w:pPr>
                    <w:pStyle w:val="361"/>
                    <w:rPr>
                      <w:szCs w:val="21"/>
                    </w:rPr>
                  </w:pPr>
                  <w:r>
                    <w:rPr>
                      <w:szCs w:val="21"/>
                    </w:rPr>
                    <w:fldChar w:fldCharType="begin"/>
                  </w:r>
                  <w:r>
                    <w:rPr>
                      <w:szCs w:val="21"/>
                    </w:rPr>
                    <w:instrText xml:space="preserve"> = 3 \* ROMAN </w:instrText>
                  </w:r>
                  <w:r>
                    <w:rPr>
                      <w:szCs w:val="21"/>
                    </w:rPr>
                    <w:fldChar w:fldCharType="separate"/>
                  </w:r>
                  <w:r>
                    <w:rPr>
                      <w:szCs w:val="21"/>
                    </w:rPr>
                    <w:t>I</w:t>
                  </w:r>
                  <w:r>
                    <w:rPr>
                      <w:szCs w:val="21"/>
                    </w:rPr>
                    <w:fldChar w:fldCharType="begin"/>
                  </w:r>
                  <w:r>
                    <w:rPr>
                      <w:szCs w:val="21"/>
                    </w:rPr>
                    <w:instrText xml:space="preserve"> = 2 \* ROMAN </w:instrText>
                  </w:r>
                  <w:r>
                    <w:rPr>
                      <w:szCs w:val="21"/>
                    </w:rPr>
                    <w:fldChar w:fldCharType="separate"/>
                  </w:r>
                  <w:r>
                    <w:rPr>
                      <w:szCs w:val="21"/>
                    </w:rPr>
                    <w:t>II</w:t>
                  </w:r>
                  <w:r>
                    <w:rPr>
                      <w:szCs w:val="21"/>
                    </w:rPr>
                    <w:fldChar w:fldCharType="end"/>
                  </w:r>
                  <w:r>
                    <w:rPr>
                      <w:szCs w:val="21"/>
                    </w:rPr>
                    <w:fldChar w:fldCharType="end"/>
                  </w:r>
                </w:p>
              </w:tc>
              <w:tc>
                <w:tcPr>
                  <w:tcW w:w="671" w:type="dxa"/>
                  <w:vAlign w:val="center"/>
                </w:tcPr>
                <w:p>
                  <w:pPr>
                    <w:pStyle w:val="361"/>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403" w:type="dxa"/>
                  <w:vAlign w:val="center"/>
                </w:tcPr>
                <w:p>
                  <w:pPr>
                    <w:pStyle w:val="361"/>
                    <w:rPr>
                      <w:szCs w:val="21"/>
                    </w:rPr>
                  </w:pPr>
                  <w:r>
                    <w:rPr>
                      <w:szCs w:val="21"/>
                    </w:rPr>
                    <w:t>6</w:t>
                  </w:r>
                </w:p>
              </w:tc>
              <w:tc>
                <w:tcPr>
                  <w:tcW w:w="412" w:type="dxa"/>
                  <w:vMerge w:val="continue"/>
                  <w:vAlign w:val="center"/>
                </w:tcPr>
                <w:p>
                  <w:pPr>
                    <w:pStyle w:val="361"/>
                    <w:rPr>
                      <w:szCs w:val="21"/>
                    </w:rPr>
                  </w:pPr>
                </w:p>
              </w:tc>
              <w:tc>
                <w:tcPr>
                  <w:tcW w:w="722" w:type="dxa"/>
                  <w:vAlign w:val="center"/>
                </w:tcPr>
                <w:p>
                  <w:pPr>
                    <w:pStyle w:val="361"/>
                    <w:rPr>
                      <w:szCs w:val="21"/>
                    </w:rPr>
                  </w:pPr>
                  <w:r>
                    <w:rPr>
                      <w:szCs w:val="21"/>
                    </w:rPr>
                    <w:t>澌滩河</w:t>
                  </w:r>
                </w:p>
              </w:tc>
              <w:tc>
                <w:tcPr>
                  <w:tcW w:w="1260" w:type="dxa"/>
                  <w:vAlign w:val="center"/>
                </w:tcPr>
                <w:p>
                  <w:pPr>
                    <w:pStyle w:val="361"/>
                    <w:rPr>
                      <w:szCs w:val="21"/>
                    </w:rPr>
                  </w:pPr>
                  <w:r>
                    <w:rPr>
                      <w:szCs w:val="21"/>
                    </w:rPr>
                    <w:t>园门</w:t>
                  </w:r>
                </w:p>
              </w:tc>
              <w:tc>
                <w:tcPr>
                  <w:tcW w:w="1391" w:type="dxa"/>
                  <w:vAlign w:val="center"/>
                </w:tcPr>
                <w:p>
                  <w:pPr>
                    <w:pStyle w:val="361"/>
                    <w:rPr>
                      <w:szCs w:val="21"/>
                    </w:rPr>
                  </w:pPr>
                  <w:r>
                    <w:rPr>
                      <w:szCs w:val="21"/>
                    </w:rPr>
                    <w:t>市界</w:t>
                  </w:r>
                  <w:r>
                    <w:rPr>
                      <w:rFonts w:hint="eastAsia"/>
                      <w:szCs w:val="21"/>
                    </w:rPr>
                    <w:t>（</w:t>
                  </w:r>
                  <w:r>
                    <w:rPr>
                      <w:szCs w:val="21"/>
                    </w:rPr>
                    <w:t>达州市-巴中市</w:t>
                  </w:r>
                  <w:r>
                    <w:rPr>
                      <w:rFonts w:hint="eastAsia"/>
                      <w:szCs w:val="21"/>
                    </w:rPr>
                    <w:t>）</w:t>
                  </w:r>
                </w:p>
              </w:tc>
              <w:tc>
                <w:tcPr>
                  <w:tcW w:w="1326" w:type="dxa"/>
                  <w:vAlign w:val="center"/>
                </w:tcPr>
                <w:p>
                  <w:pPr>
                    <w:pStyle w:val="361"/>
                    <w:rPr>
                      <w:szCs w:val="21"/>
                    </w:rPr>
                  </w:pPr>
                  <w:r>
                    <w:rPr>
                      <w:rFonts w:ascii="宋体" w:hAnsi="宋体"/>
                      <w:szCs w:val="21"/>
                    </w:rPr>
                    <w:t>“</w:t>
                  </w:r>
                  <w:r>
                    <w:rPr>
                      <w:szCs w:val="21"/>
                    </w:rPr>
                    <w:t>十四五</w:t>
                  </w:r>
                  <w:r>
                    <w:rPr>
                      <w:rFonts w:ascii="宋体" w:hAnsi="宋体"/>
                      <w:szCs w:val="21"/>
                    </w:rPr>
                    <w:t>”</w:t>
                  </w:r>
                  <w:r>
                    <w:rPr>
                      <w:szCs w:val="21"/>
                    </w:rPr>
                    <w:t>国控</w:t>
                  </w:r>
                </w:p>
              </w:tc>
              <w:tc>
                <w:tcPr>
                  <w:tcW w:w="628" w:type="dxa"/>
                  <w:vAlign w:val="center"/>
                </w:tcPr>
                <w:p>
                  <w:pPr>
                    <w:pStyle w:val="361"/>
                    <w:rPr>
                      <w:szCs w:val="21"/>
                    </w:rPr>
                  </w:pPr>
                  <w:r>
                    <w:rPr>
                      <w:szCs w:val="21"/>
                    </w:rPr>
                    <w:fldChar w:fldCharType="begin"/>
                  </w:r>
                  <w:r>
                    <w:rPr>
                      <w:szCs w:val="21"/>
                    </w:rPr>
                    <w:instrText xml:space="preserve"> = 2 \* ROMAN </w:instrText>
                  </w:r>
                  <w:r>
                    <w:rPr>
                      <w:szCs w:val="21"/>
                    </w:rPr>
                    <w:fldChar w:fldCharType="separate"/>
                  </w:r>
                  <w:r>
                    <w:rPr>
                      <w:szCs w:val="21"/>
                    </w:rPr>
                    <w:t>II</w:t>
                  </w:r>
                  <w:r>
                    <w:rPr>
                      <w:szCs w:val="21"/>
                    </w:rPr>
                    <w:fldChar w:fldCharType="end"/>
                  </w:r>
                </w:p>
              </w:tc>
              <w:tc>
                <w:tcPr>
                  <w:tcW w:w="628" w:type="dxa"/>
                  <w:vAlign w:val="center"/>
                </w:tcPr>
                <w:p>
                  <w:pPr>
                    <w:pStyle w:val="361"/>
                    <w:rPr>
                      <w:szCs w:val="21"/>
                    </w:rPr>
                  </w:pPr>
                  <w:r>
                    <w:rPr>
                      <w:szCs w:val="21"/>
                    </w:rPr>
                    <w:fldChar w:fldCharType="begin"/>
                  </w:r>
                  <w:r>
                    <w:rPr>
                      <w:szCs w:val="21"/>
                    </w:rPr>
                    <w:instrText xml:space="preserve"> = 3 \* ROMAN </w:instrText>
                  </w:r>
                  <w:r>
                    <w:rPr>
                      <w:szCs w:val="21"/>
                    </w:rPr>
                    <w:fldChar w:fldCharType="separate"/>
                  </w:r>
                  <w:r>
                    <w:rPr>
                      <w:szCs w:val="21"/>
                    </w:rPr>
                    <w:t>I</w:t>
                  </w:r>
                  <w:r>
                    <w:rPr>
                      <w:szCs w:val="21"/>
                    </w:rPr>
                    <w:fldChar w:fldCharType="begin"/>
                  </w:r>
                  <w:r>
                    <w:rPr>
                      <w:szCs w:val="21"/>
                    </w:rPr>
                    <w:instrText xml:space="preserve"> = 2 \* ROMAN </w:instrText>
                  </w:r>
                  <w:r>
                    <w:rPr>
                      <w:szCs w:val="21"/>
                    </w:rPr>
                    <w:fldChar w:fldCharType="separate"/>
                  </w:r>
                  <w:r>
                    <w:rPr>
                      <w:szCs w:val="21"/>
                    </w:rPr>
                    <w:t>II</w:t>
                  </w:r>
                  <w:r>
                    <w:rPr>
                      <w:szCs w:val="21"/>
                    </w:rPr>
                    <w:fldChar w:fldCharType="end"/>
                  </w:r>
                  <w:r>
                    <w:rPr>
                      <w:szCs w:val="21"/>
                    </w:rPr>
                    <w:fldChar w:fldCharType="end"/>
                  </w:r>
                </w:p>
              </w:tc>
              <w:tc>
                <w:tcPr>
                  <w:tcW w:w="628" w:type="dxa"/>
                  <w:vAlign w:val="center"/>
                </w:tcPr>
                <w:p>
                  <w:pPr>
                    <w:pStyle w:val="361"/>
                    <w:rPr>
                      <w:szCs w:val="21"/>
                    </w:rPr>
                  </w:pPr>
                  <w:r>
                    <w:rPr>
                      <w:szCs w:val="21"/>
                    </w:rPr>
                    <w:fldChar w:fldCharType="begin"/>
                  </w:r>
                  <w:r>
                    <w:rPr>
                      <w:szCs w:val="21"/>
                    </w:rPr>
                    <w:instrText xml:space="preserve"> = 2 \* ROMAN </w:instrText>
                  </w:r>
                  <w:r>
                    <w:rPr>
                      <w:szCs w:val="21"/>
                    </w:rPr>
                    <w:fldChar w:fldCharType="separate"/>
                  </w:r>
                  <w:r>
                    <w:rPr>
                      <w:szCs w:val="21"/>
                    </w:rPr>
                    <w:t>II</w:t>
                  </w:r>
                  <w:r>
                    <w:rPr>
                      <w:szCs w:val="21"/>
                    </w:rPr>
                    <w:fldChar w:fldCharType="end"/>
                  </w:r>
                </w:p>
              </w:tc>
              <w:tc>
                <w:tcPr>
                  <w:tcW w:w="671" w:type="dxa"/>
                  <w:vAlign w:val="center"/>
                </w:tcPr>
                <w:p>
                  <w:pPr>
                    <w:pStyle w:val="361"/>
                    <w:rPr>
                      <w:szCs w:val="21"/>
                    </w:rPr>
                  </w:pPr>
                </w:p>
              </w:tc>
            </w:tr>
          </w:tbl>
          <w:p>
            <w:pPr>
              <w:adjustRightInd w:val="0"/>
              <w:snapToGrid w:val="0"/>
              <w:spacing w:line="360" w:lineRule="auto"/>
              <w:ind w:firstLine="420" w:firstLineChars="200"/>
              <w:rPr>
                <w:kern w:val="0"/>
                <w:szCs w:val="21"/>
              </w:rPr>
            </w:pPr>
          </w:p>
          <w:p>
            <w:pPr>
              <w:adjustRightInd w:val="0"/>
              <w:snapToGrid w:val="0"/>
              <w:spacing w:line="360" w:lineRule="auto"/>
              <w:ind w:firstLine="420" w:firstLineChars="200"/>
              <w:rPr>
                <w:szCs w:val="21"/>
                <w:lang w:bidi="ar"/>
              </w:rPr>
            </w:pPr>
            <w:r>
              <w:rPr>
                <w:kern w:val="0"/>
                <w:szCs w:val="21"/>
              </w:rPr>
              <w:t>本项目距离最近水体为巴河，距离最近监测断面为</w:t>
            </w:r>
            <w:r>
              <w:rPr>
                <w:rFonts w:hint="eastAsia"/>
                <w:kern w:val="0"/>
                <w:szCs w:val="21"/>
              </w:rPr>
              <w:t>江陵</w:t>
            </w:r>
            <w:r>
              <w:rPr>
                <w:kern w:val="0"/>
                <w:szCs w:val="21"/>
              </w:rPr>
              <w:t>。由上表可知，达州市通川区清河坝监测断面水质均满足《地表水环境质量标准》（GB3838-2002）中</w:t>
            </w:r>
            <w:r>
              <w:rPr>
                <w:szCs w:val="21"/>
              </w:rPr>
              <w:fldChar w:fldCharType="begin"/>
            </w:r>
            <w:r>
              <w:rPr>
                <w:szCs w:val="21"/>
              </w:rPr>
              <w:instrText xml:space="preserve"> = 1 \* ROMAN </w:instrText>
            </w:r>
            <w:r>
              <w:rPr>
                <w:szCs w:val="21"/>
              </w:rPr>
              <w:fldChar w:fldCharType="separate"/>
            </w:r>
            <w:r>
              <w:rPr>
                <w:szCs w:val="21"/>
              </w:rPr>
              <w:t>I</w:t>
            </w:r>
            <w:r>
              <w:rPr>
                <w:szCs w:val="21"/>
              </w:rPr>
              <w:fldChar w:fldCharType="end"/>
            </w:r>
            <w:r>
              <w:rPr>
                <w:kern w:val="0"/>
                <w:szCs w:val="21"/>
              </w:rPr>
              <w:t>类水域标准，水环境质量较好。同时本项目生活污水和钻井废水均不排入巴河，不会影响区域地表水水质</w:t>
            </w:r>
            <w:r>
              <w:rPr>
                <w:szCs w:val="21"/>
                <w:lang w:bidi="ar"/>
              </w:rPr>
              <w:t>。</w:t>
            </w:r>
          </w:p>
          <w:p>
            <w:pPr>
              <w:adjustRightInd w:val="0"/>
              <w:snapToGrid w:val="0"/>
              <w:spacing w:line="360" w:lineRule="auto"/>
              <w:ind w:firstLine="420" w:firstLineChars="200"/>
              <w:rPr>
                <w:szCs w:val="21"/>
                <w:lang w:bidi="ar"/>
              </w:rPr>
            </w:pPr>
            <w:r>
              <w:rPr>
                <w:szCs w:val="21"/>
                <w:lang w:bidi="ar"/>
              </w:rPr>
              <w:t>3、声环境质量</w:t>
            </w:r>
          </w:p>
          <w:p>
            <w:pPr>
              <w:autoSpaceDE w:val="0"/>
              <w:autoSpaceDN w:val="0"/>
              <w:spacing w:line="360" w:lineRule="auto"/>
              <w:ind w:firstLine="420" w:firstLineChars="200"/>
              <w:rPr>
                <w:kern w:val="0"/>
                <w:szCs w:val="21"/>
              </w:rPr>
            </w:pPr>
            <w:r>
              <w:rPr>
                <w:kern w:val="0"/>
                <w:szCs w:val="21"/>
              </w:rPr>
              <w:t>本项目所在区域未划定声环境功能区。本项目参照《声环境质量标准》（GB3096-2008）、《声环境功能区划分技术规范》（GB/T15190-2014）等相关规范，按照项目区声环境功能区为2类进行评价，声环境质量执行《声环境质量标准》（GB3096-2008）2类标准。</w:t>
            </w:r>
          </w:p>
          <w:p>
            <w:pPr>
              <w:autoSpaceDE w:val="0"/>
              <w:autoSpaceDN w:val="0"/>
              <w:spacing w:line="360" w:lineRule="auto"/>
              <w:ind w:firstLine="420" w:firstLineChars="200"/>
              <w:rPr>
                <w:kern w:val="0"/>
                <w:szCs w:val="21"/>
              </w:rPr>
            </w:pPr>
            <w:r>
              <w:rPr>
                <w:kern w:val="0"/>
                <w:szCs w:val="21"/>
              </w:rPr>
              <w:t>为了解当地声环境质量现状，2022年</w:t>
            </w:r>
            <w:r>
              <w:rPr>
                <w:rFonts w:hint="eastAsia"/>
                <w:kern w:val="0"/>
                <w:szCs w:val="21"/>
              </w:rPr>
              <w:t>6</w:t>
            </w:r>
            <w:r>
              <w:rPr>
                <w:kern w:val="0"/>
                <w:szCs w:val="21"/>
              </w:rPr>
              <w:t>月29至2022年6</w:t>
            </w:r>
            <w:r>
              <w:rPr>
                <w:rFonts w:hint="eastAsia"/>
                <w:kern w:val="0"/>
                <w:szCs w:val="21"/>
              </w:rPr>
              <w:t>月30</w:t>
            </w:r>
            <w:r>
              <w:rPr>
                <w:kern w:val="0"/>
                <w:szCs w:val="21"/>
              </w:rPr>
              <w:t>日，重庆智海科技有限责任公司对平安101井所在地声环境质量现状进行监测。</w:t>
            </w:r>
          </w:p>
          <w:p>
            <w:pPr>
              <w:widowControl/>
              <w:spacing w:line="360" w:lineRule="auto"/>
              <w:ind w:firstLine="420" w:firstLineChars="200"/>
              <w:jc w:val="left"/>
              <w:rPr>
                <w:szCs w:val="21"/>
              </w:rPr>
            </w:pPr>
            <w:r>
              <w:rPr>
                <w:szCs w:val="21"/>
              </w:rPr>
              <w:t>监测项目：等效连续A声级</w:t>
            </w:r>
          </w:p>
          <w:p>
            <w:pPr>
              <w:widowControl/>
              <w:spacing w:line="360" w:lineRule="auto"/>
              <w:ind w:firstLine="420" w:firstLineChars="200"/>
              <w:jc w:val="left"/>
              <w:rPr>
                <w:szCs w:val="21"/>
              </w:rPr>
            </w:pPr>
            <w:r>
              <w:rPr>
                <w:szCs w:val="21"/>
              </w:rPr>
              <w:t>监测布点：设3个点，N1点位于项目井场东北侧；</w:t>
            </w:r>
            <w:r>
              <w:rPr>
                <w:bCs/>
                <w:szCs w:val="21"/>
              </w:rPr>
              <w:t>N2</w:t>
            </w:r>
            <w:r>
              <w:rPr>
                <w:szCs w:val="21"/>
              </w:rPr>
              <w:t>点位于项目西北侧；N3点位于项目井场西南侧。</w:t>
            </w:r>
          </w:p>
          <w:p>
            <w:pPr>
              <w:widowControl/>
              <w:spacing w:line="360" w:lineRule="auto"/>
              <w:ind w:firstLine="420" w:firstLineChars="200"/>
              <w:jc w:val="left"/>
              <w:rPr>
                <w:szCs w:val="21"/>
              </w:rPr>
            </w:pPr>
            <w:r>
              <w:rPr>
                <w:szCs w:val="21"/>
              </w:rPr>
              <w:t>监测频次：2天，2次/天，昼夜各一次。</w:t>
            </w:r>
          </w:p>
          <w:p>
            <w:pPr>
              <w:widowControl/>
              <w:spacing w:line="360" w:lineRule="auto"/>
              <w:ind w:firstLine="420" w:firstLineChars="200"/>
              <w:jc w:val="left"/>
              <w:rPr>
                <w:szCs w:val="21"/>
              </w:rPr>
            </w:pPr>
            <w:r>
              <w:rPr>
                <w:szCs w:val="21"/>
              </w:rPr>
              <w:t>监测结果统计于下表。</w:t>
            </w:r>
          </w:p>
          <w:p>
            <w:pPr>
              <w:pStyle w:val="331"/>
              <w:numPr>
                <w:ilvl w:val="0"/>
                <w:numId w:val="6"/>
              </w:numPr>
              <w:adjustRightInd w:val="0"/>
              <w:snapToGrid w:val="0"/>
              <w:spacing w:line="360" w:lineRule="auto"/>
              <w:ind w:left="0" w:firstLine="0" w:firstLineChars="0"/>
              <w:jc w:val="center"/>
              <w:rPr>
                <w:b/>
                <w:bCs/>
                <w:kern w:val="0"/>
                <w:szCs w:val="21"/>
              </w:rPr>
            </w:pPr>
            <w:r>
              <w:rPr>
                <w:b/>
                <w:bCs/>
                <w:kern w:val="0"/>
                <w:szCs w:val="21"/>
              </w:rPr>
              <w:t>噪声监测结果一览表</w:t>
            </w:r>
          </w:p>
          <w:tbl>
            <w:tblPr>
              <w:tblStyle w:val="42"/>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947"/>
              <w:gridCol w:w="1518"/>
              <w:gridCol w:w="1520"/>
              <w:gridCol w:w="1518"/>
              <w:gridCol w:w="152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947" w:type="dxa"/>
                  <w:vMerge w:val="restart"/>
                  <w:vAlign w:val="center"/>
                </w:tcPr>
                <w:p>
                  <w:pPr>
                    <w:widowControl/>
                    <w:jc w:val="center"/>
                    <w:rPr>
                      <w:szCs w:val="21"/>
                    </w:rPr>
                  </w:pPr>
                  <w:r>
                    <w:rPr>
                      <w:szCs w:val="21"/>
                    </w:rPr>
                    <w:t>监测点位</w:t>
                  </w:r>
                </w:p>
              </w:tc>
              <w:tc>
                <w:tcPr>
                  <w:tcW w:w="6078" w:type="dxa"/>
                  <w:gridSpan w:val="4"/>
                  <w:vAlign w:val="center"/>
                </w:tcPr>
                <w:p>
                  <w:pPr>
                    <w:widowControl/>
                    <w:jc w:val="center"/>
                    <w:rPr>
                      <w:szCs w:val="21"/>
                    </w:rPr>
                  </w:pPr>
                  <w:r>
                    <w:rPr>
                      <w:szCs w:val="21"/>
                    </w:rPr>
                    <w:t>监测结果（dB）</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947" w:type="dxa"/>
                  <w:vMerge w:val="continue"/>
                  <w:vAlign w:val="center"/>
                </w:tcPr>
                <w:p>
                  <w:pPr>
                    <w:widowControl/>
                    <w:jc w:val="center"/>
                    <w:rPr>
                      <w:szCs w:val="21"/>
                    </w:rPr>
                  </w:pPr>
                </w:p>
              </w:tc>
              <w:tc>
                <w:tcPr>
                  <w:tcW w:w="3038" w:type="dxa"/>
                  <w:gridSpan w:val="2"/>
                  <w:vAlign w:val="center"/>
                </w:tcPr>
                <w:p>
                  <w:pPr>
                    <w:widowControl/>
                    <w:jc w:val="center"/>
                    <w:rPr>
                      <w:szCs w:val="21"/>
                    </w:rPr>
                  </w:pPr>
                  <w:r>
                    <w:rPr>
                      <w:szCs w:val="21"/>
                    </w:rPr>
                    <w:t>2022.6.29</w:t>
                  </w:r>
                </w:p>
              </w:tc>
              <w:tc>
                <w:tcPr>
                  <w:tcW w:w="3040" w:type="dxa"/>
                  <w:gridSpan w:val="2"/>
                  <w:vAlign w:val="center"/>
                </w:tcPr>
                <w:p>
                  <w:pPr>
                    <w:widowControl/>
                    <w:jc w:val="center"/>
                    <w:rPr>
                      <w:szCs w:val="21"/>
                    </w:rPr>
                  </w:pPr>
                  <w:r>
                    <w:rPr>
                      <w:szCs w:val="21"/>
                    </w:rPr>
                    <w:t>2022.6.30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947" w:type="dxa"/>
                  <w:vMerge w:val="continue"/>
                  <w:vAlign w:val="center"/>
                </w:tcPr>
                <w:p>
                  <w:pPr>
                    <w:widowControl/>
                    <w:jc w:val="center"/>
                    <w:rPr>
                      <w:szCs w:val="21"/>
                    </w:rPr>
                  </w:pPr>
                </w:p>
              </w:tc>
              <w:tc>
                <w:tcPr>
                  <w:tcW w:w="1518" w:type="dxa"/>
                  <w:vAlign w:val="center"/>
                </w:tcPr>
                <w:p>
                  <w:pPr>
                    <w:widowControl/>
                    <w:jc w:val="center"/>
                    <w:rPr>
                      <w:szCs w:val="21"/>
                    </w:rPr>
                  </w:pPr>
                  <w:r>
                    <w:rPr>
                      <w:szCs w:val="21"/>
                    </w:rPr>
                    <w:t>昼间</w:t>
                  </w:r>
                </w:p>
              </w:tc>
              <w:tc>
                <w:tcPr>
                  <w:tcW w:w="1520" w:type="dxa"/>
                  <w:vAlign w:val="center"/>
                </w:tcPr>
                <w:p>
                  <w:pPr>
                    <w:widowControl/>
                    <w:jc w:val="center"/>
                    <w:rPr>
                      <w:szCs w:val="21"/>
                    </w:rPr>
                  </w:pPr>
                  <w:r>
                    <w:rPr>
                      <w:szCs w:val="21"/>
                    </w:rPr>
                    <w:t>夜间</w:t>
                  </w:r>
                </w:p>
              </w:tc>
              <w:tc>
                <w:tcPr>
                  <w:tcW w:w="1518" w:type="dxa"/>
                  <w:vAlign w:val="center"/>
                </w:tcPr>
                <w:p>
                  <w:pPr>
                    <w:widowControl/>
                    <w:jc w:val="center"/>
                    <w:rPr>
                      <w:szCs w:val="21"/>
                    </w:rPr>
                  </w:pPr>
                  <w:r>
                    <w:rPr>
                      <w:szCs w:val="21"/>
                    </w:rPr>
                    <w:t>昼间</w:t>
                  </w:r>
                </w:p>
              </w:tc>
              <w:tc>
                <w:tcPr>
                  <w:tcW w:w="1522" w:type="dxa"/>
                  <w:vAlign w:val="center"/>
                </w:tcPr>
                <w:p>
                  <w:pPr>
                    <w:widowControl/>
                    <w:jc w:val="center"/>
                    <w:rPr>
                      <w:szCs w:val="21"/>
                    </w:rPr>
                  </w:pPr>
                  <w:r>
                    <w:rPr>
                      <w:szCs w:val="21"/>
                    </w:rPr>
                    <w:t>夜间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947" w:type="dxa"/>
                  <w:vAlign w:val="center"/>
                </w:tcPr>
                <w:p>
                  <w:pPr>
                    <w:widowControl/>
                    <w:jc w:val="center"/>
                    <w:rPr>
                      <w:szCs w:val="21"/>
                    </w:rPr>
                  </w:pPr>
                  <w:r>
                    <w:rPr>
                      <w:szCs w:val="21"/>
                    </w:rPr>
                    <w:t>N1</w:t>
                  </w:r>
                </w:p>
              </w:tc>
              <w:tc>
                <w:tcPr>
                  <w:tcW w:w="1518" w:type="dxa"/>
                  <w:vAlign w:val="center"/>
                </w:tcPr>
                <w:p>
                  <w:pPr>
                    <w:widowControl/>
                    <w:jc w:val="center"/>
                    <w:rPr>
                      <w:szCs w:val="21"/>
                    </w:rPr>
                  </w:pPr>
                  <w:r>
                    <w:rPr>
                      <w:rFonts w:hint="eastAsia"/>
                      <w:szCs w:val="21"/>
                    </w:rPr>
                    <w:t>48</w:t>
                  </w:r>
                </w:p>
              </w:tc>
              <w:tc>
                <w:tcPr>
                  <w:tcW w:w="1520" w:type="dxa"/>
                  <w:vAlign w:val="center"/>
                </w:tcPr>
                <w:p>
                  <w:pPr>
                    <w:widowControl/>
                    <w:jc w:val="center"/>
                    <w:rPr>
                      <w:szCs w:val="21"/>
                    </w:rPr>
                  </w:pPr>
                  <w:r>
                    <w:rPr>
                      <w:rFonts w:hint="eastAsia"/>
                      <w:szCs w:val="21"/>
                    </w:rPr>
                    <w:t>43</w:t>
                  </w:r>
                </w:p>
              </w:tc>
              <w:tc>
                <w:tcPr>
                  <w:tcW w:w="1518" w:type="dxa"/>
                  <w:vAlign w:val="center"/>
                </w:tcPr>
                <w:p>
                  <w:pPr>
                    <w:widowControl/>
                    <w:jc w:val="center"/>
                    <w:rPr>
                      <w:szCs w:val="21"/>
                    </w:rPr>
                  </w:pPr>
                  <w:r>
                    <w:rPr>
                      <w:rFonts w:hint="eastAsia"/>
                      <w:szCs w:val="21"/>
                    </w:rPr>
                    <w:t>49</w:t>
                  </w:r>
                </w:p>
              </w:tc>
              <w:tc>
                <w:tcPr>
                  <w:tcW w:w="1522" w:type="dxa"/>
                  <w:vAlign w:val="center"/>
                </w:tcPr>
                <w:p>
                  <w:pPr>
                    <w:widowControl/>
                    <w:jc w:val="center"/>
                    <w:rPr>
                      <w:szCs w:val="21"/>
                    </w:rPr>
                  </w:pPr>
                  <w:r>
                    <w:rPr>
                      <w:rFonts w:hint="eastAsia"/>
                      <w:szCs w:val="21"/>
                    </w:rPr>
                    <w:t>42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947" w:type="dxa"/>
                  <w:vAlign w:val="center"/>
                </w:tcPr>
                <w:p>
                  <w:pPr>
                    <w:widowControl/>
                    <w:jc w:val="center"/>
                    <w:rPr>
                      <w:szCs w:val="21"/>
                    </w:rPr>
                  </w:pPr>
                  <w:r>
                    <w:rPr>
                      <w:szCs w:val="21"/>
                    </w:rPr>
                    <w:t>N2</w:t>
                  </w:r>
                </w:p>
              </w:tc>
              <w:tc>
                <w:tcPr>
                  <w:tcW w:w="1518" w:type="dxa"/>
                  <w:vAlign w:val="center"/>
                </w:tcPr>
                <w:p>
                  <w:pPr>
                    <w:widowControl/>
                    <w:jc w:val="center"/>
                    <w:rPr>
                      <w:szCs w:val="21"/>
                    </w:rPr>
                  </w:pPr>
                  <w:r>
                    <w:rPr>
                      <w:rFonts w:hint="eastAsia"/>
                      <w:szCs w:val="21"/>
                    </w:rPr>
                    <w:t>52</w:t>
                  </w:r>
                </w:p>
              </w:tc>
              <w:tc>
                <w:tcPr>
                  <w:tcW w:w="1520" w:type="dxa"/>
                  <w:vAlign w:val="center"/>
                </w:tcPr>
                <w:p>
                  <w:pPr>
                    <w:widowControl/>
                    <w:jc w:val="center"/>
                    <w:rPr>
                      <w:szCs w:val="21"/>
                    </w:rPr>
                  </w:pPr>
                  <w:r>
                    <w:rPr>
                      <w:rFonts w:hint="eastAsia"/>
                      <w:szCs w:val="21"/>
                    </w:rPr>
                    <w:t>41</w:t>
                  </w:r>
                </w:p>
              </w:tc>
              <w:tc>
                <w:tcPr>
                  <w:tcW w:w="1518" w:type="dxa"/>
                  <w:vAlign w:val="center"/>
                </w:tcPr>
                <w:p>
                  <w:pPr>
                    <w:widowControl/>
                    <w:jc w:val="center"/>
                    <w:rPr>
                      <w:szCs w:val="21"/>
                    </w:rPr>
                  </w:pPr>
                  <w:r>
                    <w:rPr>
                      <w:rFonts w:hint="eastAsia"/>
                      <w:szCs w:val="21"/>
                    </w:rPr>
                    <w:t>52</w:t>
                  </w:r>
                </w:p>
              </w:tc>
              <w:tc>
                <w:tcPr>
                  <w:tcW w:w="1522" w:type="dxa"/>
                  <w:vAlign w:val="center"/>
                </w:tcPr>
                <w:p>
                  <w:pPr>
                    <w:widowControl/>
                    <w:jc w:val="center"/>
                    <w:rPr>
                      <w:szCs w:val="21"/>
                    </w:rPr>
                  </w:pPr>
                  <w:r>
                    <w:rPr>
                      <w:rFonts w:hint="eastAsia"/>
                      <w:szCs w:val="21"/>
                    </w:rPr>
                    <w:t>42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947" w:type="dxa"/>
                  <w:vAlign w:val="center"/>
                </w:tcPr>
                <w:p>
                  <w:pPr>
                    <w:widowControl/>
                    <w:jc w:val="center"/>
                    <w:rPr>
                      <w:szCs w:val="21"/>
                    </w:rPr>
                  </w:pPr>
                  <w:r>
                    <w:rPr>
                      <w:szCs w:val="21"/>
                    </w:rPr>
                    <w:t>N3</w:t>
                  </w:r>
                </w:p>
              </w:tc>
              <w:tc>
                <w:tcPr>
                  <w:tcW w:w="1518" w:type="dxa"/>
                  <w:vAlign w:val="center"/>
                </w:tcPr>
                <w:p>
                  <w:pPr>
                    <w:widowControl/>
                    <w:jc w:val="center"/>
                    <w:rPr>
                      <w:szCs w:val="21"/>
                    </w:rPr>
                  </w:pPr>
                  <w:r>
                    <w:rPr>
                      <w:rFonts w:hint="eastAsia"/>
                      <w:szCs w:val="21"/>
                    </w:rPr>
                    <w:t>50</w:t>
                  </w:r>
                </w:p>
              </w:tc>
              <w:tc>
                <w:tcPr>
                  <w:tcW w:w="1520" w:type="dxa"/>
                  <w:vAlign w:val="center"/>
                </w:tcPr>
                <w:p>
                  <w:pPr>
                    <w:widowControl/>
                    <w:jc w:val="center"/>
                    <w:rPr>
                      <w:szCs w:val="21"/>
                    </w:rPr>
                  </w:pPr>
                  <w:r>
                    <w:rPr>
                      <w:rFonts w:hint="eastAsia"/>
                      <w:szCs w:val="21"/>
                    </w:rPr>
                    <w:t>42</w:t>
                  </w:r>
                </w:p>
              </w:tc>
              <w:tc>
                <w:tcPr>
                  <w:tcW w:w="1518" w:type="dxa"/>
                  <w:vAlign w:val="center"/>
                </w:tcPr>
                <w:p>
                  <w:pPr>
                    <w:widowControl/>
                    <w:jc w:val="center"/>
                    <w:rPr>
                      <w:szCs w:val="21"/>
                    </w:rPr>
                  </w:pPr>
                  <w:r>
                    <w:rPr>
                      <w:rFonts w:hint="eastAsia"/>
                      <w:szCs w:val="21"/>
                    </w:rPr>
                    <w:t>51</w:t>
                  </w:r>
                </w:p>
              </w:tc>
              <w:tc>
                <w:tcPr>
                  <w:tcW w:w="1522" w:type="dxa"/>
                  <w:vAlign w:val="center"/>
                </w:tcPr>
                <w:p>
                  <w:pPr>
                    <w:widowControl/>
                    <w:jc w:val="center"/>
                    <w:rPr>
                      <w:szCs w:val="21"/>
                    </w:rPr>
                  </w:pPr>
                  <w:r>
                    <w:rPr>
                      <w:rFonts w:hint="eastAsia"/>
                      <w:szCs w:val="21"/>
                    </w:rPr>
                    <w:t>44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947" w:type="dxa"/>
                  <w:vAlign w:val="center"/>
                </w:tcPr>
                <w:p>
                  <w:pPr>
                    <w:widowControl/>
                    <w:jc w:val="center"/>
                    <w:rPr>
                      <w:szCs w:val="21"/>
                    </w:rPr>
                  </w:pPr>
                  <w:r>
                    <w:rPr>
                      <w:szCs w:val="21"/>
                    </w:rPr>
                    <w:t>标准值</w:t>
                  </w:r>
                </w:p>
              </w:tc>
              <w:tc>
                <w:tcPr>
                  <w:tcW w:w="1518" w:type="dxa"/>
                  <w:vAlign w:val="center"/>
                </w:tcPr>
                <w:p>
                  <w:pPr>
                    <w:widowControl/>
                    <w:jc w:val="center"/>
                    <w:rPr>
                      <w:szCs w:val="21"/>
                    </w:rPr>
                  </w:pPr>
                  <w:r>
                    <w:rPr>
                      <w:szCs w:val="21"/>
                    </w:rPr>
                    <w:t>60</w:t>
                  </w:r>
                </w:p>
              </w:tc>
              <w:tc>
                <w:tcPr>
                  <w:tcW w:w="1520" w:type="dxa"/>
                  <w:vAlign w:val="center"/>
                </w:tcPr>
                <w:p>
                  <w:pPr>
                    <w:widowControl/>
                    <w:jc w:val="center"/>
                    <w:rPr>
                      <w:szCs w:val="21"/>
                    </w:rPr>
                  </w:pPr>
                  <w:r>
                    <w:rPr>
                      <w:szCs w:val="21"/>
                    </w:rPr>
                    <w:t>50</w:t>
                  </w:r>
                </w:p>
              </w:tc>
              <w:tc>
                <w:tcPr>
                  <w:tcW w:w="1518" w:type="dxa"/>
                  <w:vAlign w:val="center"/>
                </w:tcPr>
                <w:p>
                  <w:pPr>
                    <w:widowControl/>
                    <w:jc w:val="center"/>
                    <w:rPr>
                      <w:szCs w:val="21"/>
                    </w:rPr>
                  </w:pPr>
                  <w:r>
                    <w:rPr>
                      <w:szCs w:val="21"/>
                    </w:rPr>
                    <w:t>60</w:t>
                  </w:r>
                </w:p>
              </w:tc>
              <w:tc>
                <w:tcPr>
                  <w:tcW w:w="1522" w:type="dxa"/>
                  <w:vAlign w:val="center"/>
                </w:tcPr>
                <w:p>
                  <w:pPr>
                    <w:widowControl/>
                    <w:jc w:val="center"/>
                    <w:rPr>
                      <w:szCs w:val="21"/>
                    </w:rPr>
                  </w:pPr>
                  <w:r>
                    <w:rPr>
                      <w:szCs w:val="21"/>
                    </w:rPr>
                    <w:t>50</w:t>
                  </w:r>
                </w:p>
              </w:tc>
            </w:tr>
          </w:tbl>
          <w:p>
            <w:pPr>
              <w:adjustRightInd w:val="0"/>
              <w:snapToGrid w:val="0"/>
              <w:spacing w:line="360" w:lineRule="auto"/>
              <w:ind w:firstLine="420" w:firstLineChars="200"/>
              <w:rPr>
                <w:bCs/>
                <w:szCs w:val="21"/>
              </w:rPr>
            </w:pPr>
          </w:p>
          <w:p>
            <w:pPr>
              <w:adjustRightInd w:val="0"/>
              <w:snapToGrid w:val="0"/>
              <w:spacing w:line="360" w:lineRule="auto"/>
              <w:ind w:firstLine="420" w:firstLineChars="200"/>
              <w:rPr>
                <w:kern w:val="0"/>
                <w:szCs w:val="21"/>
              </w:rPr>
            </w:pPr>
            <w:r>
              <w:rPr>
                <w:bCs/>
                <w:szCs w:val="21"/>
              </w:rPr>
              <w:t>由</w:t>
            </w:r>
            <w:r>
              <w:rPr>
                <w:rFonts w:hint="eastAsia"/>
                <w:bCs/>
                <w:szCs w:val="21"/>
              </w:rPr>
              <w:t>上表</w:t>
            </w:r>
            <w:r>
              <w:rPr>
                <w:bCs/>
                <w:szCs w:val="21"/>
              </w:rPr>
              <w:t>可知，</w:t>
            </w:r>
            <w:r>
              <w:rPr>
                <w:kern w:val="0"/>
                <w:szCs w:val="21"/>
              </w:rPr>
              <w:t>项目区域环境噪声昼、夜间等效声级值均达到《声环境质量标准》（GB3096-2008）中的2类声环境功能区环境标准。声环境质量现状良好。</w:t>
            </w:r>
          </w:p>
          <w:p>
            <w:pPr>
              <w:adjustRightInd w:val="0"/>
              <w:snapToGrid w:val="0"/>
              <w:spacing w:line="360" w:lineRule="auto"/>
              <w:ind w:firstLine="420" w:firstLineChars="200"/>
              <w:rPr>
                <w:kern w:val="0"/>
                <w:szCs w:val="21"/>
              </w:rPr>
            </w:pPr>
            <w:r>
              <w:rPr>
                <w:kern w:val="0"/>
                <w:szCs w:val="21"/>
              </w:rPr>
              <w:t>3、地下水环境质量</w:t>
            </w:r>
          </w:p>
          <w:p>
            <w:pPr>
              <w:spacing w:line="360" w:lineRule="auto"/>
              <w:ind w:firstLine="420" w:firstLineChars="200"/>
              <w:rPr>
                <w:szCs w:val="21"/>
              </w:rPr>
            </w:pPr>
            <w:r>
              <w:rPr>
                <w:szCs w:val="21"/>
              </w:rPr>
              <w:t>为了解项目所在地地下水现状，2022年7月1日，重庆智海科技有限责任公司对平安101井所在地地下水质量现状进行监测。</w:t>
            </w:r>
          </w:p>
          <w:p>
            <w:pPr>
              <w:spacing w:line="360" w:lineRule="auto"/>
              <w:ind w:firstLine="420" w:firstLineChars="200"/>
              <w:rPr>
                <w:bCs/>
                <w:szCs w:val="21"/>
              </w:rPr>
            </w:pPr>
            <w:r>
              <w:rPr>
                <w:szCs w:val="21"/>
              </w:rPr>
              <w:t>（1）监测点布设：设5个监测点</w:t>
            </w:r>
            <w:r>
              <w:rPr>
                <w:bCs/>
                <w:szCs w:val="21"/>
              </w:rPr>
              <w:t>。</w:t>
            </w:r>
            <w:r>
              <w:rPr>
                <w:rFonts w:hint="eastAsia"/>
                <w:bCs/>
                <w:szCs w:val="21"/>
              </w:rPr>
              <w:t>其中D</w:t>
            </w:r>
            <w:r>
              <w:rPr>
                <w:bCs/>
                <w:szCs w:val="21"/>
              </w:rPr>
              <w:t>1</w:t>
            </w:r>
            <w:r>
              <w:rPr>
                <w:rFonts w:hint="eastAsia"/>
                <w:bCs/>
                <w:szCs w:val="21"/>
              </w:rPr>
              <w:t>、</w:t>
            </w:r>
            <w:r>
              <w:rPr>
                <w:bCs/>
                <w:szCs w:val="21"/>
              </w:rPr>
              <w:t>D4</w:t>
            </w:r>
            <w:r>
              <w:rPr>
                <w:rFonts w:hint="eastAsia"/>
                <w:bCs/>
                <w:szCs w:val="21"/>
              </w:rPr>
              <w:t>位于井场上游，D2、D</w:t>
            </w:r>
            <w:r>
              <w:rPr>
                <w:bCs/>
                <w:szCs w:val="21"/>
              </w:rPr>
              <w:t>3</w:t>
            </w:r>
            <w:r>
              <w:rPr>
                <w:rFonts w:hint="eastAsia"/>
                <w:bCs/>
                <w:szCs w:val="21"/>
              </w:rPr>
              <w:t>分别位于井场两侧，D</w:t>
            </w:r>
            <w:r>
              <w:rPr>
                <w:bCs/>
                <w:szCs w:val="21"/>
              </w:rPr>
              <w:t>5</w:t>
            </w:r>
            <w:r>
              <w:rPr>
                <w:rFonts w:hint="eastAsia"/>
                <w:bCs/>
                <w:szCs w:val="21"/>
              </w:rPr>
              <w:t>位于井场下游。监测布点符合《环境影响评价技术导则 地下水环境》中地下水环境现状监测布设原则。</w:t>
            </w:r>
          </w:p>
          <w:p>
            <w:pPr>
              <w:autoSpaceDE w:val="0"/>
              <w:autoSpaceDN w:val="0"/>
              <w:spacing w:line="360" w:lineRule="auto"/>
              <w:ind w:firstLine="420" w:firstLineChars="200"/>
              <w:rPr>
                <w:kern w:val="0"/>
                <w:szCs w:val="21"/>
              </w:rPr>
            </w:pPr>
            <w:r>
              <w:rPr>
                <w:kern w:val="0"/>
                <w:szCs w:val="21"/>
              </w:rPr>
              <w:t>（2）监测因子：</w:t>
            </w:r>
          </w:p>
          <w:p>
            <w:pPr>
              <w:widowControl/>
              <w:spacing w:line="360" w:lineRule="auto"/>
              <w:ind w:firstLine="420" w:firstLineChars="200"/>
              <w:rPr>
                <w:bCs/>
                <w:szCs w:val="21"/>
              </w:rPr>
            </w:pPr>
            <w:r>
              <w:rPr>
                <w:bCs/>
                <w:szCs w:val="21"/>
              </w:rPr>
              <w:t>根据《环境影响评价技术导则 地下水环境》（HJ610-2016）地下水水质现状监测因子，地下水水质现状监测因子原则上应包括两类一类是基本水质因子，另一类为特征因子，因此本项目监测因子如下：</w:t>
            </w:r>
          </w:p>
          <w:p>
            <w:pPr>
              <w:widowControl/>
              <w:spacing w:line="360" w:lineRule="auto"/>
              <w:ind w:firstLine="420" w:firstLineChars="200"/>
              <w:rPr>
                <w:rFonts w:eastAsia="附件"/>
                <w:bCs/>
                <w:szCs w:val="21"/>
              </w:rPr>
            </w:pPr>
            <w:r>
              <w:rPr>
                <w:bCs/>
                <w:szCs w:val="21"/>
              </w:rPr>
              <w:t>基本水质因子：</w:t>
            </w:r>
            <w:r>
              <w:rPr>
                <w:rFonts w:eastAsia="附件"/>
                <w:bCs/>
                <w:szCs w:val="21"/>
              </w:rPr>
              <w:t>pH、总硬度、溶解性总固体、硫酸盐、氯化物、铁、锰、挥发性酚类、耗氧量、氨氮、硫化物、硝酸盐、亚硝酸盐、氰化物、氟化物、汞、砷、镉、铬（六价）、铅、石油类、总大肠菌群。</w:t>
            </w:r>
          </w:p>
          <w:p>
            <w:pPr>
              <w:widowControl/>
              <w:spacing w:line="360" w:lineRule="auto"/>
              <w:ind w:firstLine="420" w:firstLineChars="200"/>
              <w:rPr>
                <w:rFonts w:eastAsia="附件"/>
                <w:bCs/>
                <w:szCs w:val="21"/>
              </w:rPr>
            </w:pPr>
            <w:r>
              <w:rPr>
                <w:rFonts w:eastAsia="附件"/>
                <w:szCs w:val="21"/>
              </w:rPr>
              <w:t>八大离子：Na</w:t>
            </w:r>
            <w:r>
              <w:rPr>
                <w:rFonts w:eastAsia="附件"/>
                <w:szCs w:val="21"/>
                <w:vertAlign w:val="superscript"/>
              </w:rPr>
              <w:t>+</w:t>
            </w:r>
            <w:r>
              <w:rPr>
                <w:rFonts w:eastAsia="附件"/>
                <w:szCs w:val="21"/>
              </w:rPr>
              <w:t>、K</w:t>
            </w:r>
            <w:r>
              <w:rPr>
                <w:rFonts w:eastAsia="附件"/>
                <w:szCs w:val="21"/>
                <w:vertAlign w:val="superscript"/>
              </w:rPr>
              <w:t>+</w:t>
            </w:r>
            <w:r>
              <w:rPr>
                <w:rFonts w:eastAsia="附件"/>
                <w:szCs w:val="21"/>
              </w:rPr>
              <w:t>、Ca</w:t>
            </w:r>
            <w:r>
              <w:rPr>
                <w:rFonts w:eastAsia="附件"/>
                <w:szCs w:val="21"/>
                <w:vertAlign w:val="superscript"/>
              </w:rPr>
              <w:t>2+</w:t>
            </w:r>
            <w:r>
              <w:rPr>
                <w:rFonts w:eastAsia="附件"/>
                <w:szCs w:val="21"/>
              </w:rPr>
              <w:t>、Mg</w:t>
            </w:r>
            <w:r>
              <w:rPr>
                <w:rFonts w:eastAsia="附件"/>
                <w:szCs w:val="21"/>
                <w:vertAlign w:val="superscript"/>
              </w:rPr>
              <w:t>2+</w:t>
            </w:r>
            <w:r>
              <w:rPr>
                <w:rFonts w:eastAsia="附件"/>
                <w:szCs w:val="21"/>
              </w:rPr>
              <w:t>、CO</w:t>
            </w:r>
            <w:r>
              <w:rPr>
                <w:rFonts w:eastAsia="附件"/>
                <w:szCs w:val="21"/>
                <w:vertAlign w:val="subscript"/>
              </w:rPr>
              <w:t>3</w:t>
            </w:r>
            <w:r>
              <w:rPr>
                <w:rFonts w:eastAsia="附件"/>
                <w:szCs w:val="21"/>
                <w:vertAlign w:val="superscript"/>
              </w:rPr>
              <w:t>2-</w:t>
            </w:r>
            <w:r>
              <w:rPr>
                <w:rFonts w:eastAsia="附件"/>
                <w:szCs w:val="21"/>
              </w:rPr>
              <w:t>、HCO</w:t>
            </w:r>
            <w:r>
              <w:rPr>
                <w:rFonts w:eastAsia="附件"/>
                <w:szCs w:val="21"/>
                <w:vertAlign w:val="subscript"/>
              </w:rPr>
              <w:t>3</w:t>
            </w:r>
            <w:r>
              <w:rPr>
                <w:rFonts w:eastAsia="附件"/>
                <w:szCs w:val="21"/>
                <w:vertAlign w:val="superscript"/>
              </w:rPr>
              <w:t>-</w:t>
            </w:r>
            <w:r>
              <w:rPr>
                <w:rFonts w:eastAsia="附件"/>
                <w:szCs w:val="21"/>
              </w:rPr>
              <w:t>、Cl</w:t>
            </w:r>
            <w:r>
              <w:rPr>
                <w:rFonts w:eastAsia="附件"/>
                <w:szCs w:val="21"/>
                <w:vertAlign w:val="superscript"/>
              </w:rPr>
              <w:t>-</w:t>
            </w:r>
            <w:r>
              <w:rPr>
                <w:rFonts w:eastAsia="附件"/>
                <w:szCs w:val="21"/>
              </w:rPr>
              <w:t>、SO</w:t>
            </w:r>
            <w:r>
              <w:rPr>
                <w:rFonts w:eastAsia="附件"/>
                <w:szCs w:val="21"/>
                <w:vertAlign w:val="subscript"/>
              </w:rPr>
              <w:t>4</w:t>
            </w:r>
            <w:r>
              <w:rPr>
                <w:rFonts w:eastAsia="附件"/>
                <w:szCs w:val="21"/>
                <w:vertAlign w:val="superscript"/>
              </w:rPr>
              <w:t>2-</w:t>
            </w:r>
            <w:r>
              <w:rPr>
                <w:rFonts w:eastAsia="附件"/>
                <w:szCs w:val="21"/>
              </w:rPr>
              <w:t>。</w:t>
            </w:r>
          </w:p>
          <w:p>
            <w:pPr>
              <w:autoSpaceDE w:val="0"/>
              <w:autoSpaceDN w:val="0"/>
              <w:spacing w:line="360" w:lineRule="auto"/>
              <w:ind w:firstLine="420" w:firstLineChars="200"/>
              <w:rPr>
                <w:bCs/>
                <w:szCs w:val="21"/>
              </w:rPr>
            </w:pPr>
            <w:r>
              <w:rPr>
                <w:bCs/>
                <w:szCs w:val="21"/>
              </w:rPr>
              <w:t>特征因子：石油类、硫化物、氯化物。</w:t>
            </w:r>
          </w:p>
          <w:p>
            <w:pPr>
              <w:autoSpaceDE w:val="0"/>
              <w:autoSpaceDN w:val="0"/>
              <w:spacing w:line="360" w:lineRule="auto"/>
              <w:ind w:firstLine="420" w:firstLineChars="200"/>
              <w:rPr>
                <w:kern w:val="0"/>
                <w:szCs w:val="21"/>
              </w:rPr>
            </w:pPr>
            <w:r>
              <w:rPr>
                <w:kern w:val="0"/>
                <w:szCs w:val="21"/>
              </w:rPr>
              <w:t>（3）监测频次：监测1天，每天采样1次。</w:t>
            </w:r>
          </w:p>
          <w:p>
            <w:pPr>
              <w:autoSpaceDE w:val="0"/>
              <w:autoSpaceDN w:val="0"/>
              <w:spacing w:line="360" w:lineRule="auto"/>
              <w:ind w:firstLine="420" w:firstLineChars="200"/>
              <w:rPr>
                <w:kern w:val="0"/>
                <w:szCs w:val="21"/>
              </w:rPr>
            </w:pPr>
            <w:r>
              <w:rPr>
                <w:kern w:val="0"/>
                <w:szCs w:val="21"/>
              </w:rPr>
              <w:t>（4）评价标准：《地下水质量标准》(GB/T 14848—2017)中Ⅲ类标准。</w:t>
            </w:r>
          </w:p>
          <w:p>
            <w:pPr>
              <w:autoSpaceDE w:val="0"/>
              <w:autoSpaceDN w:val="0"/>
              <w:spacing w:line="360" w:lineRule="auto"/>
              <w:ind w:firstLine="420" w:firstLineChars="200"/>
              <w:rPr>
                <w:kern w:val="0"/>
                <w:szCs w:val="21"/>
              </w:rPr>
            </w:pPr>
            <w:r>
              <w:rPr>
                <w:kern w:val="0"/>
                <w:szCs w:val="21"/>
              </w:rPr>
              <w:t>（5）评价方法：根据《环境影响评价技术导则 地下水环境》（HJ610-2016），地下水环境质量现状评价方法采用标准指数法，除pH值外，其它水质参数的单项标准指数S</w:t>
            </w:r>
            <w:r>
              <w:rPr>
                <w:kern w:val="0"/>
                <w:szCs w:val="21"/>
                <w:vertAlign w:val="subscript"/>
              </w:rPr>
              <w:t>i</w:t>
            </w:r>
            <w:r>
              <w:rPr>
                <w:kern w:val="0"/>
                <w:szCs w:val="21"/>
              </w:rPr>
              <w:t>为：</w:t>
            </w:r>
          </w:p>
          <w:p>
            <w:pPr>
              <w:autoSpaceDE w:val="0"/>
              <w:autoSpaceDN w:val="0"/>
              <w:adjustRightInd w:val="0"/>
              <w:spacing w:line="360" w:lineRule="auto"/>
              <w:ind w:firstLine="200"/>
              <w:jc w:val="center"/>
              <w:rPr>
                <w:kern w:val="0"/>
                <w:szCs w:val="21"/>
              </w:rPr>
            </w:pPr>
            <w:r>
              <w:rPr>
                <w:kern w:val="0"/>
                <w:szCs w:val="21"/>
              </w:rPr>
              <w:t>S</w:t>
            </w:r>
            <w:r>
              <w:rPr>
                <w:kern w:val="0"/>
                <w:szCs w:val="21"/>
                <w:vertAlign w:val="subscript"/>
              </w:rPr>
              <w:t>i</w:t>
            </w:r>
            <w:r>
              <w:rPr>
                <w:kern w:val="0"/>
                <w:szCs w:val="21"/>
              </w:rPr>
              <w:t>=C</w:t>
            </w:r>
            <w:r>
              <w:rPr>
                <w:kern w:val="0"/>
                <w:szCs w:val="21"/>
                <w:vertAlign w:val="subscript"/>
              </w:rPr>
              <w:t>i</w:t>
            </w:r>
            <w:r>
              <w:rPr>
                <w:kern w:val="0"/>
                <w:szCs w:val="21"/>
              </w:rPr>
              <w:t>/C</w:t>
            </w:r>
            <w:r>
              <w:rPr>
                <w:kern w:val="0"/>
                <w:szCs w:val="21"/>
                <w:vertAlign w:val="subscript"/>
              </w:rPr>
              <w:t>0i</w:t>
            </w:r>
          </w:p>
          <w:p>
            <w:pPr>
              <w:autoSpaceDE w:val="0"/>
              <w:autoSpaceDN w:val="0"/>
              <w:adjustRightInd w:val="0"/>
              <w:spacing w:line="360" w:lineRule="auto"/>
              <w:ind w:firstLine="420" w:firstLineChars="200"/>
              <w:rPr>
                <w:kern w:val="0"/>
                <w:szCs w:val="21"/>
              </w:rPr>
            </w:pPr>
            <w:r>
              <w:rPr>
                <w:kern w:val="0"/>
                <w:szCs w:val="21"/>
              </w:rPr>
              <w:t>式中：C</w:t>
            </w:r>
            <w:r>
              <w:rPr>
                <w:kern w:val="0"/>
                <w:szCs w:val="21"/>
                <w:vertAlign w:val="subscript"/>
              </w:rPr>
              <w:t>i</w:t>
            </w:r>
            <w:r>
              <w:rPr>
                <w:kern w:val="0"/>
                <w:szCs w:val="21"/>
              </w:rPr>
              <w:t>——第i种污染物实测浓度值，mg/L；</w:t>
            </w:r>
          </w:p>
          <w:p>
            <w:pPr>
              <w:autoSpaceDE w:val="0"/>
              <w:autoSpaceDN w:val="0"/>
              <w:adjustRightInd w:val="0"/>
              <w:spacing w:line="360" w:lineRule="auto"/>
              <w:ind w:firstLine="1050" w:firstLineChars="500"/>
              <w:rPr>
                <w:kern w:val="0"/>
                <w:szCs w:val="21"/>
              </w:rPr>
            </w:pPr>
            <w:r>
              <w:rPr>
                <w:kern w:val="0"/>
                <w:szCs w:val="21"/>
              </w:rPr>
              <w:t>C</w:t>
            </w:r>
            <w:r>
              <w:rPr>
                <w:kern w:val="0"/>
                <w:szCs w:val="21"/>
                <w:vertAlign w:val="subscript"/>
              </w:rPr>
              <w:t>0i</w:t>
            </w:r>
            <w:r>
              <w:rPr>
                <w:kern w:val="0"/>
                <w:szCs w:val="21"/>
              </w:rPr>
              <w:t>——第i种污染物在GB3838-2002中III类标准值，mg/L；</w:t>
            </w:r>
          </w:p>
          <w:p>
            <w:pPr>
              <w:autoSpaceDE w:val="0"/>
              <w:autoSpaceDN w:val="0"/>
              <w:adjustRightInd w:val="0"/>
              <w:spacing w:line="360" w:lineRule="auto"/>
              <w:ind w:firstLine="420" w:firstLineChars="200"/>
              <w:rPr>
                <w:kern w:val="0"/>
                <w:szCs w:val="21"/>
              </w:rPr>
            </w:pPr>
            <w:r>
              <w:rPr>
                <w:kern w:val="0"/>
                <w:szCs w:val="21"/>
              </w:rPr>
              <w:t>pH的标准指数S</w:t>
            </w:r>
            <w:r>
              <w:rPr>
                <w:kern w:val="0"/>
                <w:szCs w:val="21"/>
                <w:vertAlign w:val="subscript"/>
              </w:rPr>
              <w:t>pH</w:t>
            </w:r>
            <w:r>
              <w:rPr>
                <w:kern w:val="0"/>
                <w:szCs w:val="21"/>
              </w:rPr>
              <w:t>为：</w:t>
            </w:r>
          </w:p>
          <w:p>
            <w:pPr>
              <w:autoSpaceDE w:val="0"/>
              <w:autoSpaceDN w:val="0"/>
              <w:adjustRightInd w:val="0"/>
              <w:spacing w:line="360" w:lineRule="auto"/>
              <w:jc w:val="center"/>
              <w:rPr>
                <w:kern w:val="0"/>
                <w:szCs w:val="21"/>
              </w:rPr>
            </w:pPr>
            <w:r>
              <w:rPr>
                <w:kern w:val="0"/>
                <w:szCs w:val="21"/>
              </w:rPr>
              <w:t>当pH≤7.0  SpH=（7.0-pH）/（7.0-pH</w:t>
            </w:r>
            <w:r>
              <w:rPr>
                <w:kern w:val="0"/>
                <w:szCs w:val="21"/>
                <w:vertAlign w:val="subscript"/>
              </w:rPr>
              <w:t>sd</w:t>
            </w:r>
            <w:r>
              <w:rPr>
                <w:kern w:val="0"/>
                <w:szCs w:val="21"/>
              </w:rPr>
              <w:t>）</w:t>
            </w:r>
          </w:p>
          <w:p>
            <w:pPr>
              <w:autoSpaceDE w:val="0"/>
              <w:autoSpaceDN w:val="0"/>
              <w:adjustRightInd w:val="0"/>
              <w:spacing w:line="360" w:lineRule="auto"/>
              <w:jc w:val="center"/>
              <w:rPr>
                <w:kern w:val="0"/>
                <w:szCs w:val="21"/>
              </w:rPr>
            </w:pPr>
            <w:r>
              <w:rPr>
                <w:kern w:val="0"/>
                <w:szCs w:val="21"/>
              </w:rPr>
              <w:t>当pH≥7.0  SpH=（pH-7.0）/（pH</w:t>
            </w:r>
            <w:r>
              <w:rPr>
                <w:kern w:val="0"/>
                <w:szCs w:val="21"/>
                <w:vertAlign w:val="subscript"/>
              </w:rPr>
              <w:t>sw</w:t>
            </w:r>
            <w:r>
              <w:rPr>
                <w:kern w:val="0"/>
                <w:szCs w:val="21"/>
              </w:rPr>
              <w:t>-7.0）</w:t>
            </w:r>
          </w:p>
          <w:p>
            <w:pPr>
              <w:overflowPunct w:val="0"/>
              <w:autoSpaceDE w:val="0"/>
              <w:autoSpaceDN w:val="0"/>
              <w:adjustRightInd w:val="0"/>
              <w:spacing w:line="360" w:lineRule="auto"/>
              <w:ind w:firstLine="420" w:firstLineChars="200"/>
              <w:rPr>
                <w:kern w:val="0"/>
                <w:szCs w:val="21"/>
              </w:rPr>
            </w:pPr>
            <w:r>
              <w:rPr>
                <w:kern w:val="0"/>
                <w:szCs w:val="21"/>
              </w:rPr>
              <w:t>式中：pH——实测的pH值；</w:t>
            </w:r>
          </w:p>
          <w:p>
            <w:pPr>
              <w:autoSpaceDE w:val="0"/>
              <w:autoSpaceDN w:val="0"/>
              <w:adjustRightInd w:val="0"/>
              <w:spacing w:line="360" w:lineRule="auto"/>
              <w:ind w:firstLine="1050" w:firstLineChars="500"/>
              <w:rPr>
                <w:kern w:val="0"/>
                <w:szCs w:val="21"/>
              </w:rPr>
            </w:pPr>
            <w:r>
              <w:rPr>
                <w:kern w:val="0"/>
                <w:szCs w:val="21"/>
              </w:rPr>
              <w:t>pH</w:t>
            </w:r>
            <w:r>
              <w:rPr>
                <w:kern w:val="0"/>
                <w:szCs w:val="21"/>
                <w:vertAlign w:val="subscript"/>
              </w:rPr>
              <w:t>sd</w:t>
            </w:r>
            <w:r>
              <w:rPr>
                <w:kern w:val="0"/>
                <w:szCs w:val="21"/>
              </w:rPr>
              <w:t>——地表水质量标准中规定的pH值下限；</w:t>
            </w:r>
          </w:p>
          <w:p>
            <w:pPr>
              <w:autoSpaceDE w:val="0"/>
              <w:autoSpaceDN w:val="0"/>
              <w:adjustRightInd w:val="0"/>
              <w:spacing w:line="360" w:lineRule="auto"/>
              <w:ind w:firstLine="1050" w:firstLineChars="500"/>
              <w:rPr>
                <w:kern w:val="0"/>
                <w:szCs w:val="21"/>
              </w:rPr>
            </w:pPr>
            <w:r>
              <w:rPr>
                <w:kern w:val="0"/>
                <w:szCs w:val="21"/>
              </w:rPr>
              <w:t>pH</w:t>
            </w:r>
            <w:r>
              <w:rPr>
                <w:kern w:val="0"/>
                <w:szCs w:val="21"/>
                <w:vertAlign w:val="subscript"/>
              </w:rPr>
              <w:t>sw</w:t>
            </w:r>
            <w:r>
              <w:rPr>
                <w:kern w:val="0"/>
                <w:szCs w:val="21"/>
              </w:rPr>
              <w:t>——地表水质量标准中规定的pH值上限。</w:t>
            </w:r>
          </w:p>
          <w:p>
            <w:pPr>
              <w:autoSpaceDE w:val="0"/>
              <w:autoSpaceDN w:val="0"/>
              <w:spacing w:line="360" w:lineRule="auto"/>
              <w:ind w:firstLine="420" w:firstLineChars="200"/>
              <w:rPr>
                <w:kern w:val="0"/>
                <w:szCs w:val="21"/>
              </w:rPr>
            </w:pPr>
            <w:r>
              <w:rPr>
                <w:kern w:val="0"/>
                <w:szCs w:val="21"/>
              </w:rPr>
              <w:t>地下水环境质量监测结果及评价结果见下表。</w:t>
            </w:r>
          </w:p>
          <w:p>
            <w:pPr>
              <w:pStyle w:val="331"/>
              <w:numPr>
                <w:ilvl w:val="0"/>
                <w:numId w:val="6"/>
              </w:numPr>
              <w:adjustRightInd w:val="0"/>
              <w:snapToGrid w:val="0"/>
              <w:spacing w:line="360" w:lineRule="auto"/>
              <w:ind w:left="0" w:firstLine="0" w:firstLineChars="0"/>
              <w:jc w:val="center"/>
              <w:rPr>
                <w:b/>
                <w:bCs/>
                <w:kern w:val="0"/>
                <w:szCs w:val="21"/>
              </w:rPr>
            </w:pPr>
            <w:r>
              <w:rPr>
                <w:b/>
                <w:bCs/>
                <w:kern w:val="0"/>
                <w:szCs w:val="21"/>
              </w:rPr>
              <w:t>地下水环境现状监测及评价结果（单位：mg/L，pH无量纲）</w:t>
            </w:r>
          </w:p>
          <w:tbl>
            <w:tblPr>
              <w:tblStyle w:val="42"/>
              <w:tblW w:w="80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8"/>
              <w:gridCol w:w="853"/>
              <w:gridCol w:w="740"/>
              <w:gridCol w:w="726"/>
              <w:gridCol w:w="677"/>
              <w:gridCol w:w="677"/>
              <w:gridCol w:w="789"/>
              <w:gridCol w:w="794"/>
              <w:gridCol w:w="789"/>
              <w:gridCol w:w="790"/>
              <w:gridCol w:w="6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98" w:type="dxa"/>
                  <w:vMerge w:val="restart"/>
                  <w:vAlign w:val="center"/>
                </w:tcPr>
                <w:p>
                  <w:pPr>
                    <w:tabs>
                      <w:tab w:val="left" w:pos="735"/>
                    </w:tabs>
                    <w:snapToGrid w:val="0"/>
                    <w:jc w:val="center"/>
                    <w:rPr>
                      <w:b/>
                      <w:szCs w:val="21"/>
                    </w:rPr>
                  </w:pPr>
                  <w:r>
                    <w:rPr>
                      <w:bCs/>
                      <w:szCs w:val="21"/>
                    </w:rPr>
                    <w:t>监测时间</w:t>
                  </w:r>
                </w:p>
              </w:tc>
              <w:tc>
                <w:tcPr>
                  <w:tcW w:w="853" w:type="dxa"/>
                  <w:vMerge w:val="restart"/>
                  <w:vAlign w:val="center"/>
                </w:tcPr>
                <w:p>
                  <w:pPr>
                    <w:tabs>
                      <w:tab w:val="left" w:pos="735"/>
                    </w:tabs>
                    <w:snapToGrid w:val="0"/>
                    <w:jc w:val="center"/>
                    <w:rPr>
                      <w:b/>
                      <w:szCs w:val="21"/>
                    </w:rPr>
                  </w:pPr>
                  <w:r>
                    <w:rPr>
                      <w:bCs/>
                      <w:szCs w:val="21"/>
                    </w:rPr>
                    <w:t>监测项目</w:t>
                  </w:r>
                </w:p>
              </w:tc>
              <w:tc>
                <w:tcPr>
                  <w:tcW w:w="740" w:type="dxa"/>
                  <w:vMerge w:val="restart"/>
                  <w:vAlign w:val="center"/>
                </w:tcPr>
                <w:p>
                  <w:pPr>
                    <w:tabs>
                      <w:tab w:val="left" w:pos="735"/>
                    </w:tabs>
                    <w:snapToGrid w:val="0"/>
                    <w:jc w:val="center"/>
                    <w:rPr>
                      <w:bCs/>
                      <w:szCs w:val="21"/>
                    </w:rPr>
                  </w:pPr>
                  <w:r>
                    <w:rPr>
                      <w:bCs/>
                      <w:szCs w:val="21"/>
                    </w:rPr>
                    <w:t>单位</w:t>
                  </w:r>
                </w:p>
              </w:tc>
              <w:tc>
                <w:tcPr>
                  <w:tcW w:w="3663" w:type="dxa"/>
                  <w:gridSpan w:val="5"/>
                  <w:vAlign w:val="center"/>
                </w:tcPr>
                <w:p>
                  <w:pPr>
                    <w:adjustRightInd w:val="0"/>
                    <w:snapToGrid w:val="0"/>
                    <w:jc w:val="center"/>
                    <w:rPr>
                      <w:b/>
                      <w:bCs/>
                      <w:szCs w:val="21"/>
                    </w:rPr>
                  </w:pPr>
                  <w:r>
                    <w:rPr>
                      <w:bCs/>
                      <w:szCs w:val="21"/>
                    </w:rPr>
                    <w:t>监测点位</w:t>
                  </w:r>
                </w:p>
              </w:tc>
              <w:tc>
                <w:tcPr>
                  <w:tcW w:w="789" w:type="dxa"/>
                  <w:vMerge w:val="restart"/>
                  <w:vAlign w:val="center"/>
                </w:tcPr>
                <w:p>
                  <w:pPr>
                    <w:adjustRightInd w:val="0"/>
                    <w:snapToGrid w:val="0"/>
                    <w:jc w:val="center"/>
                    <w:rPr>
                      <w:b/>
                      <w:bCs/>
                      <w:szCs w:val="21"/>
                    </w:rPr>
                  </w:pPr>
                  <w:r>
                    <w:rPr>
                      <w:b/>
                      <w:bCs/>
                      <w:szCs w:val="21"/>
                    </w:rPr>
                    <w:t>Ⅲ类</w:t>
                  </w:r>
                </w:p>
                <w:p>
                  <w:pPr>
                    <w:tabs>
                      <w:tab w:val="left" w:pos="735"/>
                    </w:tabs>
                    <w:snapToGrid w:val="0"/>
                    <w:jc w:val="center"/>
                    <w:rPr>
                      <w:bCs/>
                      <w:szCs w:val="21"/>
                    </w:rPr>
                  </w:pPr>
                  <w:r>
                    <w:rPr>
                      <w:b/>
                      <w:bCs/>
                      <w:szCs w:val="21"/>
                    </w:rPr>
                    <w:t>标准值</w:t>
                  </w:r>
                </w:p>
              </w:tc>
              <w:tc>
                <w:tcPr>
                  <w:tcW w:w="790" w:type="dxa"/>
                  <w:vMerge w:val="restart"/>
                  <w:vAlign w:val="center"/>
                </w:tcPr>
                <w:p>
                  <w:pPr>
                    <w:tabs>
                      <w:tab w:val="left" w:pos="735"/>
                    </w:tabs>
                    <w:snapToGrid w:val="0"/>
                    <w:jc w:val="center"/>
                    <w:rPr>
                      <w:bCs/>
                      <w:szCs w:val="21"/>
                    </w:rPr>
                  </w:pPr>
                  <w:r>
                    <w:rPr>
                      <w:bCs/>
                      <w:szCs w:val="21"/>
                    </w:rPr>
                    <w:t>最大标准指数值</w:t>
                  </w:r>
                </w:p>
              </w:tc>
              <w:tc>
                <w:tcPr>
                  <w:tcW w:w="673" w:type="dxa"/>
                  <w:vMerge w:val="restart"/>
                  <w:vAlign w:val="center"/>
                </w:tcPr>
                <w:p>
                  <w:pPr>
                    <w:adjustRightInd w:val="0"/>
                    <w:snapToGrid w:val="0"/>
                    <w:jc w:val="center"/>
                    <w:rPr>
                      <w:b/>
                      <w:bCs/>
                      <w:szCs w:val="21"/>
                    </w:rPr>
                  </w:pPr>
                  <w:r>
                    <w:rPr>
                      <w:b/>
                      <w:bCs/>
                      <w:szCs w:val="21"/>
                    </w:rPr>
                    <w:t>超标率</w:t>
                  </w:r>
                </w:p>
                <w:p>
                  <w:pPr>
                    <w:tabs>
                      <w:tab w:val="left" w:pos="735"/>
                    </w:tabs>
                    <w:snapToGrid w:val="0"/>
                    <w:jc w:val="center"/>
                    <w:rPr>
                      <w:bCs/>
                      <w:szCs w:val="21"/>
                    </w:rPr>
                  </w:pPr>
                  <w:r>
                    <w:rPr>
                      <w:b/>
                      <w:bC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98" w:type="dxa"/>
                  <w:vMerge w:val="continue"/>
                  <w:vAlign w:val="center"/>
                </w:tcPr>
                <w:p>
                  <w:pPr>
                    <w:tabs>
                      <w:tab w:val="left" w:pos="735"/>
                    </w:tabs>
                    <w:snapToGrid w:val="0"/>
                    <w:jc w:val="center"/>
                    <w:rPr>
                      <w:bCs/>
                      <w:szCs w:val="21"/>
                    </w:rPr>
                  </w:pPr>
                </w:p>
              </w:tc>
              <w:tc>
                <w:tcPr>
                  <w:tcW w:w="853" w:type="dxa"/>
                  <w:vMerge w:val="continue"/>
                  <w:vAlign w:val="center"/>
                </w:tcPr>
                <w:p>
                  <w:pPr>
                    <w:tabs>
                      <w:tab w:val="left" w:pos="735"/>
                    </w:tabs>
                    <w:snapToGrid w:val="0"/>
                    <w:jc w:val="center"/>
                    <w:rPr>
                      <w:bCs/>
                      <w:szCs w:val="21"/>
                    </w:rPr>
                  </w:pPr>
                </w:p>
              </w:tc>
              <w:tc>
                <w:tcPr>
                  <w:tcW w:w="740" w:type="dxa"/>
                  <w:vMerge w:val="continue"/>
                  <w:vAlign w:val="center"/>
                </w:tcPr>
                <w:p>
                  <w:pPr>
                    <w:tabs>
                      <w:tab w:val="left" w:pos="735"/>
                    </w:tabs>
                    <w:snapToGrid w:val="0"/>
                    <w:jc w:val="center"/>
                    <w:rPr>
                      <w:bCs/>
                      <w:szCs w:val="21"/>
                    </w:rPr>
                  </w:pPr>
                </w:p>
              </w:tc>
              <w:tc>
                <w:tcPr>
                  <w:tcW w:w="726" w:type="dxa"/>
                  <w:vAlign w:val="center"/>
                </w:tcPr>
                <w:p>
                  <w:pPr>
                    <w:tabs>
                      <w:tab w:val="left" w:pos="735"/>
                    </w:tabs>
                    <w:snapToGrid w:val="0"/>
                    <w:jc w:val="center"/>
                    <w:rPr>
                      <w:bCs/>
                      <w:szCs w:val="21"/>
                    </w:rPr>
                  </w:pPr>
                  <w:r>
                    <w:rPr>
                      <w:bCs/>
                      <w:szCs w:val="21"/>
                    </w:rPr>
                    <w:t>D1</w:t>
                  </w:r>
                </w:p>
              </w:tc>
              <w:tc>
                <w:tcPr>
                  <w:tcW w:w="677" w:type="dxa"/>
                  <w:vAlign w:val="center"/>
                </w:tcPr>
                <w:p>
                  <w:pPr>
                    <w:tabs>
                      <w:tab w:val="left" w:pos="735"/>
                    </w:tabs>
                    <w:snapToGrid w:val="0"/>
                    <w:jc w:val="center"/>
                    <w:rPr>
                      <w:bCs/>
                      <w:szCs w:val="21"/>
                    </w:rPr>
                  </w:pPr>
                  <w:r>
                    <w:rPr>
                      <w:bCs/>
                      <w:szCs w:val="21"/>
                    </w:rPr>
                    <w:t>D2</w:t>
                  </w:r>
                </w:p>
              </w:tc>
              <w:tc>
                <w:tcPr>
                  <w:tcW w:w="677" w:type="dxa"/>
                  <w:vAlign w:val="center"/>
                </w:tcPr>
                <w:p>
                  <w:pPr>
                    <w:tabs>
                      <w:tab w:val="left" w:pos="735"/>
                    </w:tabs>
                    <w:snapToGrid w:val="0"/>
                    <w:jc w:val="center"/>
                    <w:rPr>
                      <w:bCs/>
                      <w:szCs w:val="21"/>
                    </w:rPr>
                  </w:pPr>
                  <w:r>
                    <w:rPr>
                      <w:bCs/>
                      <w:szCs w:val="21"/>
                    </w:rPr>
                    <w:t>D3</w:t>
                  </w:r>
                </w:p>
              </w:tc>
              <w:tc>
                <w:tcPr>
                  <w:tcW w:w="789" w:type="dxa"/>
                  <w:vAlign w:val="center"/>
                </w:tcPr>
                <w:p>
                  <w:pPr>
                    <w:tabs>
                      <w:tab w:val="left" w:pos="735"/>
                    </w:tabs>
                    <w:snapToGrid w:val="0"/>
                    <w:jc w:val="center"/>
                    <w:rPr>
                      <w:bCs/>
                      <w:szCs w:val="21"/>
                    </w:rPr>
                  </w:pPr>
                  <w:r>
                    <w:rPr>
                      <w:bCs/>
                      <w:szCs w:val="21"/>
                    </w:rPr>
                    <w:t>D4</w:t>
                  </w:r>
                </w:p>
              </w:tc>
              <w:tc>
                <w:tcPr>
                  <w:tcW w:w="794" w:type="dxa"/>
                  <w:vAlign w:val="center"/>
                </w:tcPr>
                <w:p>
                  <w:pPr>
                    <w:tabs>
                      <w:tab w:val="left" w:pos="735"/>
                    </w:tabs>
                    <w:snapToGrid w:val="0"/>
                    <w:jc w:val="center"/>
                    <w:rPr>
                      <w:bCs/>
                      <w:szCs w:val="21"/>
                    </w:rPr>
                  </w:pPr>
                  <w:r>
                    <w:rPr>
                      <w:bCs/>
                      <w:szCs w:val="21"/>
                    </w:rPr>
                    <w:t>D5</w:t>
                  </w:r>
                </w:p>
              </w:tc>
              <w:tc>
                <w:tcPr>
                  <w:tcW w:w="789" w:type="dxa"/>
                  <w:vMerge w:val="continue"/>
                  <w:vAlign w:val="center"/>
                </w:tcPr>
                <w:p>
                  <w:pPr>
                    <w:tabs>
                      <w:tab w:val="left" w:pos="735"/>
                    </w:tabs>
                    <w:snapToGrid w:val="0"/>
                    <w:jc w:val="center"/>
                    <w:rPr>
                      <w:bCs/>
                      <w:szCs w:val="21"/>
                    </w:rPr>
                  </w:pPr>
                </w:p>
              </w:tc>
              <w:tc>
                <w:tcPr>
                  <w:tcW w:w="790" w:type="dxa"/>
                  <w:vMerge w:val="continue"/>
                  <w:vAlign w:val="center"/>
                </w:tcPr>
                <w:p>
                  <w:pPr>
                    <w:tabs>
                      <w:tab w:val="left" w:pos="735"/>
                    </w:tabs>
                    <w:snapToGrid w:val="0"/>
                    <w:jc w:val="center"/>
                    <w:rPr>
                      <w:bCs/>
                      <w:szCs w:val="21"/>
                    </w:rPr>
                  </w:pPr>
                </w:p>
              </w:tc>
              <w:tc>
                <w:tcPr>
                  <w:tcW w:w="673" w:type="dxa"/>
                  <w:vMerge w:val="continue"/>
                  <w:vAlign w:val="center"/>
                </w:tcPr>
                <w:p>
                  <w:pPr>
                    <w:tabs>
                      <w:tab w:val="left" w:pos="735"/>
                    </w:tabs>
                    <w:snapToGrid w:val="0"/>
                    <w:jc w:val="center"/>
                    <w:rPr>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98" w:type="dxa"/>
                  <w:vMerge w:val="restart"/>
                  <w:vAlign w:val="center"/>
                </w:tcPr>
                <w:p>
                  <w:pPr>
                    <w:tabs>
                      <w:tab w:val="left" w:pos="735"/>
                    </w:tabs>
                    <w:snapToGrid w:val="0"/>
                    <w:jc w:val="center"/>
                    <w:rPr>
                      <w:bCs/>
                      <w:szCs w:val="21"/>
                    </w:rPr>
                  </w:pPr>
                  <w:r>
                    <w:rPr>
                      <w:bCs/>
                      <w:szCs w:val="21"/>
                    </w:rPr>
                    <w:t>2022.1.14</w:t>
                  </w:r>
                </w:p>
              </w:tc>
              <w:tc>
                <w:tcPr>
                  <w:tcW w:w="853" w:type="dxa"/>
                  <w:vAlign w:val="center"/>
                </w:tcPr>
                <w:p>
                  <w:pPr>
                    <w:tabs>
                      <w:tab w:val="left" w:pos="735"/>
                    </w:tabs>
                    <w:snapToGrid w:val="0"/>
                    <w:jc w:val="center"/>
                    <w:rPr>
                      <w:b/>
                      <w:szCs w:val="21"/>
                    </w:rPr>
                  </w:pPr>
                  <w:r>
                    <w:rPr>
                      <w:bCs/>
                      <w:szCs w:val="21"/>
                    </w:rPr>
                    <w:t>pH</w:t>
                  </w:r>
                </w:p>
              </w:tc>
              <w:tc>
                <w:tcPr>
                  <w:tcW w:w="740" w:type="dxa"/>
                  <w:vAlign w:val="center"/>
                </w:tcPr>
                <w:p>
                  <w:pPr>
                    <w:tabs>
                      <w:tab w:val="left" w:pos="735"/>
                    </w:tabs>
                    <w:snapToGrid w:val="0"/>
                    <w:jc w:val="center"/>
                    <w:rPr>
                      <w:b/>
                      <w:szCs w:val="21"/>
                    </w:rPr>
                  </w:pPr>
                  <w:r>
                    <w:rPr>
                      <w:bCs/>
                      <w:szCs w:val="21"/>
                    </w:rPr>
                    <w:t>/</w:t>
                  </w:r>
                </w:p>
              </w:tc>
              <w:tc>
                <w:tcPr>
                  <w:tcW w:w="726" w:type="dxa"/>
                  <w:vAlign w:val="center"/>
                </w:tcPr>
                <w:p>
                  <w:pPr>
                    <w:jc w:val="center"/>
                    <w:rPr>
                      <w:szCs w:val="21"/>
                    </w:rPr>
                  </w:pPr>
                  <w:r>
                    <w:rPr>
                      <w:rFonts w:hint="eastAsia"/>
                      <w:sz w:val="18"/>
                      <w:szCs w:val="18"/>
                    </w:rPr>
                    <w:t>7.28</w:t>
                  </w:r>
                </w:p>
              </w:tc>
              <w:tc>
                <w:tcPr>
                  <w:tcW w:w="677" w:type="dxa"/>
                  <w:vAlign w:val="center"/>
                </w:tcPr>
                <w:p>
                  <w:pPr>
                    <w:jc w:val="center"/>
                    <w:rPr>
                      <w:szCs w:val="21"/>
                    </w:rPr>
                  </w:pPr>
                  <w:r>
                    <w:rPr>
                      <w:rFonts w:hint="eastAsia"/>
                      <w:sz w:val="18"/>
                      <w:szCs w:val="18"/>
                    </w:rPr>
                    <w:t>7.30</w:t>
                  </w:r>
                </w:p>
              </w:tc>
              <w:tc>
                <w:tcPr>
                  <w:tcW w:w="677" w:type="dxa"/>
                  <w:vAlign w:val="center"/>
                </w:tcPr>
                <w:p>
                  <w:pPr>
                    <w:jc w:val="center"/>
                    <w:rPr>
                      <w:szCs w:val="21"/>
                    </w:rPr>
                  </w:pPr>
                  <w:r>
                    <w:rPr>
                      <w:rFonts w:hint="eastAsia"/>
                      <w:sz w:val="18"/>
                      <w:szCs w:val="18"/>
                    </w:rPr>
                    <w:t>7.16</w:t>
                  </w:r>
                </w:p>
              </w:tc>
              <w:tc>
                <w:tcPr>
                  <w:tcW w:w="789" w:type="dxa"/>
                  <w:vAlign w:val="center"/>
                </w:tcPr>
                <w:p>
                  <w:pPr>
                    <w:jc w:val="center"/>
                    <w:rPr>
                      <w:szCs w:val="21"/>
                    </w:rPr>
                  </w:pPr>
                  <w:r>
                    <w:rPr>
                      <w:rFonts w:hint="eastAsia"/>
                      <w:sz w:val="18"/>
                      <w:szCs w:val="18"/>
                    </w:rPr>
                    <w:t>7.21</w:t>
                  </w:r>
                </w:p>
              </w:tc>
              <w:tc>
                <w:tcPr>
                  <w:tcW w:w="794" w:type="dxa"/>
                  <w:vAlign w:val="center"/>
                </w:tcPr>
                <w:p>
                  <w:pPr>
                    <w:jc w:val="center"/>
                    <w:rPr>
                      <w:szCs w:val="21"/>
                    </w:rPr>
                  </w:pPr>
                  <w:r>
                    <w:rPr>
                      <w:rFonts w:hint="eastAsia"/>
                      <w:sz w:val="18"/>
                      <w:szCs w:val="18"/>
                    </w:rPr>
                    <w:t>7.33</w:t>
                  </w:r>
                </w:p>
              </w:tc>
              <w:tc>
                <w:tcPr>
                  <w:tcW w:w="789" w:type="dxa"/>
                  <w:vAlign w:val="center"/>
                </w:tcPr>
                <w:p>
                  <w:pPr>
                    <w:tabs>
                      <w:tab w:val="left" w:pos="735"/>
                    </w:tabs>
                    <w:snapToGrid w:val="0"/>
                    <w:jc w:val="center"/>
                    <w:rPr>
                      <w:bCs/>
                      <w:szCs w:val="21"/>
                    </w:rPr>
                  </w:pPr>
                  <w:r>
                    <w:rPr>
                      <w:szCs w:val="21"/>
                    </w:rPr>
                    <w:t>6.5-8.5</w:t>
                  </w:r>
                </w:p>
              </w:tc>
              <w:tc>
                <w:tcPr>
                  <w:tcW w:w="790" w:type="dxa"/>
                  <w:vAlign w:val="center"/>
                </w:tcPr>
                <w:p>
                  <w:pPr>
                    <w:snapToGrid w:val="0"/>
                    <w:jc w:val="center"/>
                    <w:rPr>
                      <w:szCs w:val="21"/>
                    </w:rPr>
                  </w:pPr>
                  <w:r>
                    <w:rPr>
                      <w:szCs w:val="21"/>
                    </w:rPr>
                    <w:t>0.2</w:t>
                  </w:r>
                </w:p>
              </w:tc>
              <w:tc>
                <w:tcPr>
                  <w:tcW w:w="673" w:type="dxa"/>
                  <w:vAlign w:val="center"/>
                </w:tcPr>
                <w:p>
                  <w:pPr>
                    <w:tabs>
                      <w:tab w:val="left" w:pos="735"/>
                    </w:tabs>
                    <w:snapToGrid w:val="0"/>
                    <w:jc w:val="center"/>
                    <w:rPr>
                      <w:bCs/>
                      <w:szCs w:val="21"/>
                    </w:rPr>
                  </w:pPr>
                  <w:r>
                    <w:rPr>
                      <w:bCs/>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98" w:type="dxa"/>
                  <w:vMerge w:val="continue"/>
                  <w:vAlign w:val="center"/>
                </w:tcPr>
                <w:p>
                  <w:pPr>
                    <w:tabs>
                      <w:tab w:val="left" w:pos="735"/>
                    </w:tabs>
                    <w:snapToGrid w:val="0"/>
                    <w:jc w:val="center"/>
                    <w:rPr>
                      <w:bCs/>
                      <w:szCs w:val="21"/>
                    </w:rPr>
                  </w:pPr>
                </w:p>
              </w:tc>
              <w:tc>
                <w:tcPr>
                  <w:tcW w:w="853" w:type="dxa"/>
                  <w:vAlign w:val="center"/>
                </w:tcPr>
                <w:p>
                  <w:pPr>
                    <w:jc w:val="center"/>
                    <w:rPr>
                      <w:szCs w:val="21"/>
                    </w:rPr>
                  </w:pPr>
                  <w:r>
                    <w:rPr>
                      <w:szCs w:val="21"/>
                    </w:rPr>
                    <w:t>总硬度</w:t>
                  </w:r>
                </w:p>
              </w:tc>
              <w:tc>
                <w:tcPr>
                  <w:tcW w:w="740" w:type="dxa"/>
                  <w:vAlign w:val="center"/>
                </w:tcPr>
                <w:p>
                  <w:pPr>
                    <w:snapToGrid w:val="0"/>
                    <w:jc w:val="center"/>
                    <w:rPr>
                      <w:szCs w:val="21"/>
                    </w:rPr>
                  </w:pPr>
                  <w:r>
                    <w:rPr>
                      <w:szCs w:val="21"/>
                    </w:rPr>
                    <w:t>mg/L</w:t>
                  </w:r>
                </w:p>
              </w:tc>
              <w:tc>
                <w:tcPr>
                  <w:tcW w:w="726" w:type="dxa"/>
                  <w:vAlign w:val="center"/>
                </w:tcPr>
                <w:p>
                  <w:pPr>
                    <w:jc w:val="center"/>
                    <w:rPr>
                      <w:bCs/>
                      <w:kern w:val="0"/>
                      <w:szCs w:val="21"/>
                    </w:rPr>
                  </w:pPr>
                  <w:r>
                    <w:rPr>
                      <w:rFonts w:hint="eastAsia"/>
                      <w:bCs/>
                      <w:color w:val="000000" w:themeColor="text1"/>
                      <w:kern w:val="0"/>
                      <w:sz w:val="18"/>
                      <w:szCs w:val="18"/>
                      <w14:textFill>
                        <w14:solidFill>
                          <w14:schemeClr w14:val="tx1"/>
                        </w14:solidFill>
                      </w14:textFill>
                    </w:rPr>
                    <w:t>232</w:t>
                  </w:r>
                </w:p>
              </w:tc>
              <w:tc>
                <w:tcPr>
                  <w:tcW w:w="677" w:type="dxa"/>
                  <w:vAlign w:val="center"/>
                </w:tcPr>
                <w:p>
                  <w:pPr>
                    <w:jc w:val="center"/>
                    <w:rPr>
                      <w:bCs/>
                      <w:kern w:val="0"/>
                      <w:szCs w:val="21"/>
                    </w:rPr>
                  </w:pPr>
                  <w:r>
                    <w:rPr>
                      <w:rFonts w:hint="eastAsia"/>
                      <w:bCs/>
                      <w:color w:val="000000" w:themeColor="text1"/>
                      <w:kern w:val="0"/>
                      <w:sz w:val="18"/>
                      <w:szCs w:val="18"/>
                      <w14:textFill>
                        <w14:solidFill>
                          <w14:schemeClr w14:val="tx1"/>
                        </w14:solidFill>
                      </w14:textFill>
                    </w:rPr>
                    <w:t>250</w:t>
                  </w:r>
                </w:p>
              </w:tc>
              <w:tc>
                <w:tcPr>
                  <w:tcW w:w="677" w:type="dxa"/>
                  <w:vAlign w:val="center"/>
                </w:tcPr>
                <w:p>
                  <w:pPr>
                    <w:jc w:val="center"/>
                    <w:rPr>
                      <w:bCs/>
                      <w:kern w:val="0"/>
                      <w:szCs w:val="21"/>
                    </w:rPr>
                  </w:pPr>
                  <w:r>
                    <w:rPr>
                      <w:rFonts w:hint="eastAsia"/>
                      <w:bCs/>
                      <w:color w:val="000000" w:themeColor="text1"/>
                      <w:kern w:val="0"/>
                      <w:sz w:val="18"/>
                      <w:szCs w:val="18"/>
                      <w14:textFill>
                        <w14:solidFill>
                          <w14:schemeClr w14:val="tx1"/>
                        </w14:solidFill>
                      </w14:textFill>
                    </w:rPr>
                    <w:t>234</w:t>
                  </w:r>
                </w:p>
              </w:tc>
              <w:tc>
                <w:tcPr>
                  <w:tcW w:w="789" w:type="dxa"/>
                  <w:vAlign w:val="center"/>
                </w:tcPr>
                <w:p>
                  <w:pPr>
                    <w:jc w:val="center"/>
                    <w:rPr>
                      <w:bCs/>
                      <w:kern w:val="0"/>
                      <w:szCs w:val="21"/>
                    </w:rPr>
                  </w:pPr>
                  <w:r>
                    <w:rPr>
                      <w:rFonts w:hint="eastAsia"/>
                      <w:bCs/>
                      <w:color w:val="000000" w:themeColor="text1"/>
                      <w:kern w:val="0"/>
                      <w:sz w:val="18"/>
                      <w:szCs w:val="18"/>
                      <w14:textFill>
                        <w14:solidFill>
                          <w14:schemeClr w14:val="tx1"/>
                        </w14:solidFill>
                      </w14:textFill>
                    </w:rPr>
                    <w:t>243</w:t>
                  </w:r>
                </w:p>
              </w:tc>
              <w:tc>
                <w:tcPr>
                  <w:tcW w:w="794" w:type="dxa"/>
                  <w:vAlign w:val="center"/>
                </w:tcPr>
                <w:p>
                  <w:pPr>
                    <w:jc w:val="center"/>
                    <w:rPr>
                      <w:bCs/>
                      <w:kern w:val="0"/>
                      <w:szCs w:val="21"/>
                    </w:rPr>
                  </w:pPr>
                  <w:r>
                    <w:rPr>
                      <w:rFonts w:hint="eastAsia"/>
                      <w:bCs/>
                      <w:color w:val="000000" w:themeColor="text1"/>
                      <w:kern w:val="0"/>
                      <w:sz w:val="18"/>
                      <w:szCs w:val="18"/>
                      <w14:textFill>
                        <w14:solidFill>
                          <w14:schemeClr w14:val="tx1"/>
                        </w14:solidFill>
                      </w14:textFill>
                    </w:rPr>
                    <w:t>228</w:t>
                  </w:r>
                </w:p>
              </w:tc>
              <w:tc>
                <w:tcPr>
                  <w:tcW w:w="789" w:type="dxa"/>
                  <w:vAlign w:val="center"/>
                </w:tcPr>
                <w:p>
                  <w:pPr>
                    <w:snapToGrid w:val="0"/>
                    <w:jc w:val="center"/>
                    <w:rPr>
                      <w:szCs w:val="21"/>
                    </w:rPr>
                  </w:pPr>
                  <w:r>
                    <w:rPr>
                      <w:szCs w:val="21"/>
                    </w:rPr>
                    <w:t>≤450</w:t>
                  </w:r>
                </w:p>
              </w:tc>
              <w:tc>
                <w:tcPr>
                  <w:tcW w:w="790" w:type="dxa"/>
                  <w:vAlign w:val="center"/>
                </w:tcPr>
                <w:p>
                  <w:pPr>
                    <w:snapToGrid w:val="0"/>
                    <w:jc w:val="center"/>
                    <w:rPr>
                      <w:szCs w:val="21"/>
                    </w:rPr>
                  </w:pPr>
                  <w:r>
                    <w:rPr>
                      <w:szCs w:val="21"/>
                    </w:rPr>
                    <w:t>0.56</w:t>
                  </w:r>
                </w:p>
              </w:tc>
              <w:tc>
                <w:tcPr>
                  <w:tcW w:w="673" w:type="dxa"/>
                  <w:vAlign w:val="center"/>
                </w:tcPr>
                <w:p>
                  <w:pPr>
                    <w:snapToGrid w:val="0"/>
                    <w:jc w:val="center"/>
                    <w:rPr>
                      <w:szCs w:val="21"/>
                    </w:rPr>
                  </w:pPr>
                  <w:r>
                    <w:rPr>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98" w:type="dxa"/>
                  <w:vMerge w:val="continue"/>
                  <w:vAlign w:val="center"/>
                </w:tcPr>
                <w:p>
                  <w:pPr>
                    <w:tabs>
                      <w:tab w:val="left" w:pos="735"/>
                    </w:tabs>
                    <w:snapToGrid w:val="0"/>
                    <w:jc w:val="center"/>
                    <w:rPr>
                      <w:bCs/>
                      <w:szCs w:val="21"/>
                    </w:rPr>
                  </w:pPr>
                </w:p>
              </w:tc>
              <w:tc>
                <w:tcPr>
                  <w:tcW w:w="853" w:type="dxa"/>
                  <w:vAlign w:val="center"/>
                </w:tcPr>
                <w:p>
                  <w:pPr>
                    <w:jc w:val="center"/>
                    <w:rPr>
                      <w:szCs w:val="21"/>
                    </w:rPr>
                  </w:pPr>
                  <w:r>
                    <w:rPr>
                      <w:szCs w:val="21"/>
                    </w:rPr>
                    <w:t>溶解性总固体</w:t>
                  </w:r>
                </w:p>
              </w:tc>
              <w:tc>
                <w:tcPr>
                  <w:tcW w:w="740" w:type="dxa"/>
                  <w:vAlign w:val="center"/>
                </w:tcPr>
                <w:p>
                  <w:pPr>
                    <w:snapToGrid w:val="0"/>
                    <w:jc w:val="center"/>
                    <w:rPr>
                      <w:szCs w:val="21"/>
                    </w:rPr>
                  </w:pPr>
                  <w:r>
                    <w:rPr>
                      <w:szCs w:val="21"/>
                    </w:rPr>
                    <w:t>mg/L</w:t>
                  </w:r>
                </w:p>
              </w:tc>
              <w:tc>
                <w:tcPr>
                  <w:tcW w:w="726" w:type="dxa"/>
                  <w:vAlign w:val="center"/>
                </w:tcPr>
                <w:p>
                  <w:pPr>
                    <w:jc w:val="center"/>
                    <w:rPr>
                      <w:bCs/>
                      <w:kern w:val="0"/>
                      <w:szCs w:val="21"/>
                    </w:rPr>
                  </w:pPr>
                  <w:r>
                    <w:rPr>
                      <w:rFonts w:hint="eastAsia"/>
                      <w:bCs/>
                      <w:color w:val="000000" w:themeColor="text1"/>
                      <w:kern w:val="0"/>
                      <w:sz w:val="18"/>
                      <w:szCs w:val="18"/>
                      <w14:textFill>
                        <w14:solidFill>
                          <w14:schemeClr w14:val="tx1"/>
                        </w14:solidFill>
                      </w14:textFill>
                    </w:rPr>
                    <w:t>294</w:t>
                  </w:r>
                </w:p>
              </w:tc>
              <w:tc>
                <w:tcPr>
                  <w:tcW w:w="677" w:type="dxa"/>
                  <w:vAlign w:val="center"/>
                </w:tcPr>
                <w:p>
                  <w:pPr>
                    <w:jc w:val="center"/>
                    <w:rPr>
                      <w:bCs/>
                      <w:kern w:val="0"/>
                      <w:szCs w:val="21"/>
                    </w:rPr>
                  </w:pPr>
                  <w:r>
                    <w:rPr>
                      <w:rFonts w:hint="eastAsia"/>
                      <w:bCs/>
                      <w:color w:val="000000" w:themeColor="text1"/>
                      <w:kern w:val="0"/>
                      <w:sz w:val="18"/>
                      <w:szCs w:val="18"/>
                      <w14:textFill>
                        <w14:solidFill>
                          <w14:schemeClr w14:val="tx1"/>
                        </w14:solidFill>
                      </w14:textFill>
                    </w:rPr>
                    <w:t>334</w:t>
                  </w:r>
                </w:p>
              </w:tc>
              <w:tc>
                <w:tcPr>
                  <w:tcW w:w="677" w:type="dxa"/>
                  <w:vAlign w:val="center"/>
                </w:tcPr>
                <w:p>
                  <w:pPr>
                    <w:jc w:val="center"/>
                    <w:rPr>
                      <w:bCs/>
                      <w:kern w:val="0"/>
                      <w:szCs w:val="21"/>
                    </w:rPr>
                  </w:pPr>
                  <w:r>
                    <w:rPr>
                      <w:rFonts w:hint="eastAsia"/>
                      <w:bCs/>
                      <w:color w:val="000000" w:themeColor="text1"/>
                      <w:kern w:val="0"/>
                      <w:sz w:val="18"/>
                      <w:szCs w:val="18"/>
                      <w14:textFill>
                        <w14:solidFill>
                          <w14:schemeClr w14:val="tx1"/>
                        </w14:solidFill>
                      </w14:textFill>
                    </w:rPr>
                    <w:t>310</w:t>
                  </w:r>
                </w:p>
              </w:tc>
              <w:tc>
                <w:tcPr>
                  <w:tcW w:w="789" w:type="dxa"/>
                  <w:vAlign w:val="center"/>
                </w:tcPr>
                <w:p>
                  <w:pPr>
                    <w:jc w:val="center"/>
                    <w:rPr>
                      <w:bCs/>
                      <w:kern w:val="0"/>
                      <w:szCs w:val="21"/>
                    </w:rPr>
                  </w:pPr>
                  <w:r>
                    <w:rPr>
                      <w:rFonts w:hint="eastAsia"/>
                      <w:bCs/>
                      <w:color w:val="000000" w:themeColor="text1"/>
                      <w:kern w:val="0"/>
                      <w:sz w:val="18"/>
                      <w:szCs w:val="18"/>
                      <w14:textFill>
                        <w14:solidFill>
                          <w14:schemeClr w14:val="tx1"/>
                        </w14:solidFill>
                      </w14:textFill>
                    </w:rPr>
                    <w:t>388</w:t>
                  </w:r>
                </w:p>
              </w:tc>
              <w:tc>
                <w:tcPr>
                  <w:tcW w:w="794" w:type="dxa"/>
                  <w:vAlign w:val="center"/>
                </w:tcPr>
                <w:p>
                  <w:pPr>
                    <w:jc w:val="center"/>
                    <w:rPr>
                      <w:bCs/>
                      <w:kern w:val="0"/>
                      <w:szCs w:val="21"/>
                    </w:rPr>
                  </w:pPr>
                  <w:r>
                    <w:rPr>
                      <w:rFonts w:hint="eastAsia"/>
                      <w:bCs/>
                      <w:color w:val="000000" w:themeColor="text1"/>
                      <w:kern w:val="0"/>
                      <w:sz w:val="18"/>
                      <w:szCs w:val="18"/>
                      <w14:textFill>
                        <w14:solidFill>
                          <w14:schemeClr w14:val="tx1"/>
                        </w14:solidFill>
                      </w14:textFill>
                    </w:rPr>
                    <w:t>357</w:t>
                  </w:r>
                </w:p>
              </w:tc>
              <w:tc>
                <w:tcPr>
                  <w:tcW w:w="789" w:type="dxa"/>
                  <w:vAlign w:val="center"/>
                </w:tcPr>
                <w:p>
                  <w:pPr>
                    <w:snapToGrid w:val="0"/>
                    <w:jc w:val="center"/>
                    <w:rPr>
                      <w:szCs w:val="21"/>
                    </w:rPr>
                  </w:pPr>
                  <w:r>
                    <w:rPr>
                      <w:szCs w:val="21"/>
                    </w:rPr>
                    <w:t>≤1000</w:t>
                  </w:r>
                </w:p>
              </w:tc>
              <w:tc>
                <w:tcPr>
                  <w:tcW w:w="790" w:type="dxa"/>
                  <w:vAlign w:val="center"/>
                </w:tcPr>
                <w:p>
                  <w:pPr>
                    <w:snapToGrid w:val="0"/>
                    <w:jc w:val="center"/>
                    <w:rPr>
                      <w:szCs w:val="21"/>
                    </w:rPr>
                  </w:pPr>
                  <w:r>
                    <w:rPr>
                      <w:szCs w:val="21"/>
                    </w:rPr>
                    <w:t>0.88</w:t>
                  </w:r>
                </w:p>
              </w:tc>
              <w:tc>
                <w:tcPr>
                  <w:tcW w:w="673" w:type="dxa"/>
                  <w:vAlign w:val="center"/>
                </w:tcPr>
                <w:p>
                  <w:pPr>
                    <w:snapToGrid w:val="0"/>
                    <w:jc w:val="center"/>
                    <w:rPr>
                      <w:szCs w:val="21"/>
                    </w:rPr>
                  </w:pPr>
                  <w:r>
                    <w:rPr>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98" w:type="dxa"/>
                  <w:vMerge w:val="continue"/>
                  <w:vAlign w:val="center"/>
                </w:tcPr>
                <w:p>
                  <w:pPr>
                    <w:tabs>
                      <w:tab w:val="left" w:pos="735"/>
                    </w:tabs>
                    <w:snapToGrid w:val="0"/>
                    <w:jc w:val="center"/>
                    <w:rPr>
                      <w:bCs/>
                      <w:szCs w:val="21"/>
                    </w:rPr>
                  </w:pPr>
                </w:p>
              </w:tc>
              <w:tc>
                <w:tcPr>
                  <w:tcW w:w="853" w:type="dxa"/>
                  <w:vAlign w:val="center"/>
                </w:tcPr>
                <w:p>
                  <w:pPr>
                    <w:jc w:val="center"/>
                    <w:rPr>
                      <w:szCs w:val="21"/>
                    </w:rPr>
                  </w:pPr>
                  <w:r>
                    <w:rPr>
                      <w:szCs w:val="21"/>
                    </w:rPr>
                    <w:t>硫酸盐</w:t>
                  </w:r>
                </w:p>
              </w:tc>
              <w:tc>
                <w:tcPr>
                  <w:tcW w:w="740" w:type="dxa"/>
                  <w:vAlign w:val="center"/>
                </w:tcPr>
                <w:p>
                  <w:pPr>
                    <w:snapToGrid w:val="0"/>
                    <w:jc w:val="center"/>
                    <w:rPr>
                      <w:szCs w:val="21"/>
                    </w:rPr>
                  </w:pPr>
                  <w:r>
                    <w:rPr>
                      <w:szCs w:val="21"/>
                    </w:rPr>
                    <w:t>mg/L</w:t>
                  </w:r>
                </w:p>
              </w:tc>
              <w:tc>
                <w:tcPr>
                  <w:tcW w:w="726" w:type="dxa"/>
                  <w:vAlign w:val="center"/>
                </w:tcPr>
                <w:p>
                  <w:pPr>
                    <w:jc w:val="center"/>
                    <w:rPr>
                      <w:bCs/>
                      <w:kern w:val="0"/>
                      <w:szCs w:val="21"/>
                    </w:rPr>
                  </w:pPr>
                  <w:r>
                    <w:rPr>
                      <w:rFonts w:hint="eastAsia"/>
                      <w:kern w:val="0"/>
                      <w:sz w:val="18"/>
                      <w:szCs w:val="18"/>
                    </w:rPr>
                    <w:t>2.5L</w:t>
                  </w:r>
                </w:p>
              </w:tc>
              <w:tc>
                <w:tcPr>
                  <w:tcW w:w="677" w:type="dxa"/>
                  <w:vAlign w:val="center"/>
                </w:tcPr>
                <w:p>
                  <w:pPr>
                    <w:jc w:val="center"/>
                    <w:rPr>
                      <w:bCs/>
                      <w:kern w:val="0"/>
                      <w:szCs w:val="21"/>
                    </w:rPr>
                  </w:pPr>
                  <w:r>
                    <w:rPr>
                      <w:rFonts w:hint="eastAsia"/>
                      <w:kern w:val="0"/>
                      <w:sz w:val="18"/>
                      <w:szCs w:val="18"/>
                    </w:rPr>
                    <w:t>2.5L</w:t>
                  </w:r>
                </w:p>
              </w:tc>
              <w:tc>
                <w:tcPr>
                  <w:tcW w:w="677" w:type="dxa"/>
                  <w:vAlign w:val="center"/>
                </w:tcPr>
                <w:p>
                  <w:pPr>
                    <w:jc w:val="center"/>
                    <w:rPr>
                      <w:bCs/>
                      <w:kern w:val="0"/>
                      <w:szCs w:val="21"/>
                    </w:rPr>
                  </w:pPr>
                  <w:r>
                    <w:rPr>
                      <w:rFonts w:hint="eastAsia"/>
                      <w:kern w:val="0"/>
                      <w:sz w:val="18"/>
                      <w:szCs w:val="18"/>
                    </w:rPr>
                    <w:t>2.5L</w:t>
                  </w:r>
                </w:p>
              </w:tc>
              <w:tc>
                <w:tcPr>
                  <w:tcW w:w="789" w:type="dxa"/>
                  <w:vAlign w:val="center"/>
                </w:tcPr>
                <w:p>
                  <w:pPr>
                    <w:jc w:val="center"/>
                    <w:rPr>
                      <w:bCs/>
                      <w:kern w:val="0"/>
                      <w:szCs w:val="21"/>
                    </w:rPr>
                  </w:pPr>
                  <w:r>
                    <w:rPr>
                      <w:rFonts w:hint="eastAsia"/>
                      <w:kern w:val="0"/>
                      <w:sz w:val="18"/>
                      <w:szCs w:val="18"/>
                    </w:rPr>
                    <w:t>2.5L</w:t>
                  </w:r>
                </w:p>
              </w:tc>
              <w:tc>
                <w:tcPr>
                  <w:tcW w:w="794" w:type="dxa"/>
                  <w:vAlign w:val="center"/>
                </w:tcPr>
                <w:p>
                  <w:pPr>
                    <w:jc w:val="center"/>
                    <w:rPr>
                      <w:bCs/>
                      <w:kern w:val="0"/>
                      <w:szCs w:val="21"/>
                    </w:rPr>
                  </w:pPr>
                  <w:r>
                    <w:rPr>
                      <w:rFonts w:hint="eastAsia"/>
                      <w:kern w:val="0"/>
                      <w:sz w:val="18"/>
                      <w:szCs w:val="18"/>
                    </w:rPr>
                    <w:t>2.5L</w:t>
                  </w:r>
                </w:p>
              </w:tc>
              <w:tc>
                <w:tcPr>
                  <w:tcW w:w="789" w:type="dxa"/>
                  <w:vAlign w:val="center"/>
                </w:tcPr>
                <w:p>
                  <w:pPr>
                    <w:snapToGrid w:val="0"/>
                    <w:jc w:val="center"/>
                    <w:rPr>
                      <w:szCs w:val="21"/>
                    </w:rPr>
                  </w:pPr>
                  <w:r>
                    <w:rPr>
                      <w:szCs w:val="21"/>
                    </w:rPr>
                    <w:t>≤250</w:t>
                  </w:r>
                </w:p>
              </w:tc>
              <w:tc>
                <w:tcPr>
                  <w:tcW w:w="790" w:type="dxa"/>
                  <w:vAlign w:val="center"/>
                </w:tcPr>
                <w:p>
                  <w:pPr>
                    <w:snapToGrid w:val="0"/>
                    <w:jc w:val="center"/>
                    <w:rPr>
                      <w:szCs w:val="21"/>
                    </w:rPr>
                  </w:pPr>
                  <w:r>
                    <w:rPr>
                      <w:szCs w:val="21"/>
                    </w:rPr>
                    <w:t>/</w:t>
                  </w:r>
                </w:p>
              </w:tc>
              <w:tc>
                <w:tcPr>
                  <w:tcW w:w="673" w:type="dxa"/>
                  <w:vAlign w:val="center"/>
                </w:tcPr>
                <w:p>
                  <w:pPr>
                    <w:snapToGrid w:val="0"/>
                    <w:jc w:val="center"/>
                    <w:rPr>
                      <w:szCs w:val="21"/>
                    </w:rPr>
                  </w:pPr>
                  <w:r>
                    <w:rPr>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98" w:type="dxa"/>
                  <w:vMerge w:val="continue"/>
                  <w:vAlign w:val="center"/>
                </w:tcPr>
                <w:p>
                  <w:pPr>
                    <w:tabs>
                      <w:tab w:val="left" w:pos="735"/>
                    </w:tabs>
                    <w:snapToGrid w:val="0"/>
                    <w:jc w:val="center"/>
                    <w:rPr>
                      <w:bCs/>
                      <w:szCs w:val="21"/>
                    </w:rPr>
                  </w:pPr>
                </w:p>
              </w:tc>
              <w:tc>
                <w:tcPr>
                  <w:tcW w:w="853" w:type="dxa"/>
                  <w:vAlign w:val="center"/>
                </w:tcPr>
                <w:p>
                  <w:pPr>
                    <w:jc w:val="center"/>
                    <w:rPr>
                      <w:szCs w:val="21"/>
                    </w:rPr>
                  </w:pPr>
                  <w:r>
                    <w:rPr>
                      <w:szCs w:val="21"/>
                    </w:rPr>
                    <w:t>氯化物</w:t>
                  </w:r>
                </w:p>
              </w:tc>
              <w:tc>
                <w:tcPr>
                  <w:tcW w:w="740" w:type="dxa"/>
                  <w:vAlign w:val="center"/>
                </w:tcPr>
                <w:p>
                  <w:pPr>
                    <w:snapToGrid w:val="0"/>
                    <w:jc w:val="center"/>
                    <w:rPr>
                      <w:szCs w:val="21"/>
                    </w:rPr>
                  </w:pPr>
                  <w:r>
                    <w:rPr>
                      <w:szCs w:val="21"/>
                    </w:rPr>
                    <w:t>mg/L</w:t>
                  </w:r>
                </w:p>
              </w:tc>
              <w:tc>
                <w:tcPr>
                  <w:tcW w:w="726" w:type="dxa"/>
                  <w:vAlign w:val="center"/>
                </w:tcPr>
                <w:p>
                  <w:pPr>
                    <w:jc w:val="center"/>
                    <w:rPr>
                      <w:bCs/>
                      <w:kern w:val="0"/>
                      <w:szCs w:val="21"/>
                    </w:rPr>
                  </w:pPr>
                  <w:r>
                    <w:rPr>
                      <w:rFonts w:hint="eastAsia"/>
                      <w:kern w:val="0"/>
                      <w:sz w:val="18"/>
                      <w:szCs w:val="18"/>
                    </w:rPr>
                    <w:t>11</w:t>
                  </w:r>
                </w:p>
              </w:tc>
              <w:tc>
                <w:tcPr>
                  <w:tcW w:w="677" w:type="dxa"/>
                  <w:vAlign w:val="center"/>
                </w:tcPr>
                <w:p>
                  <w:pPr>
                    <w:jc w:val="center"/>
                    <w:rPr>
                      <w:bCs/>
                      <w:kern w:val="0"/>
                      <w:szCs w:val="21"/>
                    </w:rPr>
                  </w:pPr>
                  <w:r>
                    <w:rPr>
                      <w:rFonts w:hint="eastAsia"/>
                      <w:kern w:val="0"/>
                      <w:sz w:val="18"/>
                      <w:szCs w:val="18"/>
                    </w:rPr>
                    <w:t>13</w:t>
                  </w:r>
                </w:p>
              </w:tc>
              <w:tc>
                <w:tcPr>
                  <w:tcW w:w="677" w:type="dxa"/>
                  <w:vAlign w:val="center"/>
                </w:tcPr>
                <w:p>
                  <w:pPr>
                    <w:jc w:val="center"/>
                    <w:rPr>
                      <w:bCs/>
                      <w:kern w:val="0"/>
                      <w:szCs w:val="21"/>
                    </w:rPr>
                  </w:pPr>
                  <w:r>
                    <w:rPr>
                      <w:rFonts w:hint="eastAsia"/>
                      <w:kern w:val="0"/>
                      <w:sz w:val="18"/>
                      <w:szCs w:val="18"/>
                    </w:rPr>
                    <w:t>12</w:t>
                  </w:r>
                </w:p>
              </w:tc>
              <w:tc>
                <w:tcPr>
                  <w:tcW w:w="789" w:type="dxa"/>
                  <w:vAlign w:val="center"/>
                </w:tcPr>
                <w:p>
                  <w:pPr>
                    <w:jc w:val="center"/>
                    <w:rPr>
                      <w:bCs/>
                      <w:kern w:val="0"/>
                      <w:szCs w:val="21"/>
                    </w:rPr>
                  </w:pPr>
                  <w:r>
                    <w:rPr>
                      <w:rFonts w:hint="eastAsia"/>
                      <w:kern w:val="0"/>
                      <w:sz w:val="18"/>
                      <w:szCs w:val="18"/>
                    </w:rPr>
                    <w:t>13</w:t>
                  </w:r>
                </w:p>
              </w:tc>
              <w:tc>
                <w:tcPr>
                  <w:tcW w:w="794" w:type="dxa"/>
                  <w:vAlign w:val="center"/>
                </w:tcPr>
                <w:p>
                  <w:pPr>
                    <w:jc w:val="center"/>
                    <w:rPr>
                      <w:bCs/>
                      <w:kern w:val="0"/>
                      <w:szCs w:val="21"/>
                    </w:rPr>
                  </w:pPr>
                  <w:r>
                    <w:rPr>
                      <w:rFonts w:hint="eastAsia"/>
                      <w:kern w:val="0"/>
                      <w:sz w:val="18"/>
                      <w:szCs w:val="18"/>
                    </w:rPr>
                    <w:t>12</w:t>
                  </w:r>
                </w:p>
              </w:tc>
              <w:tc>
                <w:tcPr>
                  <w:tcW w:w="789" w:type="dxa"/>
                  <w:vAlign w:val="center"/>
                </w:tcPr>
                <w:p>
                  <w:pPr>
                    <w:snapToGrid w:val="0"/>
                    <w:jc w:val="center"/>
                    <w:rPr>
                      <w:szCs w:val="21"/>
                    </w:rPr>
                  </w:pPr>
                  <w:r>
                    <w:rPr>
                      <w:szCs w:val="21"/>
                    </w:rPr>
                    <w:t>≤250</w:t>
                  </w:r>
                </w:p>
              </w:tc>
              <w:tc>
                <w:tcPr>
                  <w:tcW w:w="790" w:type="dxa"/>
                  <w:vAlign w:val="center"/>
                </w:tcPr>
                <w:p>
                  <w:pPr>
                    <w:snapToGrid w:val="0"/>
                    <w:jc w:val="center"/>
                    <w:rPr>
                      <w:szCs w:val="21"/>
                    </w:rPr>
                  </w:pPr>
                  <w:r>
                    <w:rPr>
                      <w:szCs w:val="21"/>
                    </w:rPr>
                    <w:t>0.052</w:t>
                  </w:r>
                </w:p>
              </w:tc>
              <w:tc>
                <w:tcPr>
                  <w:tcW w:w="673" w:type="dxa"/>
                  <w:vAlign w:val="center"/>
                </w:tcPr>
                <w:p>
                  <w:pPr>
                    <w:snapToGrid w:val="0"/>
                    <w:jc w:val="center"/>
                    <w:rPr>
                      <w:szCs w:val="21"/>
                    </w:rPr>
                  </w:pPr>
                  <w:r>
                    <w:rPr>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98" w:type="dxa"/>
                  <w:vMerge w:val="continue"/>
                  <w:vAlign w:val="center"/>
                </w:tcPr>
                <w:p>
                  <w:pPr>
                    <w:tabs>
                      <w:tab w:val="left" w:pos="735"/>
                    </w:tabs>
                    <w:snapToGrid w:val="0"/>
                    <w:jc w:val="center"/>
                    <w:rPr>
                      <w:bCs/>
                      <w:szCs w:val="21"/>
                    </w:rPr>
                  </w:pPr>
                </w:p>
              </w:tc>
              <w:tc>
                <w:tcPr>
                  <w:tcW w:w="853" w:type="dxa"/>
                  <w:vAlign w:val="center"/>
                </w:tcPr>
                <w:p>
                  <w:pPr>
                    <w:jc w:val="center"/>
                    <w:rPr>
                      <w:szCs w:val="21"/>
                    </w:rPr>
                  </w:pPr>
                  <w:r>
                    <w:rPr>
                      <w:szCs w:val="21"/>
                    </w:rPr>
                    <w:t>铁</w:t>
                  </w:r>
                </w:p>
              </w:tc>
              <w:tc>
                <w:tcPr>
                  <w:tcW w:w="740" w:type="dxa"/>
                  <w:vAlign w:val="center"/>
                </w:tcPr>
                <w:p>
                  <w:pPr>
                    <w:snapToGrid w:val="0"/>
                    <w:jc w:val="center"/>
                    <w:rPr>
                      <w:szCs w:val="21"/>
                    </w:rPr>
                  </w:pPr>
                  <w:r>
                    <w:rPr>
                      <w:szCs w:val="21"/>
                    </w:rPr>
                    <w:t>mg/L</w:t>
                  </w:r>
                </w:p>
              </w:tc>
              <w:tc>
                <w:tcPr>
                  <w:tcW w:w="726" w:type="dxa"/>
                  <w:vAlign w:val="center"/>
                </w:tcPr>
                <w:p>
                  <w:pPr>
                    <w:jc w:val="center"/>
                    <w:rPr>
                      <w:bCs/>
                      <w:kern w:val="0"/>
                      <w:szCs w:val="21"/>
                    </w:rPr>
                  </w:pPr>
                  <w:r>
                    <w:rPr>
                      <w:rFonts w:hint="eastAsia"/>
                      <w:bCs/>
                      <w:color w:val="000000" w:themeColor="text1"/>
                      <w:kern w:val="0"/>
                      <w:sz w:val="18"/>
                      <w:szCs w:val="18"/>
                      <w14:textFill>
                        <w14:solidFill>
                          <w14:schemeClr w14:val="tx1"/>
                        </w14:solidFill>
                      </w14:textFill>
                    </w:rPr>
                    <w:t>0.03L</w:t>
                  </w:r>
                </w:p>
              </w:tc>
              <w:tc>
                <w:tcPr>
                  <w:tcW w:w="677" w:type="dxa"/>
                  <w:vAlign w:val="center"/>
                </w:tcPr>
                <w:p>
                  <w:pPr>
                    <w:jc w:val="center"/>
                    <w:rPr>
                      <w:bCs/>
                      <w:kern w:val="0"/>
                      <w:szCs w:val="21"/>
                    </w:rPr>
                  </w:pPr>
                  <w:r>
                    <w:rPr>
                      <w:rFonts w:hint="eastAsia"/>
                      <w:bCs/>
                      <w:color w:val="000000" w:themeColor="text1"/>
                      <w:kern w:val="0"/>
                      <w:sz w:val="18"/>
                      <w:szCs w:val="18"/>
                      <w14:textFill>
                        <w14:solidFill>
                          <w14:schemeClr w14:val="tx1"/>
                        </w14:solidFill>
                      </w14:textFill>
                    </w:rPr>
                    <w:t>0.03L</w:t>
                  </w:r>
                </w:p>
              </w:tc>
              <w:tc>
                <w:tcPr>
                  <w:tcW w:w="677" w:type="dxa"/>
                  <w:vAlign w:val="center"/>
                </w:tcPr>
                <w:p>
                  <w:pPr>
                    <w:jc w:val="center"/>
                    <w:rPr>
                      <w:bCs/>
                      <w:kern w:val="0"/>
                      <w:szCs w:val="21"/>
                    </w:rPr>
                  </w:pPr>
                  <w:r>
                    <w:rPr>
                      <w:rFonts w:hint="eastAsia"/>
                      <w:bCs/>
                      <w:color w:val="000000" w:themeColor="text1"/>
                      <w:kern w:val="0"/>
                      <w:sz w:val="18"/>
                      <w:szCs w:val="18"/>
                      <w14:textFill>
                        <w14:solidFill>
                          <w14:schemeClr w14:val="tx1"/>
                        </w14:solidFill>
                      </w14:textFill>
                    </w:rPr>
                    <w:t>0.03L</w:t>
                  </w:r>
                </w:p>
              </w:tc>
              <w:tc>
                <w:tcPr>
                  <w:tcW w:w="789" w:type="dxa"/>
                  <w:vAlign w:val="center"/>
                </w:tcPr>
                <w:p>
                  <w:pPr>
                    <w:jc w:val="center"/>
                    <w:rPr>
                      <w:bCs/>
                      <w:kern w:val="0"/>
                      <w:szCs w:val="21"/>
                    </w:rPr>
                  </w:pPr>
                  <w:r>
                    <w:rPr>
                      <w:rFonts w:hint="eastAsia"/>
                      <w:bCs/>
                      <w:color w:val="000000" w:themeColor="text1"/>
                      <w:kern w:val="0"/>
                      <w:sz w:val="18"/>
                      <w:szCs w:val="18"/>
                      <w14:textFill>
                        <w14:solidFill>
                          <w14:schemeClr w14:val="tx1"/>
                        </w14:solidFill>
                      </w14:textFill>
                    </w:rPr>
                    <w:t>0.03L</w:t>
                  </w:r>
                </w:p>
              </w:tc>
              <w:tc>
                <w:tcPr>
                  <w:tcW w:w="794" w:type="dxa"/>
                  <w:vAlign w:val="center"/>
                </w:tcPr>
                <w:p>
                  <w:pPr>
                    <w:jc w:val="center"/>
                    <w:rPr>
                      <w:bCs/>
                      <w:kern w:val="0"/>
                      <w:szCs w:val="21"/>
                    </w:rPr>
                  </w:pPr>
                  <w:r>
                    <w:rPr>
                      <w:rFonts w:hint="eastAsia"/>
                      <w:bCs/>
                      <w:color w:val="000000" w:themeColor="text1"/>
                      <w:kern w:val="0"/>
                      <w:sz w:val="18"/>
                      <w:szCs w:val="18"/>
                      <w14:textFill>
                        <w14:solidFill>
                          <w14:schemeClr w14:val="tx1"/>
                        </w14:solidFill>
                      </w14:textFill>
                    </w:rPr>
                    <w:t>0.03L</w:t>
                  </w:r>
                </w:p>
              </w:tc>
              <w:tc>
                <w:tcPr>
                  <w:tcW w:w="789" w:type="dxa"/>
                  <w:vAlign w:val="center"/>
                </w:tcPr>
                <w:p>
                  <w:pPr>
                    <w:snapToGrid w:val="0"/>
                    <w:jc w:val="center"/>
                    <w:rPr>
                      <w:szCs w:val="21"/>
                    </w:rPr>
                  </w:pPr>
                  <w:r>
                    <w:rPr>
                      <w:szCs w:val="21"/>
                    </w:rPr>
                    <w:t>≤0.3</w:t>
                  </w:r>
                </w:p>
              </w:tc>
              <w:tc>
                <w:tcPr>
                  <w:tcW w:w="790" w:type="dxa"/>
                  <w:vAlign w:val="center"/>
                </w:tcPr>
                <w:p>
                  <w:pPr>
                    <w:snapToGrid w:val="0"/>
                    <w:jc w:val="center"/>
                    <w:rPr>
                      <w:szCs w:val="21"/>
                    </w:rPr>
                  </w:pPr>
                  <w:r>
                    <w:rPr>
                      <w:szCs w:val="21"/>
                    </w:rPr>
                    <w:t>/</w:t>
                  </w:r>
                </w:p>
              </w:tc>
              <w:tc>
                <w:tcPr>
                  <w:tcW w:w="673" w:type="dxa"/>
                  <w:vAlign w:val="center"/>
                </w:tcPr>
                <w:p>
                  <w:pPr>
                    <w:snapToGrid w:val="0"/>
                    <w:jc w:val="center"/>
                    <w:rPr>
                      <w:szCs w:val="21"/>
                    </w:rPr>
                  </w:pPr>
                  <w:r>
                    <w:rPr>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98" w:type="dxa"/>
                  <w:vMerge w:val="continue"/>
                  <w:vAlign w:val="center"/>
                </w:tcPr>
                <w:p>
                  <w:pPr>
                    <w:tabs>
                      <w:tab w:val="left" w:pos="735"/>
                    </w:tabs>
                    <w:snapToGrid w:val="0"/>
                    <w:jc w:val="center"/>
                    <w:rPr>
                      <w:bCs/>
                      <w:szCs w:val="21"/>
                    </w:rPr>
                  </w:pPr>
                </w:p>
              </w:tc>
              <w:tc>
                <w:tcPr>
                  <w:tcW w:w="853" w:type="dxa"/>
                  <w:vAlign w:val="center"/>
                </w:tcPr>
                <w:p>
                  <w:pPr>
                    <w:jc w:val="center"/>
                    <w:rPr>
                      <w:szCs w:val="21"/>
                    </w:rPr>
                  </w:pPr>
                  <w:r>
                    <w:rPr>
                      <w:szCs w:val="21"/>
                    </w:rPr>
                    <w:t>锰</w:t>
                  </w:r>
                </w:p>
              </w:tc>
              <w:tc>
                <w:tcPr>
                  <w:tcW w:w="740" w:type="dxa"/>
                  <w:vAlign w:val="center"/>
                </w:tcPr>
                <w:p>
                  <w:pPr>
                    <w:snapToGrid w:val="0"/>
                    <w:jc w:val="center"/>
                    <w:rPr>
                      <w:szCs w:val="21"/>
                    </w:rPr>
                  </w:pPr>
                  <w:r>
                    <w:rPr>
                      <w:szCs w:val="21"/>
                    </w:rPr>
                    <w:t>mg/L</w:t>
                  </w:r>
                </w:p>
              </w:tc>
              <w:tc>
                <w:tcPr>
                  <w:tcW w:w="726" w:type="dxa"/>
                  <w:vAlign w:val="center"/>
                </w:tcPr>
                <w:p>
                  <w:pPr>
                    <w:jc w:val="center"/>
                    <w:rPr>
                      <w:bCs/>
                      <w:kern w:val="0"/>
                      <w:szCs w:val="21"/>
                    </w:rPr>
                  </w:pPr>
                  <w:r>
                    <w:rPr>
                      <w:rFonts w:hint="eastAsia"/>
                      <w:bCs/>
                      <w:color w:val="000000" w:themeColor="text1"/>
                      <w:kern w:val="0"/>
                      <w:sz w:val="18"/>
                      <w:szCs w:val="18"/>
                      <w14:textFill>
                        <w14:solidFill>
                          <w14:schemeClr w14:val="tx1"/>
                        </w14:solidFill>
                      </w14:textFill>
                    </w:rPr>
                    <w:t>0.01L</w:t>
                  </w:r>
                </w:p>
              </w:tc>
              <w:tc>
                <w:tcPr>
                  <w:tcW w:w="677" w:type="dxa"/>
                  <w:vAlign w:val="center"/>
                </w:tcPr>
                <w:p>
                  <w:pPr>
                    <w:jc w:val="center"/>
                    <w:rPr>
                      <w:bCs/>
                      <w:kern w:val="0"/>
                      <w:szCs w:val="21"/>
                    </w:rPr>
                  </w:pPr>
                  <w:r>
                    <w:rPr>
                      <w:rFonts w:hint="eastAsia"/>
                      <w:bCs/>
                      <w:color w:val="000000" w:themeColor="text1"/>
                      <w:kern w:val="0"/>
                      <w:sz w:val="18"/>
                      <w:szCs w:val="18"/>
                      <w14:textFill>
                        <w14:solidFill>
                          <w14:schemeClr w14:val="tx1"/>
                        </w14:solidFill>
                      </w14:textFill>
                    </w:rPr>
                    <w:t>0.01L</w:t>
                  </w:r>
                </w:p>
              </w:tc>
              <w:tc>
                <w:tcPr>
                  <w:tcW w:w="677" w:type="dxa"/>
                  <w:vAlign w:val="center"/>
                </w:tcPr>
                <w:p>
                  <w:pPr>
                    <w:jc w:val="center"/>
                    <w:rPr>
                      <w:bCs/>
                      <w:kern w:val="0"/>
                      <w:szCs w:val="21"/>
                    </w:rPr>
                  </w:pPr>
                  <w:r>
                    <w:rPr>
                      <w:rFonts w:hint="eastAsia"/>
                      <w:bCs/>
                      <w:color w:val="000000" w:themeColor="text1"/>
                      <w:kern w:val="0"/>
                      <w:sz w:val="18"/>
                      <w:szCs w:val="18"/>
                      <w14:textFill>
                        <w14:solidFill>
                          <w14:schemeClr w14:val="tx1"/>
                        </w14:solidFill>
                      </w14:textFill>
                    </w:rPr>
                    <w:t>0.01L</w:t>
                  </w:r>
                </w:p>
              </w:tc>
              <w:tc>
                <w:tcPr>
                  <w:tcW w:w="789" w:type="dxa"/>
                  <w:vAlign w:val="center"/>
                </w:tcPr>
                <w:p>
                  <w:pPr>
                    <w:jc w:val="center"/>
                    <w:rPr>
                      <w:bCs/>
                      <w:kern w:val="0"/>
                      <w:szCs w:val="21"/>
                    </w:rPr>
                  </w:pPr>
                  <w:r>
                    <w:rPr>
                      <w:rFonts w:hint="eastAsia"/>
                      <w:bCs/>
                      <w:color w:val="000000" w:themeColor="text1"/>
                      <w:kern w:val="0"/>
                      <w:sz w:val="18"/>
                      <w:szCs w:val="18"/>
                      <w14:textFill>
                        <w14:solidFill>
                          <w14:schemeClr w14:val="tx1"/>
                        </w14:solidFill>
                      </w14:textFill>
                    </w:rPr>
                    <w:t>0.01L</w:t>
                  </w:r>
                </w:p>
              </w:tc>
              <w:tc>
                <w:tcPr>
                  <w:tcW w:w="794" w:type="dxa"/>
                  <w:vAlign w:val="center"/>
                </w:tcPr>
                <w:p>
                  <w:pPr>
                    <w:jc w:val="center"/>
                    <w:rPr>
                      <w:bCs/>
                      <w:kern w:val="0"/>
                      <w:szCs w:val="21"/>
                    </w:rPr>
                  </w:pPr>
                  <w:r>
                    <w:rPr>
                      <w:rFonts w:hint="eastAsia"/>
                      <w:bCs/>
                      <w:color w:val="000000" w:themeColor="text1"/>
                      <w:kern w:val="0"/>
                      <w:sz w:val="18"/>
                      <w:szCs w:val="18"/>
                      <w14:textFill>
                        <w14:solidFill>
                          <w14:schemeClr w14:val="tx1"/>
                        </w14:solidFill>
                      </w14:textFill>
                    </w:rPr>
                    <w:t>0.01L</w:t>
                  </w:r>
                </w:p>
              </w:tc>
              <w:tc>
                <w:tcPr>
                  <w:tcW w:w="789" w:type="dxa"/>
                  <w:vAlign w:val="center"/>
                </w:tcPr>
                <w:p>
                  <w:pPr>
                    <w:snapToGrid w:val="0"/>
                    <w:jc w:val="center"/>
                    <w:rPr>
                      <w:szCs w:val="21"/>
                    </w:rPr>
                  </w:pPr>
                  <w:r>
                    <w:rPr>
                      <w:szCs w:val="21"/>
                    </w:rPr>
                    <w:t>≤0.1</w:t>
                  </w:r>
                </w:p>
              </w:tc>
              <w:tc>
                <w:tcPr>
                  <w:tcW w:w="790" w:type="dxa"/>
                  <w:vAlign w:val="center"/>
                </w:tcPr>
                <w:p>
                  <w:pPr>
                    <w:snapToGrid w:val="0"/>
                    <w:jc w:val="center"/>
                    <w:rPr>
                      <w:szCs w:val="21"/>
                    </w:rPr>
                  </w:pPr>
                  <w:r>
                    <w:rPr>
                      <w:szCs w:val="21"/>
                    </w:rPr>
                    <w:t>/</w:t>
                  </w:r>
                </w:p>
              </w:tc>
              <w:tc>
                <w:tcPr>
                  <w:tcW w:w="673" w:type="dxa"/>
                  <w:vAlign w:val="center"/>
                </w:tcPr>
                <w:p>
                  <w:pPr>
                    <w:snapToGrid w:val="0"/>
                    <w:jc w:val="center"/>
                    <w:rPr>
                      <w:szCs w:val="21"/>
                    </w:rPr>
                  </w:pPr>
                  <w:r>
                    <w:rPr>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98" w:type="dxa"/>
                  <w:vMerge w:val="continue"/>
                  <w:vAlign w:val="center"/>
                </w:tcPr>
                <w:p>
                  <w:pPr>
                    <w:tabs>
                      <w:tab w:val="left" w:pos="735"/>
                    </w:tabs>
                    <w:snapToGrid w:val="0"/>
                    <w:jc w:val="center"/>
                    <w:rPr>
                      <w:bCs/>
                      <w:szCs w:val="21"/>
                    </w:rPr>
                  </w:pPr>
                </w:p>
              </w:tc>
              <w:tc>
                <w:tcPr>
                  <w:tcW w:w="853" w:type="dxa"/>
                  <w:vAlign w:val="center"/>
                </w:tcPr>
                <w:p>
                  <w:pPr>
                    <w:jc w:val="center"/>
                    <w:rPr>
                      <w:szCs w:val="21"/>
                    </w:rPr>
                  </w:pPr>
                  <w:r>
                    <w:rPr>
                      <w:szCs w:val="21"/>
                    </w:rPr>
                    <w:t>挥发性酚类</w:t>
                  </w:r>
                </w:p>
              </w:tc>
              <w:tc>
                <w:tcPr>
                  <w:tcW w:w="740" w:type="dxa"/>
                  <w:vAlign w:val="center"/>
                </w:tcPr>
                <w:p>
                  <w:pPr>
                    <w:snapToGrid w:val="0"/>
                    <w:jc w:val="center"/>
                    <w:rPr>
                      <w:szCs w:val="21"/>
                    </w:rPr>
                  </w:pPr>
                  <w:r>
                    <w:rPr>
                      <w:szCs w:val="21"/>
                    </w:rPr>
                    <w:t>mg/L</w:t>
                  </w:r>
                </w:p>
              </w:tc>
              <w:tc>
                <w:tcPr>
                  <w:tcW w:w="726" w:type="dxa"/>
                  <w:vAlign w:val="center"/>
                </w:tcPr>
                <w:p>
                  <w:pPr>
                    <w:jc w:val="center"/>
                    <w:rPr>
                      <w:bCs/>
                      <w:kern w:val="0"/>
                      <w:szCs w:val="21"/>
                    </w:rPr>
                  </w:pPr>
                  <w:r>
                    <w:rPr>
                      <w:rFonts w:hint="eastAsia"/>
                      <w:bCs/>
                      <w:color w:val="000000" w:themeColor="text1"/>
                      <w:kern w:val="0"/>
                      <w:sz w:val="18"/>
                      <w:szCs w:val="18"/>
                      <w14:textFill>
                        <w14:solidFill>
                          <w14:schemeClr w14:val="tx1"/>
                        </w14:solidFill>
                      </w14:textFill>
                    </w:rPr>
                    <w:t>0.0003L</w:t>
                  </w:r>
                </w:p>
              </w:tc>
              <w:tc>
                <w:tcPr>
                  <w:tcW w:w="677" w:type="dxa"/>
                  <w:vAlign w:val="center"/>
                </w:tcPr>
                <w:p>
                  <w:pPr>
                    <w:jc w:val="center"/>
                    <w:rPr>
                      <w:bCs/>
                      <w:kern w:val="0"/>
                      <w:szCs w:val="21"/>
                    </w:rPr>
                  </w:pPr>
                  <w:r>
                    <w:rPr>
                      <w:rFonts w:hint="eastAsia"/>
                      <w:bCs/>
                      <w:color w:val="000000" w:themeColor="text1"/>
                      <w:kern w:val="0"/>
                      <w:sz w:val="18"/>
                      <w:szCs w:val="18"/>
                      <w14:textFill>
                        <w14:solidFill>
                          <w14:schemeClr w14:val="tx1"/>
                        </w14:solidFill>
                      </w14:textFill>
                    </w:rPr>
                    <w:t>0.0003L</w:t>
                  </w:r>
                </w:p>
              </w:tc>
              <w:tc>
                <w:tcPr>
                  <w:tcW w:w="677" w:type="dxa"/>
                  <w:vAlign w:val="center"/>
                </w:tcPr>
                <w:p>
                  <w:pPr>
                    <w:jc w:val="center"/>
                    <w:rPr>
                      <w:bCs/>
                      <w:kern w:val="0"/>
                      <w:szCs w:val="21"/>
                    </w:rPr>
                  </w:pPr>
                  <w:r>
                    <w:rPr>
                      <w:rFonts w:hint="eastAsia"/>
                      <w:bCs/>
                      <w:color w:val="000000" w:themeColor="text1"/>
                      <w:kern w:val="0"/>
                      <w:sz w:val="18"/>
                      <w:szCs w:val="18"/>
                      <w14:textFill>
                        <w14:solidFill>
                          <w14:schemeClr w14:val="tx1"/>
                        </w14:solidFill>
                      </w14:textFill>
                    </w:rPr>
                    <w:t>0.0003L</w:t>
                  </w:r>
                </w:p>
              </w:tc>
              <w:tc>
                <w:tcPr>
                  <w:tcW w:w="789" w:type="dxa"/>
                  <w:vAlign w:val="center"/>
                </w:tcPr>
                <w:p>
                  <w:pPr>
                    <w:jc w:val="center"/>
                    <w:rPr>
                      <w:bCs/>
                      <w:kern w:val="0"/>
                      <w:szCs w:val="21"/>
                    </w:rPr>
                  </w:pPr>
                  <w:r>
                    <w:rPr>
                      <w:rFonts w:hint="eastAsia"/>
                      <w:bCs/>
                      <w:color w:val="000000" w:themeColor="text1"/>
                      <w:kern w:val="0"/>
                      <w:sz w:val="18"/>
                      <w:szCs w:val="18"/>
                      <w14:textFill>
                        <w14:solidFill>
                          <w14:schemeClr w14:val="tx1"/>
                        </w14:solidFill>
                      </w14:textFill>
                    </w:rPr>
                    <w:t>0.0003L</w:t>
                  </w:r>
                </w:p>
              </w:tc>
              <w:tc>
                <w:tcPr>
                  <w:tcW w:w="794" w:type="dxa"/>
                  <w:vAlign w:val="center"/>
                </w:tcPr>
                <w:p>
                  <w:pPr>
                    <w:jc w:val="center"/>
                    <w:rPr>
                      <w:bCs/>
                      <w:kern w:val="0"/>
                      <w:szCs w:val="21"/>
                    </w:rPr>
                  </w:pPr>
                  <w:r>
                    <w:rPr>
                      <w:rFonts w:hint="eastAsia"/>
                      <w:bCs/>
                      <w:color w:val="000000" w:themeColor="text1"/>
                      <w:kern w:val="0"/>
                      <w:sz w:val="18"/>
                      <w:szCs w:val="18"/>
                      <w14:textFill>
                        <w14:solidFill>
                          <w14:schemeClr w14:val="tx1"/>
                        </w14:solidFill>
                      </w14:textFill>
                    </w:rPr>
                    <w:t>0.0003L</w:t>
                  </w:r>
                </w:p>
              </w:tc>
              <w:tc>
                <w:tcPr>
                  <w:tcW w:w="789" w:type="dxa"/>
                  <w:vAlign w:val="center"/>
                </w:tcPr>
                <w:p>
                  <w:pPr>
                    <w:snapToGrid w:val="0"/>
                    <w:jc w:val="center"/>
                    <w:rPr>
                      <w:szCs w:val="21"/>
                    </w:rPr>
                  </w:pPr>
                  <w:r>
                    <w:rPr>
                      <w:szCs w:val="21"/>
                    </w:rPr>
                    <w:t>≤0.002</w:t>
                  </w:r>
                </w:p>
              </w:tc>
              <w:tc>
                <w:tcPr>
                  <w:tcW w:w="790" w:type="dxa"/>
                  <w:vAlign w:val="center"/>
                </w:tcPr>
                <w:p>
                  <w:pPr>
                    <w:snapToGrid w:val="0"/>
                    <w:jc w:val="center"/>
                    <w:rPr>
                      <w:szCs w:val="21"/>
                    </w:rPr>
                  </w:pPr>
                  <w:r>
                    <w:rPr>
                      <w:szCs w:val="21"/>
                    </w:rPr>
                    <w:t>/</w:t>
                  </w:r>
                </w:p>
              </w:tc>
              <w:tc>
                <w:tcPr>
                  <w:tcW w:w="673" w:type="dxa"/>
                  <w:vAlign w:val="center"/>
                </w:tcPr>
                <w:p>
                  <w:pPr>
                    <w:snapToGrid w:val="0"/>
                    <w:jc w:val="center"/>
                    <w:rPr>
                      <w:szCs w:val="21"/>
                    </w:rPr>
                  </w:pPr>
                  <w:r>
                    <w:rPr>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98" w:type="dxa"/>
                  <w:vMerge w:val="continue"/>
                  <w:vAlign w:val="center"/>
                </w:tcPr>
                <w:p>
                  <w:pPr>
                    <w:tabs>
                      <w:tab w:val="left" w:pos="735"/>
                    </w:tabs>
                    <w:snapToGrid w:val="0"/>
                    <w:jc w:val="center"/>
                    <w:rPr>
                      <w:bCs/>
                      <w:szCs w:val="21"/>
                    </w:rPr>
                  </w:pPr>
                </w:p>
              </w:tc>
              <w:tc>
                <w:tcPr>
                  <w:tcW w:w="853" w:type="dxa"/>
                  <w:vAlign w:val="center"/>
                </w:tcPr>
                <w:p>
                  <w:pPr>
                    <w:jc w:val="center"/>
                    <w:rPr>
                      <w:szCs w:val="21"/>
                    </w:rPr>
                  </w:pPr>
                  <w:r>
                    <w:rPr>
                      <w:szCs w:val="21"/>
                    </w:rPr>
                    <w:t>耗氧量</w:t>
                  </w:r>
                </w:p>
              </w:tc>
              <w:tc>
                <w:tcPr>
                  <w:tcW w:w="740" w:type="dxa"/>
                  <w:vAlign w:val="center"/>
                </w:tcPr>
                <w:p>
                  <w:pPr>
                    <w:snapToGrid w:val="0"/>
                    <w:jc w:val="center"/>
                    <w:rPr>
                      <w:szCs w:val="21"/>
                    </w:rPr>
                  </w:pPr>
                  <w:r>
                    <w:rPr>
                      <w:szCs w:val="21"/>
                    </w:rPr>
                    <w:t>mg/L</w:t>
                  </w:r>
                </w:p>
              </w:tc>
              <w:tc>
                <w:tcPr>
                  <w:tcW w:w="726" w:type="dxa"/>
                  <w:vAlign w:val="center"/>
                </w:tcPr>
                <w:p>
                  <w:pPr>
                    <w:jc w:val="center"/>
                    <w:rPr>
                      <w:bCs/>
                      <w:kern w:val="0"/>
                      <w:szCs w:val="21"/>
                    </w:rPr>
                  </w:pPr>
                  <w:r>
                    <w:rPr>
                      <w:rFonts w:hint="eastAsia"/>
                      <w:bCs/>
                      <w:color w:val="000000" w:themeColor="text1"/>
                      <w:kern w:val="0"/>
                      <w:sz w:val="18"/>
                      <w:szCs w:val="18"/>
                      <w14:textFill>
                        <w14:solidFill>
                          <w14:schemeClr w14:val="tx1"/>
                        </w14:solidFill>
                      </w14:textFill>
                    </w:rPr>
                    <w:t>2.6</w:t>
                  </w:r>
                </w:p>
              </w:tc>
              <w:tc>
                <w:tcPr>
                  <w:tcW w:w="677" w:type="dxa"/>
                  <w:vAlign w:val="center"/>
                </w:tcPr>
                <w:p>
                  <w:pPr>
                    <w:jc w:val="center"/>
                    <w:rPr>
                      <w:bCs/>
                      <w:kern w:val="0"/>
                      <w:szCs w:val="21"/>
                    </w:rPr>
                  </w:pPr>
                  <w:r>
                    <w:rPr>
                      <w:rFonts w:hint="eastAsia"/>
                      <w:bCs/>
                      <w:color w:val="000000" w:themeColor="text1"/>
                      <w:kern w:val="0"/>
                      <w:sz w:val="18"/>
                      <w:szCs w:val="18"/>
                      <w14:textFill>
                        <w14:solidFill>
                          <w14:schemeClr w14:val="tx1"/>
                        </w14:solidFill>
                      </w14:textFill>
                    </w:rPr>
                    <w:t>2.0</w:t>
                  </w:r>
                </w:p>
              </w:tc>
              <w:tc>
                <w:tcPr>
                  <w:tcW w:w="677" w:type="dxa"/>
                  <w:vAlign w:val="center"/>
                </w:tcPr>
                <w:p>
                  <w:pPr>
                    <w:jc w:val="center"/>
                    <w:rPr>
                      <w:bCs/>
                      <w:kern w:val="0"/>
                      <w:szCs w:val="21"/>
                    </w:rPr>
                  </w:pPr>
                  <w:r>
                    <w:rPr>
                      <w:rFonts w:hint="eastAsia"/>
                      <w:bCs/>
                      <w:color w:val="000000" w:themeColor="text1"/>
                      <w:kern w:val="0"/>
                      <w:sz w:val="18"/>
                      <w:szCs w:val="18"/>
                      <w14:textFill>
                        <w14:solidFill>
                          <w14:schemeClr w14:val="tx1"/>
                        </w14:solidFill>
                      </w14:textFill>
                    </w:rPr>
                    <w:t>1.1</w:t>
                  </w:r>
                </w:p>
              </w:tc>
              <w:tc>
                <w:tcPr>
                  <w:tcW w:w="789" w:type="dxa"/>
                  <w:vAlign w:val="center"/>
                </w:tcPr>
                <w:p>
                  <w:pPr>
                    <w:jc w:val="center"/>
                    <w:rPr>
                      <w:bCs/>
                      <w:kern w:val="0"/>
                      <w:szCs w:val="21"/>
                    </w:rPr>
                  </w:pPr>
                  <w:r>
                    <w:rPr>
                      <w:rFonts w:hint="eastAsia"/>
                      <w:bCs/>
                      <w:color w:val="000000" w:themeColor="text1"/>
                      <w:kern w:val="0"/>
                      <w:sz w:val="18"/>
                      <w:szCs w:val="18"/>
                      <w14:textFill>
                        <w14:solidFill>
                          <w14:schemeClr w14:val="tx1"/>
                        </w14:solidFill>
                      </w14:textFill>
                    </w:rPr>
                    <w:t>1.4</w:t>
                  </w:r>
                </w:p>
              </w:tc>
              <w:tc>
                <w:tcPr>
                  <w:tcW w:w="794" w:type="dxa"/>
                  <w:vAlign w:val="center"/>
                </w:tcPr>
                <w:p>
                  <w:pPr>
                    <w:jc w:val="center"/>
                    <w:rPr>
                      <w:bCs/>
                      <w:kern w:val="0"/>
                      <w:szCs w:val="21"/>
                    </w:rPr>
                  </w:pPr>
                  <w:r>
                    <w:rPr>
                      <w:rFonts w:hint="eastAsia"/>
                      <w:bCs/>
                      <w:color w:val="000000" w:themeColor="text1"/>
                      <w:kern w:val="0"/>
                      <w:sz w:val="18"/>
                      <w:szCs w:val="18"/>
                      <w14:textFill>
                        <w14:solidFill>
                          <w14:schemeClr w14:val="tx1"/>
                        </w14:solidFill>
                      </w14:textFill>
                    </w:rPr>
                    <w:t>1.7</w:t>
                  </w:r>
                </w:p>
              </w:tc>
              <w:tc>
                <w:tcPr>
                  <w:tcW w:w="789" w:type="dxa"/>
                  <w:vAlign w:val="center"/>
                </w:tcPr>
                <w:p>
                  <w:pPr>
                    <w:snapToGrid w:val="0"/>
                    <w:jc w:val="center"/>
                    <w:rPr>
                      <w:szCs w:val="21"/>
                    </w:rPr>
                  </w:pPr>
                  <w:r>
                    <w:rPr>
                      <w:szCs w:val="21"/>
                    </w:rPr>
                    <w:t>≤3.0</w:t>
                  </w:r>
                </w:p>
              </w:tc>
              <w:tc>
                <w:tcPr>
                  <w:tcW w:w="790" w:type="dxa"/>
                  <w:vAlign w:val="center"/>
                </w:tcPr>
                <w:p>
                  <w:pPr>
                    <w:snapToGrid w:val="0"/>
                    <w:jc w:val="center"/>
                    <w:rPr>
                      <w:szCs w:val="21"/>
                    </w:rPr>
                  </w:pPr>
                  <w:r>
                    <w:rPr>
                      <w:szCs w:val="21"/>
                    </w:rPr>
                    <w:t>0.89</w:t>
                  </w:r>
                </w:p>
              </w:tc>
              <w:tc>
                <w:tcPr>
                  <w:tcW w:w="673" w:type="dxa"/>
                  <w:vAlign w:val="center"/>
                </w:tcPr>
                <w:p>
                  <w:pPr>
                    <w:snapToGrid w:val="0"/>
                    <w:jc w:val="center"/>
                    <w:rPr>
                      <w:szCs w:val="21"/>
                    </w:rPr>
                  </w:pPr>
                  <w:r>
                    <w:rPr>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98" w:type="dxa"/>
                  <w:vMerge w:val="continue"/>
                  <w:vAlign w:val="center"/>
                </w:tcPr>
                <w:p>
                  <w:pPr>
                    <w:tabs>
                      <w:tab w:val="left" w:pos="735"/>
                    </w:tabs>
                    <w:snapToGrid w:val="0"/>
                    <w:jc w:val="center"/>
                    <w:rPr>
                      <w:bCs/>
                      <w:szCs w:val="21"/>
                    </w:rPr>
                  </w:pPr>
                </w:p>
              </w:tc>
              <w:tc>
                <w:tcPr>
                  <w:tcW w:w="853" w:type="dxa"/>
                  <w:vAlign w:val="center"/>
                </w:tcPr>
                <w:p>
                  <w:pPr>
                    <w:jc w:val="center"/>
                    <w:rPr>
                      <w:kern w:val="0"/>
                      <w:szCs w:val="21"/>
                    </w:rPr>
                  </w:pPr>
                  <w:r>
                    <w:rPr>
                      <w:szCs w:val="21"/>
                    </w:rPr>
                    <w:t>氨氮</w:t>
                  </w:r>
                </w:p>
              </w:tc>
              <w:tc>
                <w:tcPr>
                  <w:tcW w:w="740" w:type="dxa"/>
                  <w:vAlign w:val="center"/>
                </w:tcPr>
                <w:p>
                  <w:pPr>
                    <w:snapToGrid w:val="0"/>
                    <w:jc w:val="center"/>
                    <w:rPr>
                      <w:szCs w:val="21"/>
                    </w:rPr>
                  </w:pPr>
                  <w:r>
                    <w:rPr>
                      <w:szCs w:val="21"/>
                    </w:rPr>
                    <w:t>mg/L</w:t>
                  </w:r>
                </w:p>
              </w:tc>
              <w:tc>
                <w:tcPr>
                  <w:tcW w:w="726" w:type="dxa"/>
                  <w:vAlign w:val="center"/>
                </w:tcPr>
                <w:p>
                  <w:pPr>
                    <w:jc w:val="center"/>
                    <w:rPr>
                      <w:bCs/>
                      <w:kern w:val="0"/>
                      <w:szCs w:val="21"/>
                    </w:rPr>
                  </w:pPr>
                  <w:r>
                    <w:rPr>
                      <w:rFonts w:hint="eastAsia"/>
                      <w:kern w:val="0"/>
                      <w:sz w:val="18"/>
                      <w:szCs w:val="18"/>
                    </w:rPr>
                    <w:t>0.120</w:t>
                  </w:r>
                </w:p>
              </w:tc>
              <w:tc>
                <w:tcPr>
                  <w:tcW w:w="677" w:type="dxa"/>
                  <w:vAlign w:val="center"/>
                </w:tcPr>
                <w:p>
                  <w:pPr>
                    <w:jc w:val="center"/>
                    <w:rPr>
                      <w:bCs/>
                      <w:kern w:val="0"/>
                      <w:szCs w:val="21"/>
                    </w:rPr>
                  </w:pPr>
                  <w:r>
                    <w:rPr>
                      <w:rFonts w:hint="eastAsia"/>
                      <w:kern w:val="0"/>
                      <w:sz w:val="18"/>
                      <w:szCs w:val="18"/>
                    </w:rPr>
                    <w:t>0.081</w:t>
                  </w:r>
                </w:p>
              </w:tc>
              <w:tc>
                <w:tcPr>
                  <w:tcW w:w="677" w:type="dxa"/>
                  <w:vAlign w:val="center"/>
                </w:tcPr>
                <w:p>
                  <w:pPr>
                    <w:jc w:val="center"/>
                    <w:rPr>
                      <w:bCs/>
                      <w:kern w:val="0"/>
                      <w:szCs w:val="21"/>
                    </w:rPr>
                  </w:pPr>
                  <w:r>
                    <w:rPr>
                      <w:rFonts w:hint="eastAsia"/>
                      <w:kern w:val="0"/>
                      <w:sz w:val="18"/>
                      <w:szCs w:val="18"/>
                    </w:rPr>
                    <w:t>0.041</w:t>
                  </w:r>
                </w:p>
              </w:tc>
              <w:tc>
                <w:tcPr>
                  <w:tcW w:w="789" w:type="dxa"/>
                  <w:vAlign w:val="center"/>
                </w:tcPr>
                <w:p>
                  <w:pPr>
                    <w:jc w:val="center"/>
                    <w:rPr>
                      <w:bCs/>
                      <w:kern w:val="0"/>
                      <w:szCs w:val="21"/>
                    </w:rPr>
                  </w:pPr>
                  <w:r>
                    <w:rPr>
                      <w:rFonts w:hint="eastAsia"/>
                      <w:kern w:val="0"/>
                      <w:sz w:val="18"/>
                      <w:szCs w:val="18"/>
                    </w:rPr>
                    <w:t>0.053</w:t>
                  </w:r>
                </w:p>
              </w:tc>
              <w:tc>
                <w:tcPr>
                  <w:tcW w:w="794" w:type="dxa"/>
                  <w:vAlign w:val="center"/>
                </w:tcPr>
                <w:p>
                  <w:pPr>
                    <w:jc w:val="center"/>
                    <w:rPr>
                      <w:bCs/>
                      <w:kern w:val="0"/>
                      <w:szCs w:val="21"/>
                    </w:rPr>
                  </w:pPr>
                  <w:r>
                    <w:rPr>
                      <w:rFonts w:hint="eastAsia"/>
                      <w:kern w:val="0"/>
                      <w:sz w:val="18"/>
                      <w:szCs w:val="18"/>
                    </w:rPr>
                    <w:t>0.057</w:t>
                  </w:r>
                </w:p>
              </w:tc>
              <w:tc>
                <w:tcPr>
                  <w:tcW w:w="789" w:type="dxa"/>
                  <w:vAlign w:val="center"/>
                </w:tcPr>
                <w:p>
                  <w:pPr>
                    <w:snapToGrid w:val="0"/>
                    <w:jc w:val="center"/>
                    <w:rPr>
                      <w:szCs w:val="21"/>
                    </w:rPr>
                  </w:pPr>
                  <w:r>
                    <w:rPr>
                      <w:szCs w:val="21"/>
                    </w:rPr>
                    <w:t>≤0.5</w:t>
                  </w:r>
                </w:p>
              </w:tc>
              <w:tc>
                <w:tcPr>
                  <w:tcW w:w="790" w:type="dxa"/>
                  <w:vAlign w:val="center"/>
                </w:tcPr>
                <w:p>
                  <w:pPr>
                    <w:snapToGrid w:val="0"/>
                    <w:jc w:val="center"/>
                    <w:rPr>
                      <w:szCs w:val="21"/>
                    </w:rPr>
                  </w:pPr>
                  <w:r>
                    <w:rPr>
                      <w:szCs w:val="21"/>
                    </w:rPr>
                    <w:t>0.24</w:t>
                  </w:r>
                </w:p>
              </w:tc>
              <w:tc>
                <w:tcPr>
                  <w:tcW w:w="673" w:type="dxa"/>
                  <w:vAlign w:val="center"/>
                </w:tcPr>
                <w:p>
                  <w:pPr>
                    <w:snapToGrid w:val="0"/>
                    <w:jc w:val="center"/>
                    <w:rPr>
                      <w:szCs w:val="21"/>
                    </w:rPr>
                  </w:pPr>
                  <w:r>
                    <w:rPr>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98" w:type="dxa"/>
                  <w:vMerge w:val="continue"/>
                  <w:vAlign w:val="center"/>
                </w:tcPr>
                <w:p>
                  <w:pPr>
                    <w:tabs>
                      <w:tab w:val="left" w:pos="735"/>
                    </w:tabs>
                    <w:snapToGrid w:val="0"/>
                    <w:jc w:val="center"/>
                    <w:rPr>
                      <w:b/>
                      <w:szCs w:val="21"/>
                    </w:rPr>
                  </w:pPr>
                </w:p>
              </w:tc>
              <w:tc>
                <w:tcPr>
                  <w:tcW w:w="853" w:type="dxa"/>
                  <w:vAlign w:val="center"/>
                </w:tcPr>
                <w:p>
                  <w:pPr>
                    <w:widowControl/>
                    <w:jc w:val="center"/>
                    <w:rPr>
                      <w:kern w:val="0"/>
                      <w:szCs w:val="21"/>
                    </w:rPr>
                  </w:pPr>
                  <w:r>
                    <w:rPr>
                      <w:kern w:val="0"/>
                      <w:szCs w:val="21"/>
                    </w:rPr>
                    <w:t>硫化物</w:t>
                  </w:r>
                </w:p>
              </w:tc>
              <w:tc>
                <w:tcPr>
                  <w:tcW w:w="740" w:type="dxa"/>
                  <w:vAlign w:val="center"/>
                </w:tcPr>
                <w:p>
                  <w:pPr>
                    <w:tabs>
                      <w:tab w:val="left" w:pos="735"/>
                    </w:tabs>
                    <w:snapToGrid w:val="0"/>
                    <w:jc w:val="center"/>
                    <w:rPr>
                      <w:bCs/>
                      <w:szCs w:val="21"/>
                    </w:rPr>
                  </w:pPr>
                  <w:r>
                    <w:rPr>
                      <w:szCs w:val="21"/>
                    </w:rPr>
                    <w:t>mg/L</w:t>
                  </w:r>
                </w:p>
              </w:tc>
              <w:tc>
                <w:tcPr>
                  <w:tcW w:w="726" w:type="dxa"/>
                  <w:vAlign w:val="center"/>
                </w:tcPr>
                <w:p>
                  <w:pPr>
                    <w:jc w:val="center"/>
                    <w:rPr>
                      <w:bCs/>
                      <w:kern w:val="0"/>
                      <w:szCs w:val="21"/>
                    </w:rPr>
                  </w:pPr>
                  <w:r>
                    <w:rPr>
                      <w:rFonts w:hint="eastAsia"/>
                      <w:bCs/>
                      <w:color w:val="000000" w:themeColor="text1"/>
                      <w:kern w:val="0"/>
                      <w:sz w:val="18"/>
                      <w:szCs w:val="18"/>
                      <w14:textFill>
                        <w14:solidFill>
                          <w14:schemeClr w14:val="tx1"/>
                        </w14:solidFill>
                      </w14:textFill>
                    </w:rPr>
                    <w:t>0.003L</w:t>
                  </w:r>
                </w:p>
              </w:tc>
              <w:tc>
                <w:tcPr>
                  <w:tcW w:w="677" w:type="dxa"/>
                  <w:vAlign w:val="center"/>
                </w:tcPr>
                <w:p>
                  <w:pPr>
                    <w:jc w:val="center"/>
                    <w:rPr>
                      <w:bCs/>
                      <w:kern w:val="0"/>
                      <w:szCs w:val="21"/>
                    </w:rPr>
                  </w:pPr>
                  <w:r>
                    <w:rPr>
                      <w:rFonts w:hint="eastAsia"/>
                      <w:bCs/>
                      <w:color w:val="000000" w:themeColor="text1"/>
                      <w:kern w:val="0"/>
                      <w:sz w:val="18"/>
                      <w:szCs w:val="18"/>
                      <w14:textFill>
                        <w14:solidFill>
                          <w14:schemeClr w14:val="tx1"/>
                        </w14:solidFill>
                      </w14:textFill>
                    </w:rPr>
                    <w:t>0.003L</w:t>
                  </w:r>
                </w:p>
              </w:tc>
              <w:tc>
                <w:tcPr>
                  <w:tcW w:w="677" w:type="dxa"/>
                  <w:vAlign w:val="center"/>
                </w:tcPr>
                <w:p>
                  <w:pPr>
                    <w:jc w:val="center"/>
                    <w:rPr>
                      <w:bCs/>
                      <w:kern w:val="0"/>
                      <w:szCs w:val="21"/>
                    </w:rPr>
                  </w:pPr>
                  <w:r>
                    <w:rPr>
                      <w:rFonts w:hint="eastAsia"/>
                      <w:bCs/>
                      <w:color w:val="000000" w:themeColor="text1"/>
                      <w:kern w:val="0"/>
                      <w:sz w:val="18"/>
                      <w:szCs w:val="18"/>
                      <w14:textFill>
                        <w14:solidFill>
                          <w14:schemeClr w14:val="tx1"/>
                        </w14:solidFill>
                      </w14:textFill>
                    </w:rPr>
                    <w:t>0.003L</w:t>
                  </w:r>
                </w:p>
              </w:tc>
              <w:tc>
                <w:tcPr>
                  <w:tcW w:w="789" w:type="dxa"/>
                  <w:vAlign w:val="center"/>
                </w:tcPr>
                <w:p>
                  <w:pPr>
                    <w:jc w:val="center"/>
                    <w:rPr>
                      <w:bCs/>
                      <w:kern w:val="0"/>
                      <w:szCs w:val="21"/>
                    </w:rPr>
                  </w:pPr>
                  <w:r>
                    <w:rPr>
                      <w:rFonts w:hint="eastAsia"/>
                      <w:bCs/>
                      <w:color w:val="000000" w:themeColor="text1"/>
                      <w:kern w:val="0"/>
                      <w:sz w:val="18"/>
                      <w:szCs w:val="18"/>
                      <w14:textFill>
                        <w14:solidFill>
                          <w14:schemeClr w14:val="tx1"/>
                        </w14:solidFill>
                      </w14:textFill>
                    </w:rPr>
                    <w:t>0.003L</w:t>
                  </w:r>
                </w:p>
              </w:tc>
              <w:tc>
                <w:tcPr>
                  <w:tcW w:w="794" w:type="dxa"/>
                  <w:vAlign w:val="center"/>
                </w:tcPr>
                <w:p>
                  <w:pPr>
                    <w:jc w:val="center"/>
                    <w:rPr>
                      <w:bCs/>
                      <w:kern w:val="0"/>
                      <w:szCs w:val="21"/>
                    </w:rPr>
                  </w:pPr>
                  <w:r>
                    <w:rPr>
                      <w:rFonts w:hint="eastAsia"/>
                      <w:bCs/>
                      <w:color w:val="000000" w:themeColor="text1"/>
                      <w:kern w:val="0"/>
                      <w:sz w:val="18"/>
                      <w:szCs w:val="18"/>
                      <w14:textFill>
                        <w14:solidFill>
                          <w14:schemeClr w14:val="tx1"/>
                        </w14:solidFill>
                      </w14:textFill>
                    </w:rPr>
                    <w:t>0.003L</w:t>
                  </w:r>
                </w:p>
              </w:tc>
              <w:tc>
                <w:tcPr>
                  <w:tcW w:w="789" w:type="dxa"/>
                  <w:vAlign w:val="center"/>
                </w:tcPr>
                <w:p>
                  <w:pPr>
                    <w:tabs>
                      <w:tab w:val="left" w:pos="735"/>
                    </w:tabs>
                    <w:snapToGrid w:val="0"/>
                    <w:jc w:val="center"/>
                    <w:rPr>
                      <w:szCs w:val="21"/>
                    </w:rPr>
                  </w:pPr>
                  <w:r>
                    <w:rPr>
                      <w:szCs w:val="21"/>
                    </w:rPr>
                    <w:t>≤0.02</w:t>
                  </w:r>
                </w:p>
              </w:tc>
              <w:tc>
                <w:tcPr>
                  <w:tcW w:w="790" w:type="dxa"/>
                  <w:vAlign w:val="center"/>
                </w:tcPr>
                <w:p>
                  <w:pPr>
                    <w:snapToGrid w:val="0"/>
                    <w:jc w:val="center"/>
                    <w:rPr>
                      <w:szCs w:val="21"/>
                    </w:rPr>
                  </w:pPr>
                  <w:r>
                    <w:rPr>
                      <w:szCs w:val="21"/>
                    </w:rPr>
                    <w:t>/</w:t>
                  </w:r>
                </w:p>
              </w:tc>
              <w:tc>
                <w:tcPr>
                  <w:tcW w:w="673" w:type="dxa"/>
                  <w:vAlign w:val="center"/>
                </w:tcPr>
                <w:p>
                  <w:pPr>
                    <w:snapToGrid w:val="0"/>
                    <w:jc w:val="center"/>
                    <w:rPr>
                      <w:bCs/>
                      <w:szCs w:val="21"/>
                    </w:rPr>
                  </w:pPr>
                  <w:r>
                    <w:rPr>
                      <w:bCs/>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98" w:type="dxa"/>
                  <w:vMerge w:val="continue"/>
                  <w:vAlign w:val="center"/>
                </w:tcPr>
                <w:p>
                  <w:pPr>
                    <w:tabs>
                      <w:tab w:val="left" w:pos="735"/>
                    </w:tabs>
                    <w:snapToGrid w:val="0"/>
                    <w:jc w:val="center"/>
                    <w:rPr>
                      <w:b/>
                      <w:szCs w:val="21"/>
                    </w:rPr>
                  </w:pPr>
                </w:p>
              </w:tc>
              <w:tc>
                <w:tcPr>
                  <w:tcW w:w="853" w:type="dxa"/>
                  <w:vAlign w:val="center"/>
                </w:tcPr>
                <w:p>
                  <w:pPr>
                    <w:widowControl/>
                    <w:jc w:val="center"/>
                    <w:rPr>
                      <w:kern w:val="0"/>
                      <w:szCs w:val="21"/>
                    </w:rPr>
                  </w:pPr>
                  <w:r>
                    <w:rPr>
                      <w:kern w:val="0"/>
                      <w:szCs w:val="21"/>
                    </w:rPr>
                    <w:t>总大肠菌群</w:t>
                  </w:r>
                </w:p>
              </w:tc>
              <w:tc>
                <w:tcPr>
                  <w:tcW w:w="740" w:type="dxa"/>
                  <w:vAlign w:val="center"/>
                </w:tcPr>
                <w:p>
                  <w:pPr>
                    <w:tabs>
                      <w:tab w:val="left" w:pos="735"/>
                    </w:tabs>
                    <w:snapToGrid w:val="0"/>
                    <w:jc w:val="center"/>
                    <w:rPr>
                      <w:bCs/>
                      <w:szCs w:val="21"/>
                    </w:rPr>
                  </w:pPr>
                  <w:r>
                    <w:rPr>
                      <w:szCs w:val="21"/>
                    </w:rPr>
                    <w:t>mg/L</w:t>
                  </w:r>
                </w:p>
              </w:tc>
              <w:tc>
                <w:tcPr>
                  <w:tcW w:w="726" w:type="dxa"/>
                  <w:vAlign w:val="center"/>
                </w:tcPr>
                <w:p>
                  <w:pPr>
                    <w:jc w:val="center"/>
                    <w:rPr>
                      <w:bCs/>
                      <w:kern w:val="0"/>
                      <w:szCs w:val="21"/>
                    </w:rPr>
                  </w:pPr>
                  <w:r>
                    <w:rPr>
                      <w:bCs/>
                      <w:kern w:val="0"/>
                      <w:szCs w:val="21"/>
                    </w:rPr>
                    <w:t>＜2</w:t>
                  </w:r>
                </w:p>
              </w:tc>
              <w:tc>
                <w:tcPr>
                  <w:tcW w:w="677" w:type="dxa"/>
                  <w:vAlign w:val="center"/>
                </w:tcPr>
                <w:p>
                  <w:pPr>
                    <w:jc w:val="center"/>
                    <w:rPr>
                      <w:bCs/>
                      <w:kern w:val="0"/>
                      <w:szCs w:val="21"/>
                    </w:rPr>
                  </w:pPr>
                  <w:r>
                    <w:rPr>
                      <w:bCs/>
                      <w:kern w:val="0"/>
                      <w:szCs w:val="21"/>
                    </w:rPr>
                    <w:t>＜2</w:t>
                  </w:r>
                </w:p>
              </w:tc>
              <w:tc>
                <w:tcPr>
                  <w:tcW w:w="677" w:type="dxa"/>
                  <w:vAlign w:val="center"/>
                </w:tcPr>
                <w:p>
                  <w:pPr>
                    <w:jc w:val="center"/>
                    <w:rPr>
                      <w:bCs/>
                      <w:kern w:val="0"/>
                      <w:szCs w:val="21"/>
                    </w:rPr>
                  </w:pPr>
                  <w:r>
                    <w:rPr>
                      <w:bCs/>
                      <w:kern w:val="0"/>
                      <w:szCs w:val="21"/>
                    </w:rPr>
                    <w:t>＜2</w:t>
                  </w:r>
                </w:p>
              </w:tc>
              <w:tc>
                <w:tcPr>
                  <w:tcW w:w="789" w:type="dxa"/>
                  <w:vAlign w:val="center"/>
                </w:tcPr>
                <w:p>
                  <w:pPr>
                    <w:jc w:val="center"/>
                    <w:rPr>
                      <w:bCs/>
                      <w:kern w:val="0"/>
                      <w:szCs w:val="21"/>
                    </w:rPr>
                  </w:pPr>
                  <w:r>
                    <w:rPr>
                      <w:bCs/>
                      <w:kern w:val="0"/>
                      <w:szCs w:val="21"/>
                    </w:rPr>
                    <w:t>＜2</w:t>
                  </w:r>
                </w:p>
              </w:tc>
              <w:tc>
                <w:tcPr>
                  <w:tcW w:w="794" w:type="dxa"/>
                  <w:vAlign w:val="center"/>
                </w:tcPr>
                <w:p>
                  <w:pPr>
                    <w:jc w:val="center"/>
                    <w:rPr>
                      <w:bCs/>
                      <w:kern w:val="0"/>
                      <w:szCs w:val="21"/>
                    </w:rPr>
                  </w:pPr>
                  <w:r>
                    <w:rPr>
                      <w:bCs/>
                      <w:kern w:val="0"/>
                      <w:szCs w:val="21"/>
                    </w:rPr>
                    <w:t>＜2</w:t>
                  </w:r>
                </w:p>
              </w:tc>
              <w:tc>
                <w:tcPr>
                  <w:tcW w:w="789" w:type="dxa"/>
                  <w:vAlign w:val="center"/>
                </w:tcPr>
                <w:p>
                  <w:pPr>
                    <w:tabs>
                      <w:tab w:val="left" w:pos="735"/>
                    </w:tabs>
                    <w:snapToGrid w:val="0"/>
                    <w:jc w:val="center"/>
                    <w:rPr>
                      <w:szCs w:val="21"/>
                    </w:rPr>
                  </w:pPr>
                  <w:r>
                    <w:rPr>
                      <w:szCs w:val="21"/>
                    </w:rPr>
                    <w:t>≤3.0</w:t>
                  </w:r>
                </w:p>
              </w:tc>
              <w:tc>
                <w:tcPr>
                  <w:tcW w:w="790" w:type="dxa"/>
                  <w:vAlign w:val="center"/>
                </w:tcPr>
                <w:p>
                  <w:pPr>
                    <w:snapToGrid w:val="0"/>
                    <w:jc w:val="center"/>
                    <w:rPr>
                      <w:szCs w:val="21"/>
                    </w:rPr>
                  </w:pPr>
                  <w:r>
                    <w:rPr>
                      <w:szCs w:val="21"/>
                    </w:rPr>
                    <w:t>/</w:t>
                  </w:r>
                </w:p>
              </w:tc>
              <w:tc>
                <w:tcPr>
                  <w:tcW w:w="673" w:type="dxa"/>
                  <w:vAlign w:val="center"/>
                </w:tcPr>
                <w:p>
                  <w:pPr>
                    <w:snapToGrid w:val="0"/>
                    <w:jc w:val="center"/>
                    <w:rPr>
                      <w:bCs/>
                      <w:szCs w:val="21"/>
                    </w:rPr>
                  </w:pPr>
                  <w:r>
                    <w:rPr>
                      <w:bCs/>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98" w:type="dxa"/>
                  <w:vMerge w:val="continue"/>
                  <w:vAlign w:val="center"/>
                </w:tcPr>
                <w:p>
                  <w:pPr>
                    <w:tabs>
                      <w:tab w:val="left" w:pos="735"/>
                    </w:tabs>
                    <w:snapToGrid w:val="0"/>
                    <w:jc w:val="center"/>
                    <w:rPr>
                      <w:b/>
                      <w:szCs w:val="21"/>
                    </w:rPr>
                  </w:pPr>
                </w:p>
              </w:tc>
              <w:tc>
                <w:tcPr>
                  <w:tcW w:w="853" w:type="dxa"/>
                  <w:vAlign w:val="center"/>
                </w:tcPr>
                <w:p>
                  <w:pPr>
                    <w:widowControl/>
                    <w:jc w:val="center"/>
                    <w:rPr>
                      <w:kern w:val="0"/>
                      <w:szCs w:val="21"/>
                    </w:rPr>
                  </w:pPr>
                  <w:r>
                    <w:rPr>
                      <w:kern w:val="0"/>
                      <w:szCs w:val="21"/>
                    </w:rPr>
                    <w:t>硝酸盐氮</w:t>
                  </w:r>
                </w:p>
              </w:tc>
              <w:tc>
                <w:tcPr>
                  <w:tcW w:w="740" w:type="dxa"/>
                  <w:vAlign w:val="center"/>
                </w:tcPr>
                <w:p>
                  <w:pPr>
                    <w:tabs>
                      <w:tab w:val="left" w:pos="735"/>
                    </w:tabs>
                    <w:snapToGrid w:val="0"/>
                    <w:jc w:val="center"/>
                    <w:rPr>
                      <w:b/>
                      <w:szCs w:val="21"/>
                    </w:rPr>
                  </w:pPr>
                  <w:r>
                    <w:rPr>
                      <w:bCs/>
                      <w:szCs w:val="21"/>
                    </w:rPr>
                    <w:t>mg/L</w:t>
                  </w:r>
                </w:p>
              </w:tc>
              <w:tc>
                <w:tcPr>
                  <w:tcW w:w="726" w:type="dxa"/>
                  <w:vAlign w:val="center"/>
                </w:tcPr>
                <w:p>
                  <w:pPr>
                    <w:jc w:val="center"/>
                    <w:rPr>
                      <w:bCs/>
                      <w:kern w:val="0"/>
                      <w:szCs w:val="21"/>
                    </w:rPr>
                  </w:pPr>
                  <w:r>
                    <w:rPr>
                      <w:rFonts w:hint="eastAsia"/>
                      <w:bCs/>
                      <w:color w:val="000000" w:themeColor="text1"/>
                      <w:kern w:val="0"/>
                      <w:sz w:val="18"/>
                      <w:szCs w:val="18"/>
                      <w14:textFill>
                        <w14:solidFill>
                          <w14:schemeClr w14:val="tx1"/>
                        </w14:solidFill>
                      </w14:textFill>
                    </w:rPr>
                    <w:t>0.42</w:t>
                  </w:r>
                </w:p>
              </w:tc>
              <w:tc>
                <w:tcPr>
                  <w:tcW w:w="677" w:type="dxa"/>
                  <w:vAlign w:val="center"/>
                </w:tcPr>
                <w:p>
                  <w:pPr>
                    <w:jc w:val="center"/>
                    <w:rPr>
                      <w:bCs/>
                      <w:kern w:val="0"/>
                      <w:szCs w:val="21"/>
                    </w:rPr>
                  </w:pPr>
                  <w:r>
                    <w:rPr>
                      <w:rFonts w:hint="eastAsia"/>
                      <w:bCs/>
                      <w:color w:val="000000" w:themeColor="text1"/>
                      <w:kern w:val="0"/>
                      <w:sz w:val="18"/>
                      <w:szCs w:val="18"/>
                      <w14:textFill>
                        <w14:solidFill>
                          <w14:schemeClr w14:val="tx1"/>
                        </w14:solidFill>
                      </w14:textFill>
                    </w:rPr>
                    <w:t>0.45</w:t>
                  </w:r>
                </w:p>
              </w:tc>
              <w:tc>
                <w:tcPr>
                  <w:tcW w:w="677" w:type="dxa"/>
                  <w:vAlign w:val="center"/>
                </w:tcPr>
                <w:p>
                  <w:pPr>
                    <w:jc w:val="center"/>
                    <w:rPr>
                      <w:bCs/>
                      <w:kern w:val="0"/>
                      <w:szCs w:val="21"/>
                    </w:rPr>
                  </w:pPr>
                  <w:r>
                    <w:rPr>
                      <w:rFonts w:hint="eastAsia"/>
                      <w:bCs/>
                      <w:color w:val="000000" w:themeColor="text1"/>
                      <w:kern w:val="0"/>
                      <w:sz w:val="18"/>
                      <w:szCs w:val="18"/>
                      <w14:textFill>
                        <w14:solidFill>
                          <w14:schemeClr w14:val="tx1"/>
                        </w14:solidFill>
                      </w14:textFill>
                    </w:rPr>
                    <w:t>0.43</w:t>
                  </w:r>
                </w:p>
              </w:tc>
              <w:tc>
                <w:tcPr>
                  <w:tcW w:w="789" w:type="dxa"/>
                  <w:vAlign w:val="center"/>
                </w:tcPr>
                <w:p>
                  <w:pPr>
                    <w:jc w:val="center"/>
                    <w:rPr>
                      <w:bCs/>
                      <w:kern w:val="0"/>
                      <w:szCs w:val="21"/>
                    </w:rPr>
                  </w:pPr>
                  <w:r>
                    <w:rPr>
                      <w:rFonts w:hint="eastAsia"/>
                      <w:bCs/>
                      <w:color w:val="000000" w:themeColor="text1"/>
                      <w:kern w:val="0"/>
                      <w:sz w:val="18"/>
                      <w:szCs w:val="18"/>
                      <w14:textFill>
                        <w14:solidFill>
                          <w14:schemeClr w14:val="tx1"/>
                        </w14:solidFill>
                      </w14:textFill>
                    </w:rPr>
                    <w:t>0.50</w:t>
                  </w:r>
                </w:p>
              </w:tc>
              <w:tc>
                <w:tcPr>
                  <w:tcW w:w="794" w:type="dxa"/>
                  <w:vAlign w:val="center"/>
                </w:tcPr>
                <w:p>
                  <w:pPr>
                    <w:jc w:val="center"/>
                    <w:rPr>
                      <w:bCs/>
                      <w:kern w:val="0"/>
                      <w:szCs w:val="21"/>
                    </w:rPr>
                  </w:pPr>
                  <w:r>
                    <w:rPr>
                      <w:rFonts w:hint="eastAsia"/>
                      <w:bCs/>
                      <w:color w:val="000000" w:themeColor="text1"/>
                      <w:kern w:val="0"/>
                      <w:sz w:val="18"/>
                      <w:szCs w:val="18"/>
                      <w14:textFill>
                        <w14:solidFill>
                          <w14:schemeClr w14:val="tx1"/>
                        </w14:solidFill>
                      </w14:textFill>
                    </w:rPr>
                    <w:t>0.37</w:t>
                  </w:r>
                </w:p>
              </w:tc>
              <w:tc>
                <w:tcPr>
                  <w:tcW w:w="789" w:type="dxa"/>
                  <w:vAlign w:val="center"/>
                </w:tcPr>
                <w:p>
                  <w:pPr>
                    <w:tabs>
                      <w:tab w:val="left" w:pos="735"/>
                    </w:tabs>
                    <w:snapToGrid w:val="0"/>
                    <w:jc w:val="center"/>
                    <w:rPr>
                      <w:bCs/>
                      <w:szCs w:val="21"/>
                    </w:rPr>
                  </w:pPr>
                  <w:r>
                    <w:rPr>
                      <w:szCs w:val="21"/>
                    </w:rPr>
                    <w:t>≤20</w:t>
                  </w:r>
                </w:p>
              </w:tc>
              <w:tc>
                <w:tcPr>
                  <w:tcW w:w="790" w:type="dxa"/>
                  <w:vAlign w:val="center"/>
                </w:tcPr>
                <w:p>
                  <w:pPr>
                    <w:snapToGrid w:val="0"/>
                    <w:jc w:val="center"/>
                    <w:rPr>
                      <w:szCs w:val="21"/>
                    </w:rPr>
                  </w:pPr>
                  <w:r>
                    <w:rPr>
                      <w:szCs w:val="21"/>
                    </w:rPr>
                    <w:t>0.025</w:t>
                  </w:r>
                </w:p>
              </w:tc>
              <w:tc>
                <w:tcPr>
                  <w:tcW w:w="673" w:type="dxa"/>
                  <w:vAlign w:val="center"/>
                </w:tcPr>
                <w:p>
                  <w:pPr>
                    <w:snapToGrid w:val="0"/>
                    <w:jc w:val="center"/>
                    <w:rPr>
                      <w:bCs/>
                      <w:szCs w:val="21"/>
                    </w:rPr>
                  </w:pPr>
                  <w:r>
                    <w:rPr>
                      <w:bCs/>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98" w:type="dxa"/>
                  <w:vMerge w:val="continue"/>
                  <w:vAlign w:val="center"/>
                </w:tcPr>
                <w:p>
                  <w:pPr>
                    <w:tabs>
                      <w:tab w:val="left" w:pos="735"/>
                    </w:tabs>
                    <w:snapToGrid w:val="0"/>
                    <w:jc w:val="center"/>
                    <w:rPr>
                      <w:b/>
                      <w:szCs w:val="21"/>
                    </w:rPr>
                  </w:pPr>
                </w:p>
              </w:tc>
              <w:tc>
                <w:tcPr>
                  <w:tcW w:w="853" w:type="dxa"/>
                  <w:vAlign w:val="center"/>
                </w:tcPr>
                <w:p>
                  <w:pPr>
                    <w:jc w:val="center"/>
                    <w:rPr>
                      <w:kern w:val="0"/>
                      <w:szCs w:val="21"/>
                    </w:rPr>
                  </w:pPr>
                  <w:r>
                    <w:rPr>
                      <w:bCs/>
                      <w:szCs w:val="21"/>
                    </w:rPr>
                    <w:t>亚硝酸盐氮</w:t>
                  </w:r>
                </w:p>
              </w:tc>
              <w:tc>
                <w:tcPr>
                  <w:tcW w:w="740" w:type="dxa"/>
                  <w:vAlign w:val="center"/>
                </w:tcPr>
                <w:p>
                  <w:pPr>
                    <w:tabs>
                      <w:tab w:val="left" w:pos="735"/>
                    </w:tabs>
                    <w:snapToGrid w:val="0"/>
                    <w:jc w:val="center"/>
                    <w:rPr>
                      <w:b/>
                      <w:szCs w:val="21"/>
                    </w:rPr>
                  </w:pPr>
                  <w:r>
                    <w:rPr>
                      <w:bCs/>
                      <w:szCs w:val="21"/>
                    </w:rPr>
                    <w:t>mg/L</w:t>
                  </w:r>
                </w:p>
              </w:tc>
              <w:tc>
                <w:tcPr>
                  <w:tcW w:w="726" w:type="dxa"/>
                  <w:vAlign w:val="center"/>
                </w:tcPr>
                <w:p>
                  <w:pPr>
                    <w:jc w:val="center"/>
                    <w:rPr>
                      <w:bCs/>
                      <w:kern w:val="0"/>
                      <w:szCs w:val="21"/>
                    </w:rPr>
                  </w:pPr>
                  <w:r>
                    <w:rPr>
                      <w:rFonts w:hint="eastAsia"/>
                      <w:bCs/>
                      <w:color w:val="000000" w:themeColor="text1"/>
                      <w:kern w:val="0"/>
                      <w:sz w:val="18"/>
                      <w:szCs w:val="18"/>
                      <w14:textFill>
                        <w14:solidFill>
                          <w14:schemeClr w14:val="tx1"/>
                        </w14:solidFill>
                      </w14:textFill>
                    </w:rPr>
                    <w:t>0.009</w:t>
                  </w:r>
                </w:p>
              </w:tc>
              <w:tc>
                <w:tcPr>
                  <w:tcW w:w="677" w:type="dxa"/>
                  <w:vAlign w:val="center"/>
                </w:tcPr>
                <w:p>
                  <w:pPr>
                    <w:jc w:val="center"/>
                    <w:rPr>
                      <w:bCs/>
                      <w:kern w:val="0"/>
                      <w:szCs w:val="21"/>
                    </w:rPr>
                  </w:pPr>
                  <w:r>
                    <w:rPr>
                      <w:rFonts w:hint="eastAsia"/>
                      <w:bCs/>
                      <w:color w:val="000000" w:themeColor="text1"/>
                      <w:kern w:val="0"/>
                      <w:sz w:val="18"/>
                      <w:szCs w:val="18"/>
                      <w14:textFill>
                        <w14:solidFill>
                          <w14:schemeClr w14:val="tx1"/>
                        </w14:solidFill>
                      </w14:textFill>
                    </w:rPr>
                    <w:t>0.013</w:t>
                  </w:r>
                </w:p>
              </w:tc>
              <w:tc>
                <w:tcPr>
                  <w:tcW w:w="677" w:type="dxa"/>
                  <w:vAlign w:val="center"/>
                </w:tcPr>
                <w:p>
                  <w:pPr>
                    <w:jc w:val="center"/>
                    <w:rPr>
                      <w:bCs/>
                      <w:kern w:val="0"/>
                      <w:szCs w:val="21"/>
                    </w:rPr>
                  </w:pPr>
                  <w:r>
                    <w:rPr>
                      <w:rFonts w:hint="eastAsia"/>
                      <w:bCs/>
                      <w:color w:val="000000" w:themeColor="text1"/>
                      <w:kern w:val="0"/>
                      <w:sz w:val="18"/>
                      <w:szCs w:val="18"/>
                      <w14:textFill>
                        <w14:solidFill>
                          <w14:schemeClr w14:val="tx1"/>
                        </w14:solidFill>
                      </w14:textFill>
                    </w:rPr>
                    <w:t>0.006</w:t>
                  </w:r>
                </w:p>
              </w:tc>
              <w:tc>
                <w:tcPr>
                  <w:tcW w:w="789" w:type="dxa"/>
                  <w:vAlign w:val="center"/>
                </w:tcPr>
                <w:p>
                  <w:pPr>
                    <w:jc w:val="center"/>
                    <w:rPr>
                      <w:bCs/>
                      <w:kern w:val="0"/>
                      <w:szCs w:val="21"/>
                    </w:rPr>
                  </w:pPr>
                  <w:r>
                    <w:rPr>
                      <w:rFonts w:hint="eastAsia"/>
                      <w:bCs/>
                      <w:color w:val="000000" w:themeColor="text1"/>
                      <w:kern w:val="0"/>
                      <w:sz w:val="18"/>
                      <w:szCs w:val="18"/>
                      <w14:textFill>
                        <w14:solidFill>
                          <w14:schemeClr w14:val="tx1"/>
                        </w14:solidFill>
                      </w14:textFill>
                    </w:rPr>
                    <w:t>0.009</w:t>
                  </w:r>
                </w:p>
              </w:tc>
              <w:tc>
                <w:tcPr>
                  <w:tcW w:w="794" w:type="dxa"/>
                  <w:vAlign w:val="center"/>
                </w:tcPr>
                <w:p>
                  <w:pPr>
                    <w:jc w:val="center"/>
                    <w:rPr>
                      <w:bCs/>
                      <w:kern w:val="0"/>
                      <w:szCs w:val="21"/>
                    </w:rPr>
                  </w:pPr>
                  <w:r>
                    <w:rPr>
                      <w:rFonts w:hint="eastAsia"/>
                      <w:bCs/>
                      <w:color w:val="000000" w:themeColor="text1"/>
                      <w:kern w:val="0"/>
                      <w:sz w:val="18"/>
                      <w:szCs w:val="18"/>
                      <w14:textFill>
                        <w14:solidFill>
                          <w14:schemeClr w14:val="tx1"/>
                        </w14:solidFill>
                      </w14:textFill>
                    </w:rPr>
                    <w:t>0.015</w:t>
                  </w:r>
                </w:p>
              </w:tc>
              <w:tc>
                <w:tcPr>
                  <w:tcW w:w="789" w:type="dxa"/>
                  <w:vAlign w:val="center"/>
                </w:tcPr>
                <w:p>
                  <w:pPr>
                    <w:tabs>
                      <w:tab w:val="left" w:pos="735"/>
                    </w:tabs>
                    <w:snapToGrid w:val="0"/>
                    <w:jc w:val="center"/>
                    <w:rPr>
                      <w:bCs/>
                      <w:szCs w:val="21"/>
                    </w:rPr>
                  </w:pPr>
                  <w:r>
                    <w:rPr>
                      <w:szCs w:val="21"/>
                    </w:rPr>
                    <w:t>≤1.0</w:t>
                  </w:r>
                </w:p>
              </w:tc>
              <w:tc>
                <w:tcPr>
                  <w:tcW w:w="790" w:type="dxa"/>
                  <w:vAlign w:val="center"/>
                </w:tcPr>
                <w:p>
                  <w:pPr>
                    <w:snapToGrid w:val="0"/>
                    <w:jc w:val="center"/>
                    <w:rPr>
                      <w:szCs w:val="21"/>
                    </w:rPr>
                  </w:pPr>
                  <w:r>
                    <w:rPr>
                      <w:szCs w:val="21"/>
                    </w:rPr>
                    <w:t>0.015</w:t>
                  </w:r>
                </w:p>
              </w:tc>
              <w:tc>
                <w:tcPr>
                  <w:tcW w:w="673" w:type="dxa"/>
                  <w:vAlign w:val="center"/>
                </w:tcPr>
                <w:p>
                  <w:pPr>
                    <w:snapToGrid w:val="0"/>
                    <w:jc w:val="center"/>
                    <w:rPr>
                      <w:bCs/>
                      <w:szCs w:val="21"/>
                    </w:rPr>
                  </w:pPr>
                  <w:r>
                    <w:rPr>
                      <w:bCs/>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98" w:type="dxa"/>
                  <w:vMerge w:val="continue"/>
                  <w:vAlign w:val="center"/>
                </w:tcPr>
                <w:p>
                  <w:pPr>
                    <w:tabs>
                      <w:tab w:val="left" w:pos="735"/>
                    </w:tabs>
                    <w:snapToGrid w:val="0"/>
                    <w:jc w:val="center"/>
                    <w:rPr>
                      <w:b/>
                      <w:szCs w:val="21"/>
                    </w:rPr>
                  </w:pPr>
                </w:p>
              </w:tc>
              <w:tc>
                <w:tcPr>
                  <w:tcW w:w="853" w:type="dxa"/>
                  <w:vAlign w:val="center"/>
                </w:tcPr>
                <w:p>
                  <w:pPr>
                    <w:widowControl/>
                    <w:jc w:val="center"/>
                    <w:rPr>
                      <w:kern w:val="0"/>
                      <w:szCs w:val="21"/>
                    </w:rPr>
                  </w:pPr>
                  <w:r>
                    <w:rPr>
                      <w:kern w:val="0"/>
                      <w:szCs w:val="21"/>
                    </w:rPr>
                    <w:t>氰化物</w:t>
                  </w:r>
                </w:p>
              </w:tc>
              <w:tc>
                <w:tcPr>
                  <w:tcW w:w="740" w:type="dxa"/>
                  <w:vAlign w:val="center"/>
                </w:tcPr>
                <w:p>
                  <w:pPr>
                    <w:tabs>
                      <w:tab w:val="left" w:pos="735"/>
                    </w:tabs>
                    <w:snapToGrid w:val="0"/>
                    <w:jc w:val="center"/>
                    <w:rPr>
                      <w:bCs/>
                      <w:szCs w:val="21"/>
                    </w:rPr>
                  </w:pPr>
                  <w:r>
                    <w:rPr>
                      <w:szCs w:val="21"/>
                    </w:rPr>
                    <w:t>mg/L</w:t>
                  </w:r>
                </w:p>
              </w:tc>
              <w:tc>
                <w:tcPr>
                  <w:tcW w:w="726" w:type="dxa"/>
                  <w:vAlign w:val="center"/>
                </w:tcPr>
                <w:p>
                  <w:pPr>
                    <w:jc w:val="center"/>
                    <w:rPr>
                      <w:bCs/>
                      <w:kern w:val="0"/>
                      <w:szCs w:val="21"/>
                    </w:rPr>
                  </w:pPr>
                  <w:r>
                    <w:rPr>
                      <w:rFonts w:hint="eastAsia"/>
                      <w:bCs/>
                      <w:color w:val="000000" w:themeColor="text1"/>
                      <w:kern w:val="0"/>
                      <w:sz w:val="18"/>
                      <w:szCs w:val="18"/>
                      <w14:textFill>
                        <w14:solidFill>
                          <w14:schemeClr w14:val="tx1"/>
                        </w14:solidFill>
                      </w14:textFill>
                    </w:rPr>
                    <w:t>0.004L</w:t>
                  </w:r>
                </w:p>
              </w:tc>
              <w:tc>
                <w:tcPr>
                  <w:tcW w:w="677" w:type="dxa"/>
                  <w:vAlign w:val="center"/>
                </w:tcPr>
                <w:p>
                  <w:pPr>
                    <w:jc w:val="center"/>
                    <w:rPr>
                      <w:bCs/>
                      <w:kern w:val="0"/>
                      <w:szCs w:val="21"/>
                    </w:rPr>
                  </w:pPr>
                  <w:r>
                    <w:rPr>
                      <w:rFonts w:hint="eastAsia"/>
                      <w:bCs/>
                      <w:color w:val="000000" w:themeColor="text1"/>
                      <w:kern w:val="0"/>
                      <w:sz w:val="18"/>
                      <w:szCs w:val="18"/>
                      <w14:textFill>
                        <w14:solidFill>
                          <w14:schemeClr w14:val="tx1"/>
                        </w14:solidFill>
                      </w14:textFill>
                    </w:rPr>
                    <w:t>0.004L</w:t>
                  </w:r>
                </w:p>
              </w:tc>
              <w:tc>
                <w:tcPr>
                  <w:tcW w:w="677" w:type="dxa"/>
                  <w:vAlign w:val="center"/>
                </w:tcPr>
                <w:p>
                  <w:pPr>
                    <w:jc w:val="center"/>
                    <w:rPr>
                      <w:bCs/>
                      <w:kern w:val="0"/>
                      <w:szCs w:val="21"/>
                    </w:rPr>
                  </w:pPr>
                  <w:r>
                    <w:rPr>
                      <w:rFonts w:hint="eastAsia"/>
                      <w:bCs/>
                      <w:color w:val="000000" w:themeColor="text1"/>
                      <w:kern w:val="0"/>
                      <w:sz w:val="18"/>
                      <w:szCs w:val="18"/>
                      <w14:textFill>
                        <w14:solidFill>
                          <w14:schemeClr w14:val="tx1"/>
                        </w14:solidFill>
                      </w14:textFill>
                    </w:rPr>
                    <w:t>0.004L</w:t>
                  </w:r>
                </w:p>
              </w:tc>
              <w:tc>
                <w:tcPr>
                  <w:tcW w:w="789" w:type="dxa"/>
                  <w:vAlign w:val="center"/>
                </w:tcPr>
                <w:p>
                  <w:pPr>
                    <w:jc w:val="center"/>
                    <w:rPr>
                      <w:bCs/>
                      <w:kern w:val="0"/>
                      <w:szCs w:val="21"/>
                    </w:rPr>
                  </w:pPr>
                  <w:r>
                    <w:rPr>
                      <w:rFonts w:hint="eastAsia"/>
                      <w:bCs/>
                      <w:color w:val="000000" w:themeColor="text1"/>
                      <w:kern w:val="0"/>
                      <w:sz w:val="18"/>
                      <w:szCs w:val="18"/>
                      <w14:textFill>
                        <w14:solidFill>
                          <w14:schemeClr w14:val="tx1"/>
                        </w14:solidFill>
                      </w14:textFill>
                    </w:rPr>
                    <w:t>0.004L</w:t>
                  </w:r>
                </w:p>
              </w:tc>
              <w:tc>
                <w:tcPr>
                  <w:tcW w:w="794" w:type="dxa"/>
                  <w:vAlign w:val="center"/>
                </w:tcPr>
                <w:p>
                  <w:pPr>
                    <w:jc w:val="center"/>
                    <w:rPr>
                      <w:bCs/>
                      <w:kern w:val="0"/>
                      <w:szCs w:val="21"/>
                    </w:rPr>
                  </w:pPr>
                  <w:r>
                    <w:rPr>
                      <w:rFonts w:hint="eastAsia"/>
                      <w:bCs/>
                      <w:color w:val="000000" w:themeColor="text1"/>
                      <w:kern w:val="0"/>
                      <w:sz w:val="18"/>
                      <w:szCs w:val="18"/>
                      <w14:textFill>
                        <w14:solidFill>
                          <w14:schemeClr w14:val="tx1"/>
                        </w14:solidFill>
                      </w14:textFill>
                    </w:rPr>
                    <w:t>0.004L</w:t>
                  </w:r>
                </w:p>
              </w:tc>
              <w:tc>
                <w:tcPr>
                  <w:tcW w:w="789" w:type="dxa"/>
                  <w:vAlign w:val="center"/>
                </w:tcPr>
                <w:p>
                  <w:pPr>
                    <w:tabs>
                      <w:tab w:val="left" w:pos="735"/>
                    </w:tabs>
                    <w:snapToGrid w:val="0"/>
                    <w:jc w:val="center"/>
                    <w:rPr>
                      <w:szCs w:val="21"/>
                    </w:rPr>
                  </w:pPr>
                  <w:r>
                    <w:rPr>
                      <w:szCs w:val="21"/>
                    </w:rPr>
                    <w:t>≤0.05</w:t>
                  </w:r>
                </w:p>
              </w:tc>
              <w:tc>
                <w:tcPr>
                  <w:tcW w:w="790" w:type="dxa"/>
                  <w:vAlign w:val="center"/>
                </w:tcPr>
                <w:p>
                  <w:pPr>
                    <w:snapToGrid w:val="0"/>
                    <w:jc w:val="center"/>
                    <w:rPr>
                      <w:szCs w:val="21"/>
                    </w:rPr>
                  </w:pPr>
                  <w:r>
                    <w:rPr>
                      <w:szCs w:val="21"/>
                    </w:rPr>
                    <w:t>/</w:t>
                  </w:r>
                </w:p>
              </w:tc>
              <w:tc>
                <w:tcPr>
                  <w:tcW w:w="673" w:type="dxa"/>
                  <w:vAlign w:val="center"/>
                </w:tcPr>
                <w:p>
                  <w:pPr>
                    <w:tabs>
                      <w:tab w:val="left" w:pos="735"/>
                    </w:tabs>
                    <w:snapToGrid w:val="0"/>
                    <w:jc w:val="center"/>
                    <w:rPr>
                      <w:bCs/>
                      <w:szCs w:val="21"/>
                    </w:rPr>
                  </w:pPr>
                  <w:r>
                    <w:rPr>
                      <w:bCs/>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98" w:type="dxa"/>
                  <w:vMerge w:val="continue"/>
                  <w:vAlign w:val="center"/>
                </w:tcPr>
                <w:p>
                  <w:pPr>
                    <w:tabs>
                      <w:tab w:val="left" w:pos="735"/>
                    </w:tabs>
                    <w:snapToGrid w:val="0"/>
                    <w:jc w:val="center"/>
                    <w:rPr>
                      <w:b/>
                      <w:szCs w:val="21"/>
                    </w:rPr>
                  </w:pPr>
                </w:p>
              </w:tc>
              <w:tc>
                <w:tcPr>
                  <w:tcW w:w="853" w:type="dxa"/>
                  <w:vAlign w:val="center"/>
                </w:tcPr>
                <w:p>
                  <w:pPr>
                    <w:widowControl/>
                    <w:jc w:val="center"/>
                    <w:rPr>
                      <w:kern w:val="0"/>
                      <w:szCs w:val="21"/>
                    </w:rPr>
                  </w:pPr>
                  <w:r>
                    <w:rPr>
                      <w:kern w:val="0"/>
                      <w:szCs w:val="21"/>
                    </w:rPr>
                    <w:t>氟化物</w:t>
                  </w:r>
                </w:p>
              </w:tc>
              <w:tc>
                <w:tcPr>
                  <w:tcW w:w="740" w:type="dxa"/>
                  <w:vAlign w:val="center"/>
                </w:tcPr>
                <w:p>
                  <w:pPr>
                    <w:tabs>
                      <w:tab w:val="left" w:pos="735"/>
                    </w:tabs>
                    <w:snapToGrid w:val="0"/>
                    <w:jc w:val="center"/>
                    <w:rPr>
                      <w:bCs/>
                      <w:szCs w:val="21"/>
                    </w:rPr>
                  </w:pPr>
                  <w:r>
                    <w:rPr>
                      <w:szCs w:val="21"/>
                    </w:rPr>
                    <w:t>mg/L</w:t>
                  </w:r>
                </w:p>
              </w:tc>
              <w:tc>
                <w:tcPr>
                  <w:tcW w:w="726" w:type="dxa"/>
                  <w:vAlign w:val="center"/>
                </w:tcPr>
                <w:p>
                  <w:pPr>
                    <w:jc w:val="center"/>
                    <w:rPr>
                      <w:bCs/>
                      <w:kern w:val="0"/>
                      <w:szCs w:val="21"/>
                    </w:rPr>
                  </w:pPr>
                  <w:r>
                    <w:rPr>
                      <w:rFonts w:hint="eastAsia"/>
                      <w:bCs/>
                      <w:color w:val="000000" w:themeColor="text1"/>
                      <w:kern w:val="0"/>
                      <w:sz w:val="18"/>
                      <w:szCs w:val="18"/>
                      <w14:textFill>
                        <w14:solidFill>
                          <w14:schemeClr w14:val="tx1"/>
                        </w14:solidFill>
                      </w14:textFill>
                    </w:rPr>
                    <w:t>0.22</w:t>
                  </w:r>
                </w:p>
              </w:tc>
              <w:tc>
                <w:tcPr>
                  <w:tcW w:w="677" w:type="dxa"/>
                  <w:vAlign w:val="center"/>
                </w:tcPr>
                <w:p>
                  <w:pPr>
                    <w:jc w:val="center"/>
                    <w:rPr>
                      <w:bCs/>
                      <w:kern w:val="0"/>
                      <w:szCs w:val="21"/>
                    </w:rPr>
                  </w:pPr>
                  <w:r>
                    <w:rPr>
                      <w:rFonts w:hint="eastAsia"/>
                      <w:bCs/>
                      <w:color w:val="000000" w:themeColor="text1"/>
                      <w:kern w:val="0"/>
                      <w:sz w:val="18"/>
                      <w:szCs w:val="18"/>
                      <w14:textFill>
                        <w14:solidFill>
                          <w14:schemeClr w14:val="tx1"/>
                        </w14:solidFill>
                      </w14:textFill>
                    </w:rPr>
                    <w:t>0.21</w:t>
                  </w:r>
                </w:p>
              </w:tc>
              <w:tc>
                <w:tcPr>
                  <w:tcW w:w="677" w:type="dxa"/>
                  <w:vAlign w:val="center"/>
                </w:tcPr>
                <w:p>
                  <w:pPr>
                    <w:jc w:val="center"/>
                    <w:rPr>
                      <w:bCs/>
                      <w:kern w:val="0"/>
                      <w:szCs w:val="21"/>
                    </w:rPr>
                  </w:pPr>
                  <w:r>
                    <w:rPr>
                      <w:rFonts w:hint="eastAsia"/>
                      <w:bCs/>
                      <w:color w:val="000000" w:themeColor="text1"/>
                      <w:kern w:val="0"/>
                      <w:sz w:val="18"/>
                      <w:szCs w:val="18"/>
                      <w14:textFill>
                        <w14:solidFill>
                          <w14:schemeClr w14:val="tx1"/>
                        </w14:solidFill>
                      </w14:textFill>
                    </w:rPr>
                    <w:t>0.16</w:t>
                  </w:r>
                </w:p>
              </w:tc>
              <w:tc>
                <w:tcPr>
                  <w:tcW w:w="789" w:type="dxa"/>
                  <w:vAlign w:val="center"/>
                </w:tcPr>
                <w:p>
                  <w:pPr>
                    <w:jc w:val="center"/>
                    <w:rPr>
                      <w:bCs/>
                      <w:kern w:val="0"/>
                      <w:szCs w:val="21"/>
                    </w:rPr>
                  </w:pPr>
                  <w:r>
                    <w:rPr>
                      <w:rFonts w:hint="eastAsia"/>
                      <w:bCs/>
                      <w:color w:val="000000" w:themeColor="text1"/>
                      <w:kern w:val="0"/>
                      <w:sz w:val="18"/>
                      <w:szCs w:val="18"/>
                      <w14:textFill>
                        <w14:solidFill>
                          <w14:schemeClr w14:val="tx1"/>
                        </w14:solidFill>
                      </w14:textFill>
                    </w:rPr>
                    <w:t>0.19</w:t>
                  </w:r>
                </w:p>
              </w:tc>
              <w:tc>
                <w:tcPr>
                  <w:tcW w:w="794" w:type="dxa"/>
                  <w:vAlign w:val="center"/>
                </w:tcPr>
                <w:p>
                  <w:pPr>
                    <w:jc w:val="center"/>
                    <w:rPr>
                      <w:bCs/>
                      <w:kern w:val="0"/>
                      <w:szCs w:val="21"/>
                    </w:rPr>
                  </w:pPr>
                  <w:r>
                    <w:rPr>
                      <w:rFonts w:hint="eastAsia"/>
                      <w:bCs/>
                      <w:color w:val="000000" w:themeColor="text1"/>
                      <w:kern w:val="0"/>
                      <w:sz w:val="18"/>
                      <w:szCs w:val="18"/>
                      <w14:textFill>
                        <w14:solidFill>
                          <w14:schemeClr w14:val="tx1"/>
                        </w14:solidFill>
                      </w14:textFill>
                    </w:rPr>
                    <w:t>0.17</w:t>
                  </w:r>
                </w:p>
              </w:tc>
              <w:tc>
                <w:tcPr>
                  <w:tcW w:w="789" w:type="dxa"/>
                  <w:vAlign w:val="center"/>
                </w:tcPr>
                <w:p>
                  <w:pPr>
                    <w:tabs>
                      <w:tab w:val="left" w:pos="735"/>
                    </w:tabs>
                    <w:snapToGrid w:val="0"/>
                    <w:jc w:val="center"/>
                    <w:rPr>
                      <w:szCs w:val="21"/>
                    </w:rPr>
                  </w:pPr>
                  <w:r>
                    <w:rPr>
                      <w:szCs w:val="21"/>
                    </w:rPr>
                    <w:t>≤1.0</w:t>
                  </w:r>
                </w:p>
              </w:tc>
              <w:tc>
                <w:tcPr>
                  <w:tcW w:w="790" w:type="dxa"/>
                  <w:vAlign w:val="center"/>
                </w:tcPr>
                <w:p>
                  <w:pPr>
                    <w:snapToGrid w:val="0"/>
                    <w:jc w:val="center"/>
                    <w:rPr>
                      <w:szCs w:val="21"/>
                    </w:rPr>
                  </w:pPr>
                  <w:r>
                    <w:rPr>
                      <w:szCs w:val="21"/>
                    </w:rPr>
                    <w:t>0.22</w:t>
                  </w:r>
                </w:p>
              </w:tc>
              <w:tc>
                <w:tcPr>
                  <w:tcW w:w="673" w:type="dxa"/>
                  <w:vAlign w:val="center"/>
                </w:tcPr>
                <w:p>
                  <w:pPr>
                    <w:tabs>
                      <w:tab w:val="left" w:pos="735"/>
                    </w:tabs>
                    <w:snapToGrid w:val="0"/>
                    <w:jc w:val="center"/>
                    <w:rPr>
                      <w:bCs/>
                      <w:szCs w:val="21"/>
                    </w:rPr>
                  </w:pPr>
                  <w:r>
                    <w:rPr>
                      <w:bCs/>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98" w:type="dxa"/>
                  <w:vMerge w:val="continue"/>
                  <w:vAlign w:val="center"/>
                </w:tcPr>
                <w:p>
                  <w:pPr>
                    <w:tabs>
                      <w:tab w:val="left" w:pos="735"/>
                    </w:tabs>
                    <w:snapToGrid w:val="0"/>
                    <w:jc w:val="center"/>
                    <w:rPr>
                      <w:b/>
                      <w:szCs w:val="21"/>
                    </w:rPr>
                  </w:pPr>
                </w:p>
              </w:tc>
              <w:tc>
                <w:tcPr>
                  <w:tcW w:w="853" w:type="dxa"/>
                  <w:vAlign w:val="center"/>
                </w:tcPr>
                <w:p>
                  <w:pPr>
                    <w:widowControl/>
                    <w:jc w:val="center"/>
                    <w:rPr>
                      <w:kern w:val="0"/>
                      <w:szCs w:val="21"/>
                    </w:rPr>
                  </w:pPr>
                  <w:r>
                    <w:rPr>
                      <w:kern w:val="0"/>
                      <w:szCs w:val="21"/>
                    </w:rPr>
                    <w:t>汞</w:t>
                  </w:r>
                </w:p>
              </w:tc>
              <w:tc>
                <w:tcPr>
                  <w:tcW w:w="740" w:type="dxa"/>
                  <w:vAlign w:val="center"/>
                </w:tcPr>
                <w:p>
                  <w:pPr>
                    <w:tabs>
                      <w:tab w:val="left" w:pos="735"/>
                    </w:tabs>
                    <w:snapToGrid w:val="0"/>
                    <w:jc w:val="center"/>
                    <w:rPr>
                      <w:bCs/>
                      <w:szCs w:val="21"/>
                    </w:rPr>
                  </w:pPr>
                  <w:r>
                    <w:rPr>
                      <w:szCs w:val="21"/>
                    </w:rPr>
                    <w:t>mg/L</w:t>
                  </w:r>
                </w:p>
              </w:tc>
              <w:tc>
                <w:tcPr>
                  <w:tcW w:w="726" w:type="dxa"/>
                  <w:vAlign w:val="center"/>
                </w:tcPr>
                <w:p>
                  <w:pPr>
                    <w:jc w:val="center"/>
                    <w:rPr>
                      <w:bCs/>
                      <w:kern w:val="0"/>
                      <w:szCs w:val="21"/>
                    </w:rPr>
                  </w:pPr>
                  <w:r>
                    <w:rPr>
                      <w:rFonts w:hint="eastAsia"/>
                      <w:bCs/>
                      <w:color w:val="000000" w:themeColor="text1"/>
                      <w:kern w:val="0"/>
                      <w:sz w:val="18"/>
                      <w:szCs w:val="18"/>
                      <w14:textFill>
                        <w14:solidFill>
                          <w14:schemeClr w14:val="tx1"/>
                        </w14:solidFill>
                      </w14:textFill>
                    </w:rPr>
                    <w:t>0.00004L</w:t>
                  </w:r>
                </w:p>
              </w:tc>
              <w:tc>
                <w:tcPr>
                  <w:tcW w:w="677" w:type="dxa"/>
                  <w:vAlign w:val="center"/>
                </w:tcPr>
                <w:p>
                  <w:pPr>
                    <w:jc w:val="center"/>
                    <w:rPr>
                      <w:bCs/>
                      <w:kern w:val="0"/>
                      <w:szCs w:val="21"/>
                    </w:rPr>
                  </w:pPr>
                  <w:r>
                    <w:rPr>
                      <w:rFonts w:hint="eastAsia"/>
                      <w:bCs/>
                      <w:color w:val="000000" w:themeColor="text1"/>
                      <w:kern w:val="0"/>
                      <w:sz w:val="18"/>
                      <w:szCs w:val="18"/>
                      <w14:textFill>
                        <w14:solidFill>
                          <w14:schemeClr w14:val="tx1"/>
                        </w14:solidFill>
                      </w14:textFill>
                    </w:rPr>
                    <w:t>0.00004L</w:t>
                  </w:r>
                </w:p>
              </w:tc>
              <w:tc>
                <w:tcPr>
                  <w:tcW w:w="677" w:type="dxa"/>
                  <w:vAlign w:val="center"/>
                </w:tcPr>
                <w:p>
                  <w:pPr>
                    <w:jc w:val="center"/>
                    <w:rPr>
                      <w:bCs/>
                      <w:kern w:val="0"/>
                      <w:szCs w:val="21"/>
                    </w:rPr>
                  </w:pPr>
                  <w:r>
                    <w:rPr>
                      <w:rFonts w:hint="eastAsia"/>
                      <w:bCs/>
                      <w:color w:val="000000" w:themeColor="text1"/>
                      <w:kern w:val="0"/>
                      <w:sz w:val="18"/>
                      <w:szCs w:val="18"/>
                      <w14:textFill>
                        <w14:solidFill>
                          <w14:schemeClr w14:val="tx1"/>
                        </w14:solidFill>
                      </w14:textFill>
                    </w:rPr>
                    <w:t>0.00004L</w:t>
                  </w:r>
                </w:p>
              </w:tc>
              <w:tc>
                <w:tcPr>
                  <w:tcW w:w="789" w:type="dxa"/>
                  <w:vAlign w:val="center"/>
                </w:tcPr>
                <w:p>
                  <w:pPr>
                    <w:jc w:val="center"/>
                    <w:rPr>
                      <w:bCs/>
                      <w:kern w:val="0"/>
                      <w:szCs w:val="21"/>
                    </w:rPr>
                  </w:pPr>
                  <w:r>
                    <w:rPr>
                      <w:rFonts w:hint="eastAsia"/>
                      <w:bCs/>
                      <w:color w:val="000000" w:themeColor="text1"/>
                      <w:kern w:val="0"/>
                      <w:sz w:val="18"/>
                      <w:szCs w:val="18"/>
                      <w14:textFill>
                        <w14:solidFill>
                          <w14:schemeClr w14:val="tx1"/>
                        </w14:solidFill>
                      </w14:textFill>
                    </w:rPr>
                    <w:t>0.00004L</w:t>
                  </w:r>
                </w:p>
              </w:tc>
              <w:tc>
                <w:tcPr>
                  <w:tcW w:w="794" w:type="dxa"/>
                  <w:vAlign w:val="center"/>
                </w:tcPr>
                <w:p>
                  <w:pPr>
                    <w:jc w:val="center"/>
                    <w:rPr>
                      <w:bCs/>
                      <w:kern w:val="0"/>
                      <w:szCs w:val="21"/>
                    </w:rPr>
                  </w:pPr>
                  <w:r>
                    <w:rPr>
                      <w:rFonts w:hint="eastAsia"/>
                      <w:bCs/>
                      <w:color w:val="000000" w:themeColor="text1"/>
                      <w:kern w:val="0"/>
                      <w:sz w:val="18"/>
                      <w:szCs w:val="18"/>
                      <w14:textFill>
                        <w14:solidFill>
                          <w14:schemeClr w14:val="tx1"/>
                        </w14:solidFill>
                      </w14:textFill>
                    </w:rPr>
                    <w:t>0.00004L</w:t>
                  </w:r>
                </w:p>
              </w:tc>
              <w:tc>
                <w:tcPr>
                  <w:tcW w:w="789" w:type="dxa"/>
                  <w:vAlign w:val="center"/>
                </w:tcPr>
                <w:p>
                  <w:pPr>
                    <w:tabs>
                      <w:tab w:val="left" w:pos="735"/>
                    </w:tabs>
                    <w:snapToGrid w:val="0"/>
                    <w:jc w:val="center"/>
                    <w:rPr>
                      <w:szCs w:val="21"/>
                    </w:rPr>
                  </w:pPr>
                  <w:r>
                    <w:rPr>
                      <w:szCs w:val="21"/>
                    </w:rPr>
                    <w:t>≤0.001</w:t>
                  </w:r>
                </w:p>
              </w:tc>
              <w:tc>
                <w:tcPr>
                  <w:tcW w:w="790" w:type="dxa"/>
                  <w:vAlign w:val="center"/>
                </w:tcPr>
                <w:p>
                  <w:pPr>
                    <w:snapToGrid w:val="0"/>
                    <w:jc w:val="center"/>
                    <w:rPr>
                      <w:szCs w:val="21"/>
                    </w:rPr>
                  </w:pPr>
                  <w:r>
                    <w:rPr>
                      <w:szCs w:val="21"/>
                    </w:rPr>
                    <w:t>/</w:t>
                  </w:r>
                </w:p>
              </w:tc>
              <w:tc>
                <w:tcPr>
                  <w:tcW w:w="673" w:type="dxa"/>
                  <w:vAlign w:val="center"/>
                </w:tcPr>
                <w:p>
                  <w:pPr>
                    <w:tabs>
                      <w:tab w:val="left" w:pos="735"/>
                    </w:tabs>
                    <w:snapToGrid w:val="0"/>
                    <w:jc w:val="center"/>
                    <w:rPr>
                      <w:bCs/>
                      <w:szCs w:val="21"/>
                    </w:rPr>
                  </w:pPr>
                  <w:r>
                    <w:rPr>
                      <w:bCs/>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98" w:type="dxa"/>
                  <w:vMerge w:val="continue"/>
                  <w:vAlign w:val="center"/>
                </w:tcPr>
                <w:p>
                  <w:pPr>
                    <w:tabs>
                      <w:tab w:val="left" w:pos="735"/>
                    </w:tabs>
                    <w:snapToGrid w:val="0"/>
                    <w:jc w:val="center"/>
                    <w:rPr>
                      <w:b/>
                      <w:szCs w:val="21"/>
                    </w:rPr>
                  </w:pPr>
                </w:p>
              </w:tc>
              <w:tc>
                <w:tcPr>
                  <w:tcW w:w="853" w:type="dxa"/>
                  <w:vAlign w:val="center"/>
                </w:tcPr>
                <w:p>
                  <w:pPr>
                    <w:widowControl/>
                    <w:jc w:val="center"/>
                    <w:rPr>
                      <w:kern w:val="0"/>
                      <w:szCs w:val="21"/>
                    </w:rPr>
                  </w:pPr>
                  <w:r>
                    <w:rPr>
                      <w:kern w:val="0"/>
                      <w:szCs w:val="21"/>
                    </w:rPr>
                    <w:t>砷</w:t>
                  </w:r>
                </w:p>
              </w:tc>
              <w:tc>
                <w:tcPr>
                  <w:tcW w:w="740" w:type="dxa"/>
                  <w:vAlign w:val="center"/>
                </w:tcPr>
                <w:p>
                  <w:pPr>
                    <w:tabs>
                      <w:tab w:val="left" w:pos="735"/>
                    </w:tabs>
                    <w:snapToGrid w:val="0"/>
                    <w:jc w:val="center"/>
                    <w:rPr>
                      <w:bCs/>
                      <w:szCs w:val="21"/>
                    </w:rPr>
                  </w:pPr>
                  <w:r>
                    <w:rPr>
                      <w:szCs w:val="21"/>
                    </w:rPr>
                    <w:t>mg/L</w:t>
                  </w:r>
                </w:p>
              </w:tc>
              <w:tc>
                <w:tcPr>
                  <w:tcW w:w="726" w:type="dxa"/>
                  <w:vAlign w:val="center"/>
                </w:tcPr>
                <w:p>
                  <w:pPr>
                    <w:jc w:val="center"/>
                    <w:rPr>
                      <w:bCs/>
                      <w:kern w:val="0"/>
                      <w:szCs w:val="21"/>
                    </w:rPr>
                  </w:pPr>
                  <w:r>
                    <w:rPr>
                      <w:rFonts w:hint="eastAsia"/>
                      <w:bCs/>
                      <w:color w:val="000000" w:themeColor="text1"/>
                      <w:kern w:val="0"/>
                      <w:sz w:val="18"/>
                      <w:szCs w:val="18"/>
                      <w14:textFill>
                        <w14:solidFill>
                          <w14:schemeClr w14:val="tx1"/>
                        </w14:solidFill>
                      </w14:textFill>
                    </w:rPr>
                    <w:t>0.0005</w:t>
                  </w:r>
                </w:p>
              </w:tc>
              <w:tc>
                <w:tcPr>
                  <w:tcW w:w="677" w:type="dxa"/>
                  <w:vAlign w:val="center"/>
                </w:tcPr>
                <w:p>
                  <w:pPr>
                    <w:jc w:val="center"/>
                    <w:rPr>
                      <w:bCs/>
                      <w:kern w:val="0"/>
                      <w:szCs w:val="21"/>
                    </w:rPr>
                  </w:pPr>
                  <w:r>
                    <w:rPr>
                      <w:rFonts w:hint="eastAsia"/>
                      <w:bCs/>
                      <w:color w:val="000000" w:themeColor="text1"/>
                      <w:kern w:val="0"/>
                      <w:sz w:val="18"/>
                      <w:szCs w:val="18"/>
                      <w14:textFill>
                        <w14:solidFill>
                          <w14:schemeClr w14:val="tx1"/>
                        </w14:solidFill>
                      </w14:textFill>
                    </w:rPr>
                    <w:t>0.0003L</w:t>
                  </w:r>
                </w:p>
              </w:tc>
              <w:tc>
                <w:tcPr>
                  <w:tcW w:w="677" w:type="dxa"/>
                  <w:vAlign w:val="center"/>
                </w:tcPr>
                <w:p>
                  <w:pPr>
                    <w:jc w:val="center"/>
                    <w:rPr>
                      <w:bCs/>
                      <w:kern w:val="0"/>
                      <w:szCs w:val="21"/>
                    </w:rPr>
                  </w:pPr>
                  <w:r>
                    <w:rPr>
                      <w:rFonts w:hint="eastAsia"/>
                      <w:bCs/>
                      <w:color w:val="000000" w:themeColor="text1"/>
                      <w:kern w:val="0"/>
                      <w:sz w:val="18"/>
                      <w:szCs w:val="18"/>
                      <w14:textFill>
                        <w14:solidFill>
                          <w14:schemeClr w14:val="tx1"/>
                        </w14:solidFill>
                      </w14:textFill>
                    </w:rPr>
                    <w:t>0.0003L</w:t>
                  </w:r>
                </w:p>
              </w:tc>
              <w:tc>
                <w:tcPr>
                  <w:tcW w:w="789" w:type="dxa"/>
                  <w:vAlign w:val="center"/>
                </w:tcPr>
                <w:p>
                  <w:pPr>
                    <w:jc w:val="center"/>
                    <w:rPr>
                      <w:bCs/>
                      <w:kern w:val="0"/>
                      <w:szCs w:val="21"/>
                    </w:rPr>
                  </w:pPr>
                  <w:r>
                    <w:rPr>
                      <w:rFonts w:hint="eastAsia"/>
                      <w:bCs/>
                      <w:color w:val="000000" w:themeColor="text1"/>
                      <w:kern w:val="0"/>
                      <w:sz w:val="18"/>
                      <w:szCs w:val="18"/>
                      <w14:textFill>
                        <w14:solidFill>
                          <w14:schemeClr w14:val="tx1"/>
                        </w14:solidFill>
                      </w14:textFill>
                    </w:rPr>
                    <w:t>0.0003L</w:t>
                  </w:r>
                </w:p>
              </w:tc>
              <w:tc>
                <w:tcPr>
                  <w:tcW w:w="794" w:type="dxa"/>
                  <w:vAlign w:val="center"/>
                </w:tcPr>
                <w:p>
                  <w:pPr>
                    <w:jc w:val="center"/>
                    <w:rPr>
                      <w:bCs/>
                      <w:kern w:val="0"/>
                      <w:szCs w:val="21"/>
                    </w:rPr>
                  </w:pPr>
                  <w:r>
                    <w:rPr>
                      <w:rFonts w:hint="eastAsia"/>
                      <w:bCs/>
                      <w:color w:val="000000" w:themeColor="text1"/>
                      <w:kern w:val="0"/>
                      <w:sz w:val="18"/>
                      <w:szCs w:val="18"/>
                      <w14:textFill>
                        <w14:solidFill>
                          <w14:schemeClr w14:val="tx1"/>
                        </w14:solidFill>
                      </w14:textFill>
                    </w:rPr>
                    <w:t>0.0003L</w:t>
                  </w:r>
                </w:p>
              </w:tc>
              <w:tc>
                <w:tcPr>
                  <w:tcW w:w="789" w:type="dxa"/>
                  <w:vAlign w:val="center"/>
                </w:tcPr>
                <w:p>
                  <w:pPr>
                    <w:tabs>
                      <w:tab w:val="left" w:pos="735"/>
                    </w:tabs>
                    <w:snapToGrid w:val="0"/>
                    <w:jc w:val="center"/>
                    <w:rPr>
                      <w:szCs w:val="21"/>
                    </w:rPr>
                  </w:pPr>
                  <w:r>
                    <w:rPr>
                      <w:szCs w:val="21"/>
                    </w:rPr>
                    <w:t>≤0.01</w:t>
                  </w:r>
                </w:p>
              </w:tc>
              <w:tc>
                <w:tcPr>
                  <w:tcW w:w="790" w:type="dxa"/>
                  <w:vAlign w:val="center"/>
                </w:tcPr>
                <w:p>
                  <w:pPr>
                    <w:snapToGrid w:val="0"/>
                    <w:jc w:val="center"/>
                    <w:rPr>
                      <w:szCs w:val="21"/>
                    </w:rPr>
                  </w:pPr>
                  <w:r>
                    <w:rPr>
                      <w:szCs w:val="21"/>
                    </w:rPr>
                    <w:t>/</w:t>
                  </w:r>
                </w:p>
              </w:tc>
              <w:tc>
                <w:tcPr>
                  <w:tcW w:w="673" w:type="dxa"/>
                  <w:vAlign w:val="center"/>
                </w:tcPr>
                <w:p>
                  <w:pPr>
                    <w:tabs>
                      <w:tab w:val="left" w:pos="735"/>
                    </w:tabs>
                    <w:snapToGrid w:val="0"/>
                    <w:jc w:val="center"/>
                    <w:rPr>
                      <w:bCs/>
                      <w:szCs w:val="21"/>
                    </w:rPr>
                  </w:pPr>
                  <w:r>
                    <w:rPr>
                      <w:bCs/>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98" w:type="dxa"/>
                  <w:vMerge w:val="continue"/>
                  <w:vAlign w:val="center"/>
                </w:tcPr>
                <w:p>
                  <w:pPr>
                    <w:tabs>
                      <w:tab w:val="left" w:pos="735"/>
                    </w:tabs>
                    <w:snapToGrid w:val="0"/>
                    <w:jc w:val="center"/>
                    <w:rPr>
                      <w:b/>
                      <w:szCs w:val="21"/>
                    </w:rPr>
                  </w:pPr>
                </w:p>
              </w:tc>
              <w:tc>
                <w:tcPr>
                  <w:tcW w:w="853" w:type="dxa"/>
                  <w:vAlign w:val="center"/>
                </w:tcPr>
                <w:p>
                  <w:pPr>
                    <w:widowControl/>
                    <w:jc w:val="center"/>
                    <w:rPr>
                      <w:kern w:val="0"/>
                      <w:szCs w:val="21"/>
                    </w:rPr>
                  </w:pPr>
                  <w:r>
                    <w:rPr>
                      <w:kern w:val="0"/>
                      <w:szCs w:val="21"/>
                    </w:rPr>
                    <w:t>镉</w:t>
                  </w:r>
                </w:p>
              </w:tc>
              <w:tc>
                <w:tcPr>
                  <w:tcW w:w="740" w:type="dxa"/>
                  <w:vAlign w:val="center"/>
                </w:tcPr>
                <w:p>
                  <w:pPr>
                    <w:tabs>
                      <w:tab w:val="left" w:pos="735"/>
                    </w:tabs>
                    <w:snapToGrid w:val="0"/>
                    <w:jc w:val="center"/>
                    <w:rPr>
                      <w:bCs/>
                      <w:szCs w:val="21"/>
                    </w:rPr>
                  </w:pPr>
                  <w:r>
                    <w:rPr>
                      <w:szCs w:val="21"/>
                    </w:rPr>
                    <w:t>mg/L</w:t>
                  </w:r>
                </w:p>
              </w:tc>
              <w:tc>
                <w:tcPr>
                  <w:tcW w:w="726" w:type="dxa"/>
                  <w:vAlign w:val="center"/>
                </w:tcPr>
                <w:p>
                  <w:pPr>
                    <w:jc w:val="center"/>
                    <w:rPr>
                      <w:bCs/>
                      <w:kern w:val="0"/>
                      <w:szCs w:val="21"/>
                    </w:rPr>
                  </w:pPr>
                  <w:r>
                    <w:rPr>
                      <w:rFonts w:hint="eastAsia"/>
                      <w:bCs/>
                      <w:color w:val="000000" w:themeColor="text1"/>
                      <w:kern w:val="0"/>
                      <w:sz w:val="18"/>
                      <w:szCs w:val="18"/>
                      <w14:textFill>
                        <w14:solidFill>
                          <w14:schemeClr w14:val="tx1"/>
                        </w14:solidFill>
                      </w14:textFill>
                    </w:rPr>
                    <w:t>0.0001L</w:t>
                  </w:r>
                </w:p>
              </w:tc>
              <w:tc>
                <w:tcPr>
                  <w:tcW w:w="677" w:type="dxa"/>
                  <w:vAlign w:val="center"/>
                </w:tcPr>
                <w:p>
                  <w:pPr>
                    <w:jc w:val="center"/>
                    <w:rPr>
                      <w:bCs/>
                      <w:kern w:val="0"/>
                      <w:szCs w:val="21"/>
                    </w:rPr>
                  </w:pPr>
                  <w:r>
                    <w:rPr>
                      <w:rFonts w:hint="eastAsia"/>
                      <w:bCs/>
                      <w:color w:val="000000" w:themeColor="text1"/>
                      <w:kern w:val="0"/>
                      <w:sz w:val="18"/>
                      <w:szCs w:val="18"/>
                      <w14:textFill>
                        <w14:solidFill>
                          <w14:schemeClr w14:val="tx1"/>
                        </w14:solidFill>
                      </w14:textFill>
                    </w:rPr>
                    <w:t>0.0001L</w:t>
                  </w:r>
                </w:p>
              </w:tc>
              <w:tc>
                <w:tcPr>
                  <w:tcW w:w="677" w:type="dxa"/>
                  <w:vAlign w:val="center"/>
                </w:tcPr>
                <w:p>
                  <w:pPr>
                    <w:jc w:val="center"/>
                    <w:rPr>
                      <w:bCs/>
                      <w:kern w:val="0"/>
                      <w:szCs w:val="21"/>
                    </w:rPr>
                  </w:pPr>
                  <w:r>
                    <w:rPr>
                      <w:rFonts w:hint="eastAsia"/>
                      <w:bCs/>
                      <w:color w:val="000000" w:themeColor="text1"/>
                      <w:kern w:val="0"/>
                      <w:sz w:val="18"/>
                      <w:szCs w:val="18"/>
                      <w14:textFill>
                        <w14:solidFill>
                          <w14:schemeClr w14:val="tx1"/>
                        </w14:solidFill>
                      </w14:textFill>
                    </w:rPr>
                    <w:t>0.0001L</w:t>
                  </w:r>
                </w:p>
              </w:tc>
              <w:tc>
                <w:tcPr>
                  <w:tcW w:w="789" w:type="dxa"/>
                  <w:vAlign w:val="center"/>
                </w:tcPr>
                <w:p>
                  <w:pPr>
                    <w:jc w:val="center"/>
                    <w:rPr>
                      <w:bCs/>
                      <w:kern w:val="0"/>
                      <w:szCs w:val="21"/>
                    </w:rPr>
                  </w:pPr>
                  <w:r>
                    <w:rPr>
                      <w:rFonts w:hint="eastAsia"/>
                      <w:bCs/>
                      <w:color w:val="000000" w:themeColor="text1"/>
                      <w:kern w:val="0"/>
                      <w:sz w:val="18"/>
                      <w:szCs w:val="18"/>
                      <w14:textFill>
                        <w14:solidFill>
                          <w14:schemeClr w14:val="tx1"/>
                        </w14:solidFill>
                      </w14:textFill>
                    </w:rPr>
                    <w:t>0.0001L</w:t>
                  </w:r>
                </w:p>
              </w:tc>
              <w:tc>
                <w:tcPr>
                  <w:tcW w:w="794" w:type="dxa"/>
                  <w:vAlign w:val="center"/>
                </w:tcPr>
                <w:p>
                  <w:pPr>
                    <w:jc w:val="center"/>
                    <w:rPr>
                      <w:bCs/>
                      <w:kern w:val="0"/>
                      <w:szCs w:val="21"/>
                    </w:rPr>
                  </w:pPr>
                  <w:r>
                    <w:rPr>
                      <w:rFonts w:hint="eastAsia"/>
                      <w:bCs/>
                      <w:color w:val="000000" w:themeColor="text1"/>
                      <w:kern w:val="0"/>
                      <w:sz w:val="18"/>
                      <w:szCs w:val="18"/>
                      <w14:textFill>
                        <w14:solidFill>
                          <w14:schemeClr w14:val="tx1"/>
                        </w14:solidFill>
                      </w14:textFill>
                    </w:rPr>
                    <w:t>0.0001L</w:t>
                  </w:r>
                </w:p>
              </w:tc>
              <w:tc>
                <w:tcPr>
                  <w:tcW w:w="789" w:type="dxa"/>
                  <w:vAlign w:val="center"/>
                </w:tcPr>
                <w:p>
                  <w:pPr>
                    <w:tabs>
                      <w:tab w:val="left" w:pos="735"/>
                    </w:tabs>
                    <w:snapToGrid w:val="0"/>
                    <w:jc w:val="center"/>
                    <w:rPr>
                      <w:szCs w:val="21"/>
                    </w:rPr>
                  </w:pPr>
                  <w:r>
                    <w:rPr>
                      <w:szCs w:val="21"/>
                    </w:rPr>
                    <w:t>≤0.005</w:t>
                  </w:r>
                </w:p>
              </w:tc>
              <w:tc>
                <w:tcPr>
                  <w:tcW w:w="790" w:type="dxa"/>
                  <w:vAlign w:val="center"/>
                </w:tcPr>
                <w:p>
                  <w:pPr>
                    <w:snapToGrid w:val="0"/>
                    <w:jc w:val="center"/>
                    <w:rPr>
                      <w:szCs w:val="21"/>
                    </w:rPr>
                  </w:pPr>
                  <w:r>
                    <w:rPr>
                      <w:szCs w:val="21"/>
                    </w:rPr>
                    <w:t>/</w:t>
                  </w:r>
                </w:p>
              </w:tc>
              <w:tc>
                <w:tcPr>
                  <w:tcW w:w="673" w:type="dxa"/>
                  <w:vAlign w:val="center"/>
                </w:tcPr>
                <w:p>
                  <w:pPr>
                    <w:tabs>
                      <w:tab w:val="left" w:pos="735"/>
                    </w:tabs>
                    <w:snapToGrid w:val="0"/>
                    <w:jc w:val="center"/>
                    <w:rPr>
                      <w:bCs/>
                      <w:szCs w:val="21"/>
                    </w:rPr>
                  </w:pPr>
                  <w:r>
                    <w:rPr>
                      <w:bCs/>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98" w:type="dxa"/>
                  <w:vMerge w:val="continue"/>
                  <w:vAlign w:val="center"/>
                </w:tcPr>
                <w:p>
                  <w:pPr>
                    <w:tabs>
                      <w:tab w:val="left" w:pos="735"/>
                    </w:tabs>
                    <w:snapToGrid w:val="0"/>
                    <w:jc w:val="center"/>
                    <w:rPr>
                      <w:b/>
                      <w:szCs w:val="21"/>
                    </w:rPr>
                  </w:pPr>
                </w:p>
              </w:tc>
              <w:tc>
                <w:tcPr>
                  <w:tcW w:w="853" w:type="dxa"/>
                  <w:vAlign w:val="center"/>
                </w:tcPr>
                <w:p>
                  <w:pPr>
                    <w:widowControl/>
                    <w:jc w:val="center"/>
                    <w:rPr>
                      <w:kern w:val="0"/>
                      <w:szCs w:val="21"/>
                    </w:rPr>
                  </w:pPr>
                  <w:r>
                    <w:rPr>
                      <w:kern w:val="0"/>
                      <w:szCs w:val="21"/>
                    </w:rPr>
                    <w:t>六价铬</w:t>
                  </w:r>
                </w:p>
              </w:tc>
              <w:tc>
                <w:tcPr>
                  <w:tcW w:w="740" w:type="dxa"/>
                  <w:vAlign w:val="center"/>
                </w:tcPr>
                <w:p>
                  <w:pPr>
                    <w:tabs>
                      <w:tab w:val="left" w:pos="735"/>
                    </w:tabs>
                    <w:snapToGrid w:val="0"/>
                    <w:jc w:val="center"/>
                    <w:rPr>
                      <w:b/>
                      <w:szCs w:val="21"/>
                    </w:rPr>
                  </w:pPr>
                  <w:r>
                    <w:rPr>
                      <w:bCs/>
                      <w:szCs w:val="21"/>
                    </w:rPr>
                    <w:t>mg/L</w:t>
                  </w:r>
                </w:p>
              </w:tc>
              <w:tc>
                <w:tcPr>
                  <w:tcW w:w="726" w:type="dxa"/>
                  <w:vAlign w:val="center"/>
                </w:tcPr>
                <w:p>
                  <w:pPr>
                    <w:jc w:val="center"/>
                    <w:rPr>
                      <w:bCs/>
                      <w:kern w:val="0"/>
                      <w:szCs w:val="21"/>
                    </w:rPr>
                  </w:pPr>
                  <w:r>
                    <w:rPr>
                      <w:rFonts w:hint="eastAsia"/>
                      <w:bCs/>
                      <w:color w:val="000000" w:themeColor="text1"/>
                      <w:kern w:val="0"/>
                      <w:sz w:val="18"/>
                      <w:szCs w:val="18"/>
                      <w14:textFill>
                        <w14:solidFill>
                          <w14:schemeClr w14:val="tx1"/>
                        </w14:solidFill>
                      </w14:textFill>
                    </w:rPr>
                    <w:t>0.004L</w:t>
                  </w:r>
                </w:p>
              </w:tc>
              <w:tc>
                <w:tcPr>
                  <w:tcW w:w="677" w:type="dxa"/>
                  <w:vAlign w:val="center"/>
                </w:tcPr>
                <w:p>
                  <w:pPr>
                    <w:jc w:val="center"/>
                    <w:rPr>
                      <w:bCs/>
                      <w:kern w:val="0"/>
                      <w:szCs w:val="21"/>
                    </w:rPr>
                  </w:pPr>
                  <w:r>
                    <w:rPr>
                      <w:rFonts w:hint="eastAsia"/>
                      <w:bCs/>
                      <w:color w:val="000000" w:themeColor="text1"/>
                      <w:kern w:val="0"/>
                      <w:sz w:val="18"/>
                      <w:szCs w:val="18"/>
                      <w14:textFill>
                        <w14:solidFill>
                          <w14:schemeClr w14:val="tx1"/>
                        </w14:solidFill>
                      </w14:textFill>
                    </w:rPr>
                    <w:t>0.004L</w:t>
                  </w:r>
                </w:p>
              </w:tc>
              <w:tc>
                <w:tcPr>
                  <w:tcW w:w="677" w:type="dxa"/>
                  <w:vAlign w:val="center"/>
                </w:tcPr>
                <w:p>
                  <w:pPr>
                    <w:jc w:val="center"/>
                    <w:rPr>
                      <w:bCs/>
                      <w:kern w:val="0"/>
                      <w:szCs w:val="21"/>
                    </w:rPr>
                  </w:pPr>
                  <w:r>
                    <w:rPr>
                      <w:rFonts w:hint="eastAsia"/>
                      <w:bCs/>
                      <w:color w:val="000000" w:themeColor="text1"/>
                      <w:kern w:val="0"/>
                      <w:sz w:val="18"/>
                      <w:szCs w:val="18"/>
                      <w14:textFill>
                        <w14:solidFill>
                          <w14:schemeClr w14:val="tx1"/>
                        </w14:solidFill>
                      </w14:textFill>
                    </w:rPr>
                    <w:t>0.004L</w:t>
                  </w:r>
                </w:p>
              </w:tc>
              <w:tc>
                <w:tcPr>
                  <w:tcW w:w="789" w:type="dxa"/>
                  <w:vAlign w:val="center"/>
                </w:tcPr>
                <w:p>
                  <w:pPr>
                    <w:jc w:val="center"/>
                    <w:rPr>
                      <w:bCs/>
                      <w:kern w:val="0"/>
                      <w:szCs w:val="21"/>
                    </w:rPr>
                  </w:pPr>
                  <w:r>
                    <w:rPr>
                      <w:rFonts w:hint="eastAsia"/>
                      <w:bCs/>
                      <w:color w:val="000000" w:themeColor="text1"/>
                      <w:kern w:val="0"/>
                      <w:sz w:val="18"/>
                      <w:szCs w:val="18"/>
                      <w14:textFill>
                        <w14:solidFill>
                          <w14:schemeClr w14:val="tx1"/>
                        </w14:solidFill>
                      </w14:textFill>
                    </w:rPr>
                    <w:t>0.004L</w:t>
                  </w:r>
                </w:p>
              </w:tc>
              <w:tc>
                <w:tcPr>
                  <w:tcW w:w="794" w:type="dxa"/>
                  <w:vAlign w:val="center"/>
                </w:tcPr>
                <w:p>
                  <w:pPr>
                    <w:jc w:val="center"/>
                    <w:rPr>
                      <w:bCs/>
                      <w:kern w:val="0"/>
                      <w:szCs w:val="21"/>
                    </w:rPr>
                  </w:pPr>
                  <w:r>
                    <w:rPr>
                      <w:rFonts w:hint="eastAsia"/>
                      <w:bCs/>
                      <w:color w:val="000000" w:themeColor="text1"/>
                      <w:kern w:val="0"/>
                      <w:sz w:val="18"/>
                      <w:szCs w:val="18"/>
                      <w14:textFill>
                        <w14:solidFill>
                          <w14:schemeClr w14:val="tx1"/>
                        </w14:solidFill>
                      </w14:textFill>
                    </w:rPr>
                    <w:t>0.004L</w:t>
                  </w:r>
                </w:p>
              </w:tc>
              <w:tc>
                <w:tcPr>
                  <w:tcW w:w="789" w:type="dxa"/>
                  <w:vAlign w:val="center"/>
                </w:tcPr>
                <w:p>
                  <w:pPr>
                    <w:tabs>
                      <w:tab w:val="left" w:pos="735"/>
                    </w:tabs>
                    <w:snapToGrid w:val="0"/>
                    <w:jc w:val="center"/>
                    <w:rPr>
                      <w:bCs/>
                      <w:szCs w:val="21"/>
                    </w:rPr>
                  </w:pPr>
                  <w:r>
                    <w:rPr>
                      <w:szCs w:val="21"/>
                    </w:rPr>
                    <w:t>≤0.05</w:t>
                  </w:r>
                </w:p>
              </w:tc>
              <w:tc>
                <w:tcPr>
                  <w:tcW w:w="790" w:type="dxa"/>
                  <w:vAlign w:val="center"/>
                </w:tcPr>
                <w:p>
                  <w:pPr>
                    <w:snapToGrid w:val="0"/>
                    <w:jc w:val="center"/>
                    <w:rPr>
                      <w:szCs w:val="21"/>
                    </w:rPr>
                  </w:pPr>
                  <w:r>
                    <w:rPr>
                      <w:szCs w:val="21"/>
                    </w:rPr>
                    <w:t>/</w:t>
                  </w:r>
                </w:p>
              </w:tc>
              <w:tc>
                <w:tcPr>
                  <w:tcW w:w="673" w:type="dxa"/>
                  <w:vAlign w:val="center"/>
                </w:tcPr>
                <w:p>
                  <w:pPr>
                    <w:tabs>
                      <w:tab w:val="left" w:pos="735"/>
                    </w:tabs>
                    <w:snapToGrid w:val="0"/>
                    <w:jc w:val="center"/>
                    <w:rPr>
                      <w:bCs/>
                      <w:szCs w:val="21"/>
                    </w:rPr>
                  </w:pPr>
                  <w:r>
                    <w:rPr>
                      <w:bCs/>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98" w:type="dxa"/>
                  <w:vMerge w:val="continue"/>
                  <w:vAlign w:val="center"/>
                </w:tcPr>
                <w:p>
                  <w:pPr>
                    <w:tabs>
                      <w:tab w:val="left" w:pos="735"/>
                    </w:tabs>
                    <w:snapToGrid w:val="0"/>
                    <w:jc w:val="center"/>
                    <w:rPr>
                      <w:b/>
                      <w:szCs w:val="21"/>
                    </w:rPr>
                  </w:pPr>
                </w:p>
              </w:tc>
              <w:tc>
                <w:tcPr>
                  <w:tcW w:w="853" w:type="dxa"/>
                  <w:vAlign w:val="center"/>
                </w:tcPr>
                <w:p>
                  <w:pPr>
                    <w:jc w:val="center"/>
                    <w:rPr>
                      <w:kern w:val="0"/>
                      <w:szCs w:val="21"/>
                    </w:rPr>
                  </w:pPr>
                  <w:r>
                    <w:rPr>
                      <w:kern w:val="0"/>
                      <w:szCs w:val="21"/>
                    </w:rPr>
                    <w:t>铅</w:t>
                  </w:r>
                </w:p>
              </w:tc>
              <w:tc>
                <w:tcPr>
                  <w:tcW w:w="740" w:type="dxa"/>
                  <w:vAlign w:val="center"/>
                </w:tcPr>
                <w:p>
                  <w:pPr>
                    <w:snapToGrid w:val="0"/>
                    <w:jc w:val="center"/>
                    <w:rPr>
                      <w:szCs w:val="21"/>
                    </w:rPr>
                  </w:pPr>
                  <w:r>
                    <w:rPr>
                      <w:bCs/>
                      <w:szCs w:val="21"/>
                    </w:rPr>
                    <w:t>mg/L</w:t>
                  </w:r>
                </w:p>
              </w:tc>
              <w:tc>
                <w:tcPr>
                  <w:tcW w:w="726" w:type="dxa"/>
                  <w:vAlign w:val="center"/>
                </w:tcPr>
                <w:p>
                  <w:pPr>
                    <w:jc w:val="center"/>
                    <w:rPr>
                      <w:bCs/>
                      <w:kern w:val="0"/>
                      <w:szCs w:val="21"/>
                    </w:rPr>
                  </w:pPr>
                  <w:r>
                    <w:rPr>
                      <w:rFonts w:hint="eastAsia"/>
                      <w:bCs/>
                      <w:color w:val="000000" w:themeColor="text1"/>
                      <w:kern w:val="0"/>
                      <w:sz w:val="18"/>
                      <w:szCs w:val="18"/>
                      <w14:textFill>
                        <w14:solidFill>
                          <w14:schemeClr w14:val="tx1"/>
                        </w14:solidFill>
                      </w14:textFill>
                    </w:rPr>
                    <w:t>0.001L</w:t>
                  </w:r>
                </w:p>
              </w:tc>
              <w:tc>
                <w:tcPr>
                  <w:tcW w:w="677" w:type="dxa"/>
                  <w:vAlign w:val="center"/>
                </w:tcPr>
                <w:p>
                  <w:pPr>
                    <w:jc w:val="center"/>
                    <w:rPr>
                      <w:bCs/>
                      <w:kern w:val="0"/>
                      <w:szCs w:val="21"/>
                    </w:rPr>
                  </w:pPr>
                  <w:r>
                    <w:rPr>
                      <w:rFonts w:hint="eastAsia"/>
                      <w:bCs/>
                      <w:color w:val="000000" w:themeColor="text1"/>
                      <w:kern w:val="0"/>
                      <w:sz w:val="18"/>
                      <w:szCs w:val="18"/>
                      <w14:textFill>
                        <w14:solidFill>
                          <w14:schemeClr w14:val="tx1"/>
                        </w14:solidFill>
                      </w14:textFill>
                    </w:rPr>
                    <w:t>0.001L</w:t>
                  </w:r>
                </w:p>
              </w:tc>
              <w:tc>
                <w:tcPr>
                  <w:tcW w:w="677" w:type="dxa"/>
                  <w:vAlign w:val="center"/>
                </w:tcPr>
                <w:p>
                  <w:pPr>
                    <w:jc w:val="center"/>
                    <w:rPr>
                      <w:bCs/>
                      <w:kern w:val="0"/>
                      <w:szCs w:val="21"/>
                    </w:rPr>
                  </w:pPr>
                  <w:r>
                    <w:rPr>
                      <w:rFonts w:hint="eastAsia"/>
                      <w:bCs/>
                      <w:color w:val="000000" w:themeColor="text1"/>
                      <w:kern w:val="0"/>
                      <w:sz w:val="18"/>
                      <w:szCs w:val="18"/>
                      <w14:textFill>
                        <w14:solidFill>
                          <w14:schemeClr w14:val="tx1"/>
                        </w14:solidFill>
                      </w14:textFill>
                    </w:rPr>
                    <w:t>0.001L</w:t>
                  </w:r>
                </w:p>
              </w:tc>
              <w:tc>
                <w:tcPr>
                  <w:tcW w:w="789" w:type="dxa"/>
                  <w:vAlign w:val="center"/>
                </w:tcPr>
                <w:p>
                  <w:pPr>
                    <w:jc w:val="center"/>
                    <w:rPr>
                      <w:bCs/>
                      <w:kern w:val="0"/>
                      <w:szCs w:val="21"/>
                    </w:rPr>
                  </w:pPr>
                  <w:r>
                    <w:rPr>
                      <w:rFonts w:hint="eastAsia"/>
                      <w:bCs/>
                      <w:color w:val="000000" w:themeColor="text1"/>
                      <w:kern w:val="0"/>
                      <w:sz w:val="18"/>
                      <w:szCs w:val="18"/>
                      <w14:textFill>
                        <w14:solidFill>
                          <w14:schemeClr w14:val="tx1"/>
                        </w14:solidFill>
                      </w14:textFill>
                    </w:rPr>
                    <w:t>0.001L</w:t>
                  </w:r>
                </w:p>
              </w:tc>
              <w:tc>
                <w:tcPr>
                  <w:tcW w:w="794" w:type="dxa"/>
                  <w:vAlign w:val="center"/>
                </w:tcPr>
                <w:p>
                  <w:pPr>
                    <w:jc w:val="center"/>
                    <w:rPr>
                      <w:bCs/>
                      <w:kern w:val="0"/>
                      <w:szCs w:val="21"/>
                    </w:rPr>
                  </w:pPr>
                  <w:r>
                    <w:rPr>
                      <w:rFonts w:hint="eastAsia"/>
                      <w:bCs/>
                      <w:color w:val="000000" w:themeColor="text1"/>
                      <w:kern w:val="0"/>
                      <w:sz w:val="18"/>
                      <w:szCs w:val="18"/>
                      <w14:textFill>
                        <w14:solidFill>
                          <w14:schemeClr w14:val="tx1"/>
                        </w14:solidFill>
                      </w14:textFill>
                    </w:rPr>
                    <w:t>0.001L</w:t>
                  </w:r>
                </w:p>
              </w:tc>
              <w:tc>
                <w:tcPr>
                  <w:tcW w:w="789" w:type="dxa"/>
                  <w:vAlign w:val="center"/>
                </w:tcPr>
                <w:p>
                  <w:pPr>
                    <w:tabs>
                      <w:tab w:val="left" w:pos="735"/>
                    </w:tabs>
                    <w:snapToGrid w:val="0"/>
                    <w:jc w:val="center"/>
                    <w:rPr>
                      <w:bCs/>
                      <w:szCs w:val="21"/>
                    </w:rPr>
                  </w:pPr>
                  <w:r>
                    <w:rPr>
                      <w:szCs w:val="21"/>
                    </w:rPr>
                    <w:t>≤0.3</w:t>
                  </w:r>
                </w:p>
              </w:tc>
              <w:tc>
                <w:tcPr>
                  <w:tcW w:w="790" w:type="dxa"/>
                  <w:vAlign w:val="center"/>
                </w:tcPr>
                <w:p>
                  <w:pPr>
                    <w:snapToGrid w:val="0"/>
                    <w:jc w:val="center"/>
                    <w:rPr>
                      <w:szCs w:val="21"/>
                    </w:rPr>
                  </w:pPr>
                  <w:r>
                    <w:rPr>
                      <w:szCs w:val="21"/>
                    </w:rPr>
                    <w:t>/</w:t>
                  </w:r>
                </w:p>
              </w:tc>
              <w:tc>
                <w:tcPr>
                  <w:tcW w:w="673" w:type="dxa"/>
                  <w:vAlign w:val="center"/>
                </w:tcPr>
                <w:p>
                  <w:pPr>
                    <w:snapToGrid w:val="0"/>
                    <w:jc w:val="center"/>
                    <w:rPr>
                      <w:bCs/>
                      <w:szCs w:val="21"/>
                    </w:rPr>
                  </w:pPr>
                  <w:r>
                    <w:rPr>
                      <w:bCs/>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98" w:type="dxa"/>
                  <w:vMerge w:val="continue"/>
                  <w:vAlign w:val="center"/>
                </w:tcPr>
                <w:p>
                  <w:pPr>
                    <w:tabs>
                      <w:tab w:val="left" w:pos="735"/>
                    </w:tabs>
                    <w:snapToGrid w:val="0"/>
                    <w:jc w:val="center"/>
                    <w:rPr>
                      <w:b/>
                      <w:szCs w:val="21"/>
                    </w:rPr>
                  </w:pPr>
                </w:p>
              </w:tc>
              <w:tc>
                <w:tcPr>
                  <w:tcW w:w="853" w:type="dxa"/>
                  <w:vAlign w:val="center"/>
                </w:tcPr>
                <w:p>
                  <w:pPr>
                    <w:jc w:val="center"/>
                    <w:rPr>
                      <w:kern w:val="0"/>
                      <w:szCs w:val="21"/>
                    </w:rPr>
                  </w:pPr>
                  <w:r>
                    <w:rPr>
                      <w:bCs/>
                      <w:szCs w:val="21"/>
                    </w:rPr>
                    <w:t>石油类</w:t>
                  </w:r>
                </w:p>
              </w:tc>
              <w:tc>
                <w:tcPr>
                  <w:tcW w:w="740" w:type="dxa"/>
                  <w:vAlign w:val="center"/>
                </w:tcPr>
                <w:p>
                  <w:pPr>
                    <w:tabs>
                      <w:tab w:val="left" w:pos="735"/>
                    </w:tabs>
                    <w:snapToGrid w:val="0"/>
                    <w:jc w:val="center"/>
                    <w:rPr>
                      <w:b/>
                      <w:szCs w:val="21"/>
                    </w:rPr>
                  </w:pPr>
                  <w:r>
                    <w:rPr>
                      <w:bCs/>
                      <w:szCs w:val="21"/>
                    </w:rPr>
                    <w:t>mg/L</w:t>
                  </w:r>
                </w:p>
              </w:tc>
              <w:tc>
                <w:tcPr>
                  <w:tcW w:w="726" w:type="dxa"/>
                  <w:vAlign w:val="center"/>
                </w:tcPr>
                <w:p>
                  <w:pPr>
                    <w:jc w:val="center"/>
                    <w:rPr>
                      <w:bCs/>
                      <w:kern w:val="0"/>
                      <w:szCs w:val="21"/>
                    </w:rPr>
                  </w:pPr>
                  <w:r>
                    <w:rPr>
                      <w:bCs/>
                      <w:kern w:val="0"/>
                      <w:szCs w:val="21"/>
                    </w:rPr>
                    <w:t>0.01L</w:t>
                  </w:r>
                </w:p>
              </w:tc>
              <w:tc>
                <w:tcPr>
                  <w:tcW w:w="677" w:type="dxa"/>
                  <w:vAlign w:val="center"/>
                </w:tcPr>
                <w:p>
                  <w:pPr>
                    <w:jc w:val="center"/>
                    <w:rPr>
                      <w:bCs/>
                      <w:kern w:val="0"/>
                      <w:szCs w:val="21"/>
                    </w:rPr>
                  </w:pPr>
                  <w:r>
                    <w:rPr>
                      <w:bCs/>
                      <w:kern w:val="0"/>
                      <w:szCs w:val="21"/>
                    </w:rPr>
                    <w:t>0.01L</w:t>
                  </w:r>
                </w:p>
              </w:tc>
              <w:tc>
                <w:tcPr>
                  <w:tcW w:w="677" w:type="dxa"/>
                  <w:vAlign w:val="center"/>
                </w:tcPr>
                <w:p>
                  <w:pPr>
                    <w:jc w:val="center"/>
                    <w:rPr>
                      <w:bCs/>
                      <w:kern w:val="0"/>
                      <w:szCs w:val="21"/>
                    </w:rPr>
                  </w:pPr>
                  <w:r>
                    <w:rPr>
                      <w:bCs/>
                      <w:kern w:val="0"/>
                      <w:szCs w:val="21"/>
                    </w:rPr>
                    <w:t>0.01L</w:t>
                  </w:r>
                </w:p>
              </w:tc>
              <w:tc>
                <w:tcPr>
                  <w:tcW w:w="789" w:type="dxa"/>
                  <w:vAlign w:val="center"/>
                </w:tcPr>
                <w:p>
                  <w:pPr>
                    <w:jc w:val="center"/>
                    <w:rPr>
                      <w:bCs/>
                      <w:kern w:val="0"/>
                      <w:szCs w:val="21"/>
                    </w:rPr>
                  </w:pPr>
                  <w:r>
                    <w:rPr>
                      <w:bCs/>
                      <w:kern w:val="0"/>
                      <w:szCs w:val="21"/>
                    </w:rPr>
                    <w:t>0.01L</w:t>
                  </w:r>
                </w:p>
              </w:tc>
              <w:tc>
                <w:tcPr>
                  <w:tcW w:w="794" w:type="dxa"/>
                  <w:vAlign w:val="center"/>
                </w:tcPr>
                <w:p>
                  <w:pPr>
                    <w:jc w:val="center"/>
                    <w:rPr>
                      <w:bCs/>
                      <w:kern w:val="0"/>
                      <w:szCs w:val="21"/>
                    </w:rPr>
                  </w:pPr>
                  <w:r>
                    <w:rPr>
                      <w:bCs/>
                      <w:kern w:val="0"/>
                      <w:szCs w:val="21"/>
                    </w:rPr>
                    <w:t>0.01L</w:t>
                  </w:r>
                </w:p>
              </w:tc>
              <w:tc>
                <w:tcPr>
                  <w:tcW w:w="789" w:type="dxa"/>
                  <w:vAlign w:val="center"/>
                </w:tcPr>
                <w:p>
                  <w:pPr>
                    <w:tabs>
                      <w:tab w:val="left" w:pos="735"/>
                    </w:tabs>
                    <w:snapToGrid w:val="0"/>
                    <w:jc w:val="center"/>
                    <w:rPr>
                      <w:bCs/>
                      <w:szCs w:val="21"/>
                    </w:rPr>
                  </w:pPr>
                  <w:r>
                    <w:rPr>
                      <w:szCs w:val="21"/>
                    </w:rPr>
                    <w:t>≤0.05</w:t>
                  </w:r>
                </w:p>
              </w:tc>
              <w:tc>
                <w:tcPr>
                  <w:tcW w:w="790" w:type="dxa"/>
                  <w:vAlign w:val="center"/>
                </w:tcPr>
                <w:p>
                  <w:pPr>
                    <w:snapToGrid w:val="0"/>
                    <w:jc w:val="center"/>
                    <w:rPr>
                      <w:szCs w:val="21"/>
                    </w:rPr>
                  </w:pPr>
                  <w:r>
                    <w:rPr>
                      <w:szCs w:val="21"/>
                    </w:rPr>
                    <w:t>/</w:t>
                  </w:r>
                </w:p>
              </w:tc>
              <w:tc>
                <w:tcPr>
                  <w:tcW w:w="673" w:type="dxa"/>
                  <w:vAlign w:val="center"/>
                </w:tcPr>
                <w:p>
                  <w:pPr>
                    <w:tabs>
                      <w:tab w:val="left" w:pos="735"/>
                    </w:tabs>
                    <w:snapToGrid w:val="0"/>
                    <w:jc w:val="center"/>
                    <w:rPr>
                      <w:bCs/>
                      <w:szCs w:val="21"/>
                    </w:rPr>
                  </w:pPr>
                  <w:r>
                    <w:rPr>
                      <w:bCs/>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98" w:type="dxa"/>
                  <w:vMerge w:val="continue"/>
                  <w:vAlign w:val="center"/>
                </w:tcPr>
                <w:p>
                  <w:pPr>
                    <w:tabs>
                      <w:tab w:val="left" w:pos="735"/>
                    </w:tabs>
                    <w:snapToGrid w:val="0"/>
                    <w:jc w:val="center"/>
                    <w:rPr>
                      <w:b/>
                      <w:szCs w:val="21"/>
                    </w:rPr>
                  </w:pPr>
                </w:p>
              </w:tc>
              <w:tc>
                <w:tcPr>
                  <w:tcW w:w="853" w:type="dxa"/>
                  <w:vAlign w:val="center"/>
                </w:tcPr>
                <w:p>
                  <w:pPr>
                    <w:jc w:val="center"/>
                    <w:rPr>
                      <w:bCs/>
                      <w:szCs w:val="21"/>
                    </w:rPr>
                  </w:pPr>
                  <w:r>
                    <w:rPr>
                      <w:szCs w:val="21"/>
                    </w:rPr>
                    <w:t>CO</w:t>
                  </w:r>
                  <w:r>
                    <w:rPr>
                      <w:szCs w:val="21"/>
                      <w:vertAlign w:val="subscript"/>
                    </w:rPr>
                    <w:t>3</w:t>
                  </w:r>
                  <w:r>
                    <w:rPr>
                      <w:szCs w:val="21"/>
                      <w:vertAlign w:val="superscript"/>
                    </w:rPr>
                    <w:t>2-</w:t>
                  </w:r>
                </w:p>
              </w:tc>
              <w:tc>
                <w:tcPr>
                  <w:tcW w:w="740" w:type="dxa"/>
                  <w:vAlign w:val="center"/>
                </w:tcPr>
                <w:p>
                  <w:pPr>
                    <w:tabs>
                      <w:tab w:val="left" w:pos="735"/>
                    </w:tabs>
                    <w:snapToGrid w:val="0"/>
                    <w:jc w:val="center"/>
                    <w:rPr>
                      <w:bCs/>
                      <w:szCs w:val="21"/>
                    </w:rPr>
                  </w:pPr>
                  <w:r>
                    <w:rPr>
                      <w:bCs/>
                      <w:szCs w:val="21"/>
                    </w:rPr>
                    <w:t>mg/L</w:t>
                  </w:r>
                </w:p>
              </w:tc>
              <w:tc>
                <w:tcPr>
                  <w:tcW w:w="726" w:type="dxa"/>
                  <w:vAlign w:val="center"/>
                </w:tcPr>
                <w:p>
                  <w:pPr>
                    <w:jc w:val="center"/>
                    <w:rPr>
                      <w:bCs/>
                      <w:kern w:val="0"/>
                      <w:szCs w:val="21"/>
                    </w:rPr>
                  </w:pPr>
                  <w:r>
                    <w:rPr>
                      <w:rFonts w:hint="eastAsia"/>
                      <w:kern w:val="0"/>
                      <w:sz w:val="18"/>
                      <w:szCs w:val="18"/>
                    </w:rPr>
                    <w:t>5L</w:t>
                  </w:r>
                </w:p>
              </w:tc>
              <w:tc>
                <w:tcPr>
                  <w:tcW w:w="677" w:type="dxa"/>
                  <w:vAlign w:val="center"/>
                </w:tcPr>
                <w:p>
                  <w:pPr>
                    <w:jc w:val="center"/>
                    <w:rPr>
                      <w:bCs/>
                      <w:kern w:val="0"/>
                      <w:szCs w:val="21"/>
                    </w:rPr>
                  </w:pPr>
                  <w:r>
                    <w:rPr>
                      <w:rFonts w:hint="eastAsia"/>
                      <w:kern w:val="0"/>
                      <w:sz w:val="18"/>
                      <w:szCs w:val="18"/>
                    </w:rPr>
                    <w:t>5L</w:t>
                  </w:r>
                </w:p>
              </w:tc>
              <w:tc>
                <w:tcPr>
                  <w:tcW w:w="677" w:type="dxa"/>
                  <w:vAlign w:val="center"/>
                </w:tcPr>
                <w:p>
                  <w:pPr>
                    <w:jc w:val="center"/>
                    <w:rPr>
                      <w:bCs/>
                      <w:kern w:val="0"/>
                      <w:szCs w:val="21"/>
                    </w:rPr>
                  </w:pPr>
                  <w:r>
                    <w:rPr>
                      <w:rFonts w:hint="eastAsia"/>
                      <w:kern w:val="0"/>
                      <w:sz w:val="18"/>
                      <w:szCs w:val="18"/>
                    </w:rPr>
                    <w:t>5L</w:t>
                  </w:r>
                </w:p>
              </w:tc>
              <w:tc>
                <w:tcPr>
                  <w:tcW w:w="789" w:type="dxa"/>
                  <w:vAlign w:val="center"/>
                </w:tcPr>
                <w:p>
                  <w:pPr>
                    <w:jc w:val="center"/>
                    <w:rPr>
                      <w:bCs/>
                      <w:kern w:val="0"/>
                      <w:szCs w:val="21"/>
                    </w:rPr>
                  </w:pPr>
                  <w:r>
                    <w:rPr>
                      <w:rFonts w:hint="eastAsia"/>
                      <w:kern w:val="0"/>
                      <w:sz w:val="18"/>
                      <w:szCs w:val="18"/>
                    </w:rPr>
                    <w:t>5L</w:t>
                  </w:r>
                </w:p>
              </w:tc>
              <w:tc>
                <w:tcPr>
                  <w:tcW w:w="794" w:type="dxa"/>
                  <w:vAlign w:val="center"/>
                </w:tcPr>
                <w:p>
                  <w:pPr>
                    <w:jc w:val="center"/>
                    <w:rPr>
                      <w:bCs/>
                      <w:kern w:val="0"/>
                      <w:szCs w:val="21"/>
                    </w:rPr>
                  </w:pPr>
                  <w:r>
                    <w:rPr>
                      <w:rFonts w:hint="eastAsia"/>
                      <w:kern w:val="0"/>
                      <w:sz w:val="18"/>
                      <w:szCs w:val="18"/>
                    </w:rPr>
                    <w:t>5L</w:t>
                  </w:r>
                </w:p>
              </w:tc>
              <w:tc>
                <w:tcPr>
                  <w:tcW w:w="789" w:type="dxa"/>
                  <w:vAlign w:val="center"/>
                </w:tcPr>
                <w:p>
                  <w:pPr>
                    <w:tabs>
                      <w:tab w:val="left" w:pos="735"/>
                    </w:tabs>
                    <w:snapToGrid w:val="0"/>
                    <w:jc w:val="center"/>
                    <w:rPr>
                      <w:szCs w:val="21"/>
                    </w:rPr>
                  </w:pPr>
                  <w:r>
                    <w:rPr>
                      <w:szCs w:val="21"/>
                    </w:rPr>
                    <w:t>/</w:t>
                  </w:r>
                </w:p>
              </w:tc>
              <w:tc>
                <w:tcPr>
                  <w:tcW w:w="790" w:type="dxa"/>
                  <w:vAlign w:val="center"/>
                </w:tcPr>
                <w:p>
                  <w:pPr>
                    <w:snapToGrid w:val="0"/>
                    <w:jc w:val="center"/>
                    <w:rPr>
                      <w:szCs w:val="21"/>
                    </w:rPr>
                  </w:pPr>
                  <w:r>
                    <w:rPr>
                      <w:szCs w:val="21"/>
                    </w:rPr>
                    <w:t>/</w:t>
                  </w:r>
                </w:p>
              </w:tc>
              <w:tc>
                <w:tcPr>
                  <w:tcW w:w="673" w:type="dxa"/>
                  <w:vAlign w:val="center"/>
                </w:tcPr>
                <w:p>
                  <w:pPr>
                    <w:tabs>
                      <w:tab w:val="left" w:pos="735"/>
                    </w:tabs>
                    <w:snapToGrid w:val="0"/>
                    <w:jc w:val="center"/>
                    <w:rPr>
                      <w:bCs/>
                      <w:szCs w:val="21"/>
                    </w:rPr>
                  </w:pPr>
                  <w:r>
                    <w:rPr>
                      <w:bC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98" w:type="dxa"/>
                  <w:vMerge w:val="continue"/>
                  <w:vAlign w:val="center"/>
                </w:tcPr>
                <w:p>
                  <w:pPr>
                    <w:tabs>
                      <w:tab w:val="left" w:pos="735"/>
                    </w:tabs>
                    <w:snapToGrid w:val="0"/>
                    <w:jc w:val="center"/>
                    <w:rPr>
                      <w:b/>
                      <w:szCs w:val="21"/>
                    </w:rPr>
                  </w:pPr>
                </w:p>
              </w:tc>
              <w:tc>
                <w:tcPr>
                  <w:tcW w:w="853" w:type="dxa"/>
                  <w:vAlign w:val="center"/>
                </w:tcPr>
                <w:p>
                  <w:pPr>
                    <w:jc w:val="center"/>
                    <w:rPr>
                      <w:bCs/>
                      <w:szCs w:val="21"/>
                    </w:rPr>
                  </w:pPr>
                  <w:r>
                    <w:rPr>
                      <w:szCs w:val="21"/>
                    </w:rPr>
                    <w:t>HCO</w:t>
                  </w:r>
                  <w:r>
                    <w:rPr>
                      <w:szCs w:val="21"/>
                      <w:vertAlign w:val="subscript"/>
                    </w:rPr>
                    <w:t>3</w:t>
                  </w:r>
                  <w:r>
                    <w:rPr>
                      <w:szCs w:val="21"/>
                      <w:vertAlign w:val="superscript"/>
                    </w:rPr>
                    <w:t>-</w:t>
                  </w:r>
                </w:p>
              </w:tc>
              <w:tc>
                <w:tcPr>
                  <w:tcW w:w="740" w:type="dxa"/>
                  <w:vAlign w:val="center"/>
                </w:tcPr>
                <w:p>
                  <w:pPr>
                    <w:tabs>
                      <w:tab w:val="left" w:pos="735"/>
                    </w:tabs>
                    <w:snapToGrid w:val="0"/>
                    <w:jc w:val="center"/>
                    <w:rPr>
                      <w:bCs/>
                      <w:szCs w:val="21"/>
                    </w:rPr>
                  </w:pPr>
                  <w:r>
                    <w:rPr>
                      <w:bCs/>
                      <w:szCs w:val="21"/>
                    </w:rPr>
                    <w:t>mg/L</w:t>
                  </w:r>
                </w:p>
              </w:tc>
              <w:tc>
                <w:tcPr>
                  <w:tcW w:w="726" w:type="dxa"/>
                  <w:vAlign w:val="center"/>
                </w:tcPr>
                <w:p>
                  <w:pPr>
                    <w:jc w:val="center"/>
                    <w:rPr>
                      <w:bCs/>
                      <w:kern w:val="0"/>
                      <w:szCs w:val="21"/>
                    </w:rPr>
                  </w:pPr>
                  <w:r>
                    <w:rPr>
                      <w:rFonts w:hint="eastAsia"/>
                      <w:kern w:val="0"/>
                      <w:sz w:val="18"/>
                      <w:szCs w:val="18"/>
                    </w:rPr>
                    <w:t>298</w:t>
                  </w:r>
                </w:p>
              </w:tc>
              <w:tc>
                <w:tcPr>
                  <w:tcW w:w="677" w:type="dxa"/>
                  <w:vAlign w:val="center"/>
                </w:tcPr>
                <w:p>
                  <w:pPr>
                    <w:jc w:val="center"/>
                    <w:rPr>
                      <w:bCs/>
                      <w:kern w:val="0"/>
                      <w:szCs w:val="21"/>
                    </w:rPr>
                  </w:pPr>
                  <w:r>
                    <w:rPr>
                      <w:rFonts w:hint="eastAsia"/>
                      <w:kern w:val="0"/>
                      <w:sz w:val="18"/>
                      <w:szCs w:val="18"/>
                    </w:rPr>
                    <w:t>316</w:t>
                  </w:r>
                </w:p>
              </w:tc>
              <w:tc>
                <w:tcPr>
                  <w:tcW w:w="677" w:type="dxa"/>
                  <w:vAlign w:val="center"/>
                </w:tcPr>
                <w:p>
                  <w:pPr>
                    <w:jc w:val="center"/>
                    <w:rPr>
                      <w:bCs/>
                      <w:kern w:val="0"/>
                      <w:szCs w:val="21"/>
                    </w:rPr>
                  </w:pPr>
                  <w:r>
                    <w:rPr>
                      <w:rFonts w:hint="eastAsia"/>
                      <w:kern w:val="0"/>
                      <w:sz w:val="18"/>
                      <w:szCs w:val="18"/>
                    </w:rPr>
                    <w:t>295</w:t>
                  </w:r>
                </w:p>
              </w:tc>
              <w:tc>
                <w:tcPr>
                  <w:tcW w:w="789" w:type="dxa"/>
                  <w:vAlign w:val="center"/>
                </w:tcPr>
                <w:p>
                  <w:pPr>
                    <w:jc w:val="center"/>
                    <w:rPr>
                      <w:bCs/>
                      <w:kern w:val="0"/>
                      <w:szCs w:val="21"/>
                    </w:rPr>
                  </w:pPr>
                  <w:r>
                    <w:rPr>
                      <w:rFonts w:hint="eastAsia"/>
                      <w:kern w:val="0"/>
                      <w:sz w:val="18"/>
                      <w:szCs w:val="18"/>
                    </w:rPr>
                    <w:t>285</w:t>
                  </w:r>
                </w:p>
              </w:tc>
              <w:tc>
                <w:tcPr>
                  <w:tcW w:w="794" w:type="dxa"/>
                  <w:vAlign w:val="center"/>
                </w:tcPr>
                <w:p>
                  <w:pPr>
                    <w:jc w:val="center"/>
                    <w:rPr>
                      <w:bCs/>
                      <w:kern w:val="0"/>
                      <w:szCs w:val="21"/>
                    </w:rPr>
                  </w:pPr>
                  <w:r>
                    <w:rPr>
                      <w:rFonts w:hint="eastAsia"/>
                      <w:kern w:val="0"/>
                      <w:sz w:val="18"/>
                      <w:szCs w:val="18"/>
                    </w:rPr>
                    <w:t>289</w:t>
                  </w:r>
                </w:p>
              </w:tc>
              <w:tc>
                <w:tcPr>
                  <w:tcW w:w="789" w:type="dxa"/>
                  <w:vAlign w:val="center"/>
                </w:tcPr>
                <w:p>
                  <w:pPr>
                    <w:tabs>
                      <w:tab w:val="left" w:pos="735"/>
                    </w:tabs>
                    <w:snapToGrid w:val="0"/>
                    <w:jc w:val="center"/>
                    <w:rPr>
                      <w:szCs w:val="21"/>
                    </w:rPr>
                  </w:pPr>
                  <w:r>
                    <w:rPr>
                      <w:szCs w:val="21"/>
                    </w:rPr>
                    <w:t>/</w:t>
                  </w:r>
                </w:p>
              </w:tc>
              <w:tc>
                <w:tcPr>
                  <w:tcW w:w="790" w:type="dxa"/>
                  <w:vAlign w:val="center"/>
                </w:tcPr>
                <w:p>
                  <w:pPr>
                    <w:snapToGrid w:val="0"/>
                    <w:jc w:val="center"/>
                    <w:rPr>
                      <w:szCs w:val="21"/>
                    </w:rPr>
                  </w:pPr>
                  <w:r>
                    <w:rPr>
                      <w:szCs w:val="21"/>
                    </w:rPr>
                    <w:t>/</w:t>
                  </w:r>
                </w:p>
              </w:tc>
              <w:tc>
                <w:tcPr>
                  <w:tcW w:w="673" w:type="dxa"/>
                  <w:vAlign w:val="center"/>
                </w:tcPr>
                <w:p>
                  <w:pPr>
                    <w:tabs>
                      <w:tab w:val="left" w:pos="735"/>
                    </w:tabs>
                    <w:snapToGrid w:val="0"/>
                    <w:jc w:val="center"/>
                    <w:rPr>
                      <w:bCs/>
                      <w:szCs w:val="21"/>
                    </w:rPr>
                  </w:pPr>
                  <w:r>
                    <w:rPr>
                      <w:bC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98" w:type="dxa"/>
                  <w:vMerge w:val="continue"/>
                  <w:vAlign w:val="center"/>
                </w:tcPr>
                <w:p>
                  <w:pPr>
                    <w:tabs>
                      <w:tab w:val="left" w:pos="735"/>
                    </w:tabs>
                    <w:snapToGrid w:val="0"/>
                    <w:jc w:val="center"/>
                    <w:rPr>
                      <w:b/>
                      <w:szCs w:val="21"/>
                    </w:rPr>
                  </w:pPr>
                </w:p>
              </w:tc>
              <w:tc>
                <w:tcPr>
                  <w:tcW w:w="853" w:type="dxa"/>
                  <w:vAlign w:val="center"/>
                </w:tcPr>
                <w:p>
                  <w:pPr>
                    <w:jc w:val="center"/>
                    <w:rPr>
                      <w:bCs/>
                      <w:szCs w:val="21"/>
                    </w:rPr>
                  </w:pPr>
                  <w:r>
                    <w:rPr>
                      <w:szCs w:val="21"/>
                    </w:rPr>
                    <w:t>Ca</w:t>
                  </w:r>
                  <w:r>
                    <w:rPr>
                      <w:szCs w:val="21"/>
                      <w:vertAlign w:val="superscript"/>
                    </w:rPr>
                    <w:t>2+</w:t>
                  </w:r>
                </w:p>
              </w:tc>
              <w:tc>
                <w:tcPr>
                  <w:tcW w:w="740" w:type="dxa"/>
                  <w:vAlign w:val="center"/>
                </w:tcPr>
                <w:p>
                  <w:pPr>
                    <w:tabs>
                      <w:tab w:val="left" w:pos="735"/>
                    </w:tabs>
                    <w:snapToGrid w:val="0"/>
                    <w:jc w:val="center"/>
                    <w:rPr>
                      <w:bCs/>
                      <w:szCs w:val="21"/>
                    </w:rPr>
                  </w:pPr>
                  <w:r>
                    <w:rPr>
                      <w:bCs/>
                      <w:szCs w:val="21"/>
                    </w:rPr>
                    <w:t>mg/L</w:t>
                  </w:r>
                </w:p>
              </w:tc>
              <w:tc>
                <w:tcPr>
                  <w:tcW w:w="726" w:type="dxa"/>
                  <w:vAlign w:val="center"/>
                </w:tcPr>
                <w:p>
                  <w:pPr>
                    <w:jc w:val="center"/>
                    <w:rPr>
                      <w:bCs/>
                      <w:kern w:val="0"/>
                      <w:szCs w:val="21"/>
                    </w:rPr>
                  </w:pPr>
                  <w:r>
                    <w:rPr>
                      <w:rFonts w:hint="eastAsia"/>
                      <w:kern w:val="0"/>
                      <w:sz w:val="18"/>
                      <w:szCs w:val="18"/>
                    </w:rPr>
                    <w:t>77</w:t>
                  </w:r>
                </w:p>
              </w:tc>
              <w:tc>
                <w:tcPr>
                  <w:tcW w:w="677" w:type="dxa"/>
                  <w:vAlign w:val="center"/>
                </w:tcPr>
                <w:p>
                  <w:pPr>
                    <w:jc w:val="center"/>
                    <w:rPr>
                      <w:bCs/>
                      <w:kern w:val="0"/>
                      <w:szCs w:val="21"/>
                    </w:rPr>
                  </w:pPr>
                  <w:r>
                    <w:rPr>
                      <w:rFonts w:hint="eastAsia"/>
                      <w:sz w:val="18"/>
                      <w:szCs w:val="18"/>
                    </w:rPr>
                    <w:t>79</w:t>
                  </w:r>
                </w:p>
              </w:tc>
              <w:tc>
                <w:tcPr>
                  <w:tcW w:w="677" w:type="dxa"/>
                  <w:vAlign w:val="center"/>
                </w:tcPr>
                <w:p>
                  <w:pPr>
                    <w:jc w:val="center"/>
                    <w:rPr>
                      <w:bCs/>
                      <w:kern w:val="0"/>
                      <w:szCs w:val="21"/>
                    </w:rPr>
                  </w:pPr>
                  <w:r>
                    <w:rPr>
                      <w:rFonts w:hint="eastAsia"/>
                      <w:sz w:val="18"/>
                      <w:szCs w:val="18"/>
                    </w:rPr>
                    <w:t>61</w:t>
                  </w:r>
                </w:p>
              </w:tc>
              <w:tc>
                <w:tcPr>
                  <w:tcW w:w="789" w:type="dxa"/>
                  <w:vAlign w:val="center"/>
                </w:tcPr>
                <w:p>
                  <w:pPr>
                    <w:jc w:val="center"/>
                    <w:rPr>
                      <w:bCs/>
                      <w:kern w:val="0"/>
                      <w:szCs w:val="21"/>
                    </w:rPr>
                  </w:pPr>
                  <w:r>
                    <w:rPr>
                      <w:rFonts w:hint="eastAsia"/>
                      <w:kern w:val="0"/>
                      <w:sz w:val="18"/>
                      <w:szCs w:val="18"/>
                    </w:rPr>
                    <w:t>67</w:t>
                  </w:r>
                </w:p>
              </w:tc>
              <w:tc>
                <w:tcPr>
                  <w:tcW w:w="794" w:type="dxa"/>
                  <w:vAlign w:val="center"/>
                </w:tcPr>
                <w:p>
                  <w:pPr>
                    <w:jc w:val="center"/>
                    <w:rPr>
                      <w:bCs/>
                      <w:kern w:val="0"/>
                      <w:szCs w:val="21"/>
                    </w:rPr>
                  </w:pPr>
                  <w:r>
                    <w:rPr>
                      <w:rFonts w:hint="eastAsia"/>
                      <w:kern w:val="0"/>
                      <w:sz w:val="18"/>
                      <w:szCs w:val="18"/>
                    </w:rPr>
                    <w:t>72</w:t>
                  </w:r>
                </w:p>
              </w:tc>
              <w:tc>
                <w:tcPr>
                  <w:tcW w:w="789" w:type="dxa"/>
                  <w:vAlign w:val="center"/>
                </w:tcPr>
                <w:p>
                  <w:pPr>
                    <w:tabs>
                      <w:tab w:val="left" w:pos="735"/>
                    </w:tabs>
                    <w:snapToGrid w:val="0"/>
                    <w:jc w:val="center"/>
                    <w:rPr>
                      <w:szCs w:val="21"/>
                    </w:rPr>
                  </w:pPr>
                  <w:r>
                    <w:rPr>
                      <w:szCs w:val="21"/>
                    </w:rPr>
                    <w:t>/</w:t>
                  </w:r>
                </w:p>
              </w:tc>
              <w:tc>
                <w:tcPr>
                  <w:tcW w:w="790" w:type="dxa"/>
                  <w:vAlign w:val="center"/>
                </w:tcPr>
                <w:p>
                  <w:pPr>
                    <w:snapToGrid w:val="0"/>
                    <w:jc w:val="center"/>
                    <w:rPr>
                      <w:szCs w:val="21"/>
                    </w:rPr>
                  </w:pPr>
                  <w:r>
                    <w:rPr>
                      <w:szCs w:val="21"/>
                    </w:rPr>
                    <w:t>/</w:t>
                  </w:r>
                </w:p>
              </w:tc>
              <w:tc>
                <w:tcPr>
                  <w:tcW w:w="673" w:type="dxa"/>
                  <w:vAlign w:val="center"/>
                </w:tcPr>
                <w:p>
                  <w:pPr>
                    <w:tabs>
                      <w:tab w:val="left" w:pos="735"/>
                    </w:tabs>
                    <w:snapToGrid w:val="0"/>
                    <w:jc w:val="center"/>
                    <w:rPr>
                      <w:bCs/>
                      <w:szCs w:val="21"/>
                    </w:rPr>
                  </w:pPr>
                  <w:r>
                    <w:rPr>
                      <w:bC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98" w:type="dxa"/>
                  <w:vMerge w:val="continue"/>
                  <w:vAlign w:val="center"/>
                </w:tcPr>
                <w:p>
                  <w:pPr>
                    <w:tabs>
                      <w:tab w:val="left" w:pos="735"/>
                    </w:tabs>
                    <w:snapToGrid w:val="0"/>
                    <w:jc w:val="center"/>
                    <w:rPr>
                      <w:b/>
                      <w:szCs w:val="21"/>
                    </w:rPr>
                  </w:pPr>
                </w:p>
              </w:tc>
              <w:tc>
                <w:tcPr>
                  <w:tcW w:w="853" w:type="dxa"/>
                  <w:vAlign w:val="center"/>
                </w:tcPr>
                <w:p>
                  <w:pPr>
                    <w:jc w:val="center"/>
                    <w:rPr>
                      <w:bCs/>
                      <w:szCs w:val="21"/>
                    </w:rPr>
                  </w:pPr>
                  <w:r>
                    <w:rPr>
                      <w:szCs w:val="21"/>
                    </w:rPr>
                    <w:t>Mg</w:t>
                  </w:r>
                  <w:r>
                    <w:rPr>
                      <w:szCs w:val="21"/>
                      <w:vertAlign w:val="superscript"/>
                    </w:rPr>
                    <w:t>2+</w:t>
                  </w:r>
                </w:p>
              </w:tc>
              <w:tc>
                <w:tcPr>
                  <w:tcW w:w="740" w:type="dxa"/>
                  <w:vAlign w:val="center"/>
                </w:tcPr>
                <w:p>
                  <w:pPr>
                    <w:tabs>
                      <w:tab w:val="left" w:pos="735"/>
                    </w:tabs>
                    <w:snapToGrid w:val="0"/>
                    <w:jc w:val="center"/>
                    <w:rPr>
                      <w:bCs/>
                      <w:szCs w:val="21"/>
                    </w:rPr>
                  </w:pPr>
                  <w:r>
                    <w:rPr>
                      <w:bCs/>
                      <w:szCs w:val="21"/>
                    </w:rPr>
                    <w:t>mg/L</w:t>
                  </w:r>
                </w:p>
              </w:tc>
              <w:tc>
                <w:tcPr>
                  <w:tcW w:w="726" w:type="dxa"/>
                  <w:vAlign w:val="center"/>
                </w:tcPr>
                <w:p>
                  <w:pPr>
                    <w:jc w:val="center"/>
                    <w:rPr>
                      <w:bCs/>
                      <w:kern w:val="0"/>
                      <w:szCs w:val="21"/>
                    </w:rPr>
                  </w:pPr>
                  <w:r>
                    <w:rPr>
                      <w:rFonts w:hint="eastAsia"/>
                      <w:kern w:val="0"/>
                      <w:sz w:val="18"/>
                      <w:szCs w:val="18"/>
                    </w:rPr>
                    <w:t>9.54</w:t>
                  </w:r>
                </w:p>
              </w:tc>
              <w:tc>
                <w:tcPr>
                  <w:tcW w:w="677" w:type="dxa"/>
                  <w:vAlign w:val="center"/>
                </w:tcPr>
                <w:p>
                  <w:pPr>
                    <w:jc w:val="center"/>
                    <w:rPr>
                      <w:bCs/>
                      <w:kern w:val="0"/>
                      <w:szCs w:val="21"/>
                    </w:rPr>
                  </w:pPr>
                  <w:r>
                    <w:rPr>
                      <w:rFonts w:hint="eastAsia"/>
                      <w:sz w:val="18"/>
                      <w:szCs w:val="18"/>
                    </w:rPr>
                    <w:t>12.8</w:t>
                  </w:r>
                </w:p>
              </w:tc>
              <w:tc>
                <w:tcPr>
                  <w:tcW w:w="677" w:type="dxa"/>
                  <w:vAlign w:val="center"/>
                </w:tcPr>
                <w:p>
                  <w:pPr>
                    <w:jc w:val="center"/>
                    <w:rPr>
                      <w:bCs/>
                      <w:kern w:val="0"/>
                      <w:szCs w:val="21"/>
                    </w:rPr>
                  </w:pPr>
                  <w:r>
                    <w:rPr>
                      <w:rFonts w:hint="eastAsia"/>
                      <w:sz w:val="18"/>
                      <w:szCs w:val="18"/>
                    </w:rPr>
                    <w:t>19.8</w:t>
                  </w:r>
                </w:p>
              </w:tc>
              <w:tc>
                <w:tcPr>
                  <w:tcW w:w="789" w:type="dxa"/>
                  <w:vAlign w:val="center"/>
                </w:tcPr>
                <w:p>
                  <w:pPr>
                    <w:jc w:val="center"/>
                    <w:rPr>
                      <w:bCs/>
                      <w:kern w:val="0"/>
                      <w:szCs w:val="21"/>
                    </w:rPr>
                  </w:pPr>
                  <w:r>
                    <w:rPr>
                      <w:rFonts w:hint="eastAsia"/>
                      <w:kern w:val="0"/>
                      <w:sz w:val="18"/>
                      <w:szCs w:val="18"/>
                    </w:rPr>
                    <w:t>18.2</w:t>
                  </w:r>
                </w:p>
              </w:tc>
              <w:tc>
                <w:tcPr>
                  <w:tcW w:w="794" w:type="dxa"/>
                  <w:vAlign w:val="center"/>
                </w:tcPr>
                <w:p>
                  <w:pPr>
                    <w:jc w:val="center"/>
                    <w:rPr>
                      <w:bCs/>
                      <w:kern w:val="0"/>
                      <w:szCs w:val="21"/>
                    </w:rPr>
                  </w:pPr>
                  <w:r>
                    <w:rPr>
                      <w:rFonts w:hint="eastAsia"/>
                      <w:kern w:val="0"/>
                      <w:sz w:val="18"/>
                      <w:szCs w:val="18"/>
                    </w:rPr>
                    <w:t>11.9</w:t>
                  </w:r>
                </w:p>
              </w:tc>
              <w:tc>
                <w:tcPr>
                  <w:tcW w:w="789" w:type="dxa"/>
                  <w:vAlign w:val="center"/>
                </w:tcPr>
                <w:p>
                  <w:pPr>
                    <w:tabs>
                      <w:tab w:val="left" w:pos="735"/>
                    </w:tabs>
                    <w:snapToGrid w:val="0"/>
                    <w:jc w:val="center"/>
                    <w:rPr>
                      <w:szCs w:val="21"/>
                    </w:rPr>
                  </w:pPr>
                  <w:r>
                    <w:rPr>
                      <w:szCs w:val="21"/>
                    </w:rPr>
                    <w:t>/</w:t>
                  </w:r>
                </w:p>
              </w:tc>
              <w:tc>
                <w:tcPr>
                  <w:tcW w:w="790" w:type="dxa"/>
                  <w:vAlign w:val="center"/>
                </w:tcPr>
                <w:p>
                  <w:pPr>
                    <w:snapToGrid w:val="0"/>
                    <w:jc w:val="center"/>
                    <w:rPr>
                      <w:szCs w:val="21"/>
                    </w:rPr>
                  </w:pPr>
                  <w:r>
                    <w:rPr>
                      <w:szCs w:val="21"/>
                    </w:rPr>
                    <w:t>/</w:t>
                  </w:r>
                </w:p>
              </w:tc>
              <w:tc>
                <w:tcPr>
                  <w:tcW w:w="673" w:type="dxa"/>
                  <w:vAlign w:val="center"/>
                </w:tcPr>
                <w:p>
                  <w:pPr>
                    <w:tabs>
                      <w:tab w:val="left" w:pos="735"/>
                    </w:tabs>
                    <w:snapToGrid w:val="0"/>
                    <w:jc w:val="center"/>
                    <w:rPr>
                      <w:bCs/>
                      <w:szCs w:val="21"/>
                    </w:rPr>
                  </w:pPr>
                  <w:r>
                    <w:rPr>
                      <w:bC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98" w:type="dxa"/>
                  <w:vMerge w:val="continue"/>
                  <w:vAlign w:val="center"/>
                </w:tcPr>
                <w:p>
                  <w:pPr>
                    <w:tabs>
                      <w:tab w:val="left" w:pos="735"/>
                    </w:tabs>
                    <w:snapToGrid w:val="0"/>
                    <w:jc w:val="center"/>
                    <w:rPr>
                      <w:b/>
                      <w:szCs w:val="21"/>
                    </w:rPr>
                  </w:pPr>
                </w:p>
              </w:tc>
              <w:tc>
                <w:tcPr>
                  <w:tcW w:w="853" w:type="dxa"/>
                  <w:vAlign w:val="center"/>
                </w:tcPr>
                <w:p>
                  <w:pPr>
                    <w:jc w:val="center"/>
                    <w:rPr>
                      <w:bCs/>
                      <w:szCs w:val="21"/>
                    </w:rPr>
                  </w:pPr>
                  <w:r>
                    <w:rPr>
                      <w:szCs w:val="21"/>
                    </w:rPr>
                    <w:t>K</w:t>
                  </w:r>
                  <w:r>
                    <w:rPr>
                      <w:szCs w:val="21"/>
                      <w:vertAlign w:val="superscript"/>
                    </w:rPr>
                    <w:t>+</w:t>
                  </w:r>
                </w:p>
              </w:tc>
              <w:tc>
                <w:tcPr>
                  <w:tcW w:w="740" w:type="dxa"/>
                  <w:vAlign w:val="center"/>
                </w:tcPr>
                <w:p>
                  <w:pPr>
                    <w:tabs>
                      <w:tab w:val="left" w:pos="735"/>
                    </w:tabs>
                    <w:snapToGrid w:val="0"/>
                    <w:jc w:val="center"/>
                    <w:rPr>
                      <w:bCs/>
                      <w:szCs w:val="21"/>
                    </w:rPr>
                  </w:pPr>
                  <w:r>
                    <w:rPr>
                      <w:bCs/>
                      <w:szCs w:val="21"/>
                    </w:rPr>
                    <w:t>mg/L</w:t>
                  </w:r>
                </w:p>
              </w:tc>
              <w:tc>
                <w:tcPr>
                  <w:tcW w:w="726" w:type="dxa"/>
                  <w:vAlign w:val="center"/>
                </w:tcPr>
                <w:p>
                  <w:pPr>
                    <w:jc w:val="center"/>
                    <w:rPr>
                      <w:bCs/>
                      <w:kern w:val="0"/>
                      <w:szCs w:val="21"/>
                    </w:rPr>
                  </w:pPr>
                  <w:r>
                    <w:rPr>
                      <w:rFonts w:hint="eastAsia"/>
                      <w:kern w:val="0"/>
                      <w:sz w:val="18"/>
                      <w:szCs w:val="18"/>
                    </w:rPr>
                    <w:t>1.56</w:t>
                  </w:r>
                </w:p>
              </w:tc>
              <w:tc>
                <w:tcPr>
                  <w:tcW w:w="677" w:type="dxa"/>
                  <w:vAlign w:val="center"/>
                </w:tcPr>
                <w:p>
                  <w:pPr>
                    <w:jc w:val="center"/>
                    <w:rPr>
                      <w:bCs/>
                      <w:kern w:val="0"/>
                      <w:szCs w:val="21"/>
                    </w:rPr>
                  </w:pPr>
                  <w:r>
                    <w:rPr>
                      <w:rFonts w:hint="eastAsia"/>
                      <w:sz w:val="18"/>
                      <w:szCs w:val="18"/>
                    </w:rPr>
                    <w:t>1.33</w:t>
                  </w:r>
                </w:p>
              </w:tc>
              <w:tc>
                <w:tcPr>
                  <w:tcW w:w="677" w:type="dxa"/>
                  <w:vAlign w:val="center"/>
                </w:tcPr>
                <w:p>
                  <w:pPr>
                    <w:jc w:val="center"/>
                    <w:rPr>
                      <w:bCs/>
                      <w:kern w:val="0"/>
                      <w:szCs w:val="21"/>
                    </w:rPr>
                  </w:pPr>
                  <w:r>
                    <w:rPr>
                      <w:rFonts w:hint="eastAsia"/>
                      <w:sz w:val="18"/>
                      <w:szCs w:val="18"/>
                    </w:rPr>
                    <w:t>1.87</w:t>
                  </w:r>
                </w:p>
              </w:tc>
              <w:tc>
                <w:tcPr>
                  <w:tcW w:w="789" w:type="dxa"/>
                  <w:vAlign w:val="center"/>
                </w:tcPr>
                <w:p>
                  <w:pPr>
                    <w:jc w:val="center"/>
                    <w:rPr>
                      <w:bCs/>
                      <w:kern w:val="0"/>
                      <w:szCs w:val="21"/>
                    </w:rPr>
                  </w:pPr>
                  <w:r>
                    <w:rPr>
                      <w:rFonts w:hint="eastAsia"/>
                      <w:kern w:val="0"/>
                      <w:sz w:val="18"/>
                      <w:szCs w:val="18"/>
                    </w:rPr>
                    <w:t>1.46</w:t>
                  </w:r>
                </w:p>
              </w:tc>
              <w:tc>
                <w:tcPr>
                  <w:tcW w:w="794" w:type="dxa"/>
                  <w:vAlign w:val="center"/>
                </w:tcPr>
                <w:p>
                  <w:pPr>
                    <w:jc w:val="center"/>
                    <w:rPr>
                      <w:bCs/>
                      <w:kern w:val="0"/>
                      <w:szCs w:val="21"/>
                    </w:rPr>
                  </w:pPr>
                  <w:r>
                    <w:rPr>
                      <w:rFonts w:hint="eastAsia"/>
                      <w:kern w:val="0"/>
                      <w:sz w:val="18"/>
                      <w:szCs w:val="18"/>
                    </w:rPr>
                    <w:t>1.42</w:t>
                  </w:r>
                </w:p>
              </w:tc>
              <w:tc>
                <w:tcPr>
                  <w:tcW w:w="789" w:type="dxa"/>
                  <w:vAlign w:val="center"/>
                </w:tcPr>
                <w:p>
                  <w:pPr>
                    <w:tabs>
                      <w:tab w:val="left" w:pos="735"/>
                    </w:tabs>
                    <w:snapToGrid w:val="0"/>
                    <w:jc w:val="center"/>
                    <w:rPr>
                      <w:szCs w:val="21"/>
                    </w:rPr>
                  </w:pPr>
                  <w:r>
                    <w:rPr>
                      <w:szCs w:val="21"/>
                    </w:rPr>
                    <w:t>/</w:t>
                  </w:r>
                </w:p>
              </w:tc>
              <w:tc>
                <w:tcPr>
                  <w:tcW w:w="790" w:type="dxa"/>
                  <w:vAlign w:val="center"/>
                </w:tcPr>
                <w:p>
                  <w:pPr>
                    <w:snapToGrid w:val="0"/>
                    <w:jc w:val="center"/>
                    <w:rPr>
                      <w:szCs w:val="21"/>
                    </w:rPr>
                  </w:pPr>
                  <w:r>
                    <w:rPr>
                      <w:szCs w:val="21"/>
                    </w:rPr>
                    <w:t>/</w:t>
                  </w:r>
                </w:p>
              </w:tc>
              <w:tc>
                <w:tcPr>
                  <w:tcW w:w="673" w:type="dxa"/>
                  <w:vAlign w:val="center"/>
                </w:tcPr>
                <w:p>
                  <w:pPr>
                    <w:tabs>
                      <w:tab w:val="left" w:pos="735"/>
                    </w:tabs>
                    <w:snapToGrid w:val="0"/>
                    <w:jc w:val="center"/>
                    <w:rPr>
                      <w:bCs/>
                      <w:szCs w:val="21"/>
                    </w:rPr>
                  </w:pPr>
                  <w:r>
                    <w:rPr>
                      <w:bC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98" w:type="dxa"/>
                  <w:vMerge w:val="continue"/>
                  <w:vAlign w:val="center"/>
                </w:tcPr>
                <w:p>
                  <w:pPr>
                    <w:tabs>
                      <w:tab w:val="left" w:pos="735"/>
                    </w:tabs>
                    <w:snapToGrid w:val="0"/>
                    <w:jc w:val="center"/>
                    <w:rPr>
                      <w:b/>
                      <w:szCs w:val="21"/>
                    </w:rPr>
                  </w:pPr>
                </w:p>
              </w:tc>
              <w:tc>
                <w:tcPr>
                  <w:tcW w:w="853" w:type="dxa"/>
                  <w:vAlign w:val="center"/>
                </w:tcPr>
                <w:p>
                  <w:pPr>
                    <w:jc w:val="center"/>
                    <w:rPr>
                      <w:bCs/>
                      <w:szCs w:val="21"/>
                    </w:rPr>
                  </w:pPr>
                  <w:r>
                    <w:rPr>
                      <w:szCs w:val="21"/>
                    </w:rPr>
                    <w:t>Na</w:t>
                  </w:r>
                  <w:r>
                    <w:rPr>
                      <w:szCs w:val="21"/>
                      <w:vertAlign w:val="superscript"/>
                    </w:rPr>
                    <w:t>+</w:t>
                  </w:r>
                </w:p>
              </w:tc>
              <w:tc>
                <w:tcPr>
                  <w:tcW w:w="740" w:type="dxa"/>
                  <w:vAlign w:val="center"/>
                </w:tcPr>
                <w:p>
                  <w:pPr>
                    <w:tabs>
                      <w:tab w:val="left" w:pos="735"/>
                    </w:tabs>
                    <w:snapToGrid w:val="0"/>
                    <w:jc w:val="center"/>
                    <w:rPr>
                      <w:bCs/>
                      <w:szCs w:val="21"/>
                    </w:rPr>
                  </w:pPr>
                  <w:r>
                    <w:rPr>
                      <w:bCs/>
                      <w:szCs w:val="21"/>
                    </w:rPr>
                    <w:t>mg/L</w:t>
                  </w:r>
                </w:p>
              </w:tc>
              <w:tc>
                <w:tcPr>
                  <w:tcW w:w="726" w:type="dxa"/>
                  <w:vAlign w:val="center"/>
                </w:tcPr>
                <w:p>
                  <w:pPr>
                    <w:jc w:val="center"/>
                    <w:rPr>
                      <w:bCs/>
                      <w:kern w:val="0"/>
                      <w:szCs w:val="21"/>
                    </w:rPr>
                  </w:pPr>
                  <w:r>
                    <w:rPr>
                      <w:rFonts w:hint="eastAsia"/>
                      <w:kern w:val="0"/>
                      <w:sz w:val="18"/>
                      <w:szCs w:val="18"/>
                    </w:rPr>
                    <w:t>8.79</w:t>
                  </w:r>
                </w:p>
              </w:tc>
              <w:tc>
                <w:tcPr>
                  <w:tcW w:w="677" w:type="dxa"/>
                  <w:vAlign w:val="center"/>
                </w:tcPr>
                <w:p>
                  <w:pPr>
                    <w:jc w:val="center"/>
                    <w:rPr>
                      <w:bCs/>
                      <w:kern w:val="0"/>
                      <w:szCs w:val="21"/>
                    </w:rPr>
                  </w:pPr>
                  <w:r>
                    <w:rPr>
                      <w:rFonts w:hint="eastAsia"/>
                      <w:sz w:val="18"/>
                      <w:szCs w:val="18"/>
                    </w:rPr>
                    <w:t>6.72</w:t>
                  </w:r>
                </w:p>
              </w:tc>
              <w:tc>
                <w:tcPr>
                  <w:tcW w:w="677" w:type="dxa"/>
                  <w:vAlign w:val="center"/>
                </w:tcPr>
                <w:p>
                  <w:pPr>
                    <w:jc w:val="center"/>
                    <w:rPr>
                      <w:bCs/>
                      <w:kern w:val="0"/>
                      <w:szCs w:val="21"/>
                    </w:rPr>
                  </w:pPr>
                  <w:r>
                    <w:rPr>
                      <w:rFonts w:hint="eastAsia"/>
                      <w:sz w:val="18"/>
                      <w:szCs w:val="18"/>
                    </w:rPr>
                    <w:t>6.71</w:t>
                  </w:r>
                </w:p>
              </w:tc>
              <w:tc>
                <w:tcPr>
                  <w:tcW w:w="789" w:type="dxa"/>
                  <w:vAlign w:val="center"/>
                </w:tcPr>
                <w:p>
                  <w:pPr>
                    <w:jc w:val="center"/>
                    <w:rPr>
                      <w:bCs/>
                      <w:kern w:val="0"/>
                      <w:szCs w:val="21"/>
                    </w:rPr>
                  </w:pPr>
                  <w:r>
                    <w:rPr>
                      <w:rFonts w:hint="eastAsia"/>
                      <w:kern w:val="0"/>
                      <w:sz w:val="18"/>
                      <w:szCs w:val="18"/>
                    </w:rPr>
                    <w:t>6.67</w:t>
                  </w:r>
                </w:p>
              </w:tc>
              <w:tc>
                <w:tcPr>
                  <w:tcW w:w="794" w:type="dxa"/>
                  <w:vAlign w:val="center"/>
                </w:tcPr>
                <w:p>
                  <w:pPr>
                    <w:jc w:val="center"/>
                    <w:rPr>
                      <w:bCs/>
                      <w:kern w:val="0"/>
                      <w:szCs w:val="21"/>
                    </w:rPr>
                  </w:pPr>
                  <w:r>
                    <w:rPr>
                      <w:rFonts w:hint="eastAsia"/>
                      <w:kern w:val="0"/>
                      <w:sz w:val="18"/>
                      <w:szCs w:val="18"/>
                    </w:rPr>
                    <w:t>8.36</w:t>
                  </w:r>
                </w:p>
              </w:tc>
              <w:tc>
                <w:tcPr>
                  <w:tcW w:w="789" w:type="dxa"/>
                  <w:vAlign w:val="center"/>
                </w:tcPr>
                <w:p>
                  <w:pPr>
                    <w:tabs>
                      <w:tab w:val="left" w:pos="735"/>
                    </w:tabs>
                    <w:snapToGrid w:val="0"/>
                    <w:jc w:val="center"/>
                    <w:rPr>
                      <w:szCs w:val="21"/>
                    </w:rPr>
                  </w:pPr>
                  <w:r>
                    <w:rPr>
                      <w:szCs w:val="21"/>
                    </w:rPr>
                    <w:t>/</w:t>
                  </w:r>
                </w:p>
              </w:tc>
              <w:tc>
                <w:tcPr>
                  <w:tcW w:w="790" w:type="dxa"/>
                  <w:vAlign w:val="center"/>
                </w:tcPr>
                <w:p>
                  <w:pPr>
                    <w:snapToGrid w:val="0"/>
                    <w:jc w:val="center"/>
                    <w:rPr>
                      <w:szCs w:val="21"/>
                    </w:rPr>
                  </w:pPr>
                  <w:r>
                    <w:rPr>
                      <w:szCs w:val="21"/>
                    </w:rPr>
                    <w:t>/</w:t>
                  </w:r>
                </w:p>
              </w:tc>
              <w:tc>
                <w:tcPr>
                  <w:tcW w:w="673" w:type="dxa"/>
                  <w:vAlign w:val="center"/>
                </w:tcPr>
                <w:p>
                  <w:pPr>
                    <w:tabs>
                      <w:tab w:val="left" w:pos="735"/>
                    </w:tabs>
                    <w:snapToGrid w:val="0"/>
                    <w:jc w:val="center"/>
                    <w:rPr>
                      <w:bCs/>
                      <w:szCs w:val="21"/>
                    </w:rPr>
                  </w:pPr>
                  <w:r>
                    <w:rPr>
                      <w:bC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98" w:type="dxa"/>
                  <w:vMerge w:val="continue"/>
                  <w:vAlign w:val="center"/>
                </w:tcPr>
                <w:p>
                  <w:pPr>
                    <w:tabs>
                      <w:tab w:val="left" w:pos="735"/>
                    </w:tabs>
                    <w:snapToGrid w:val="0"/>
                    <w:jc w:val="center"/>
                    <w:rPr>
                      <w:b/>
                      <w:szCs w:val="21"/>
                    </w:rPr>
                  </w:pPr>
                </w:p>
              </w:tc>
              <w:tc>
                <w:tcPr>
                  <w:tcW w:w="853" w:type="dxa"/>
                  <w:vAlign w:val="center"/>
                </w:tcPr>
                <w:p>
                  <w:pPr>
                    <w:jc w:val="center"/>
                    <w:rPr>
                      <w:bCs/>
                      <w:szCs w:val="21"/>
                    </w:rPr>
                  </w:pPr>
                  <w:r>
                    <w:rPr>
                      <w:szCs w:val="21"/>
                    </w:rPr>
                    <w:t>Cl</w:t>
                  </w:r>
                  <w:r>
                    <w:rPr>
                      <w:szCs w:val="21"/>
                      <w:vertAlign w:val="superscript"/>
                    </w:rPr>
                    <w:t>-</w:t>
                  </w:r>
                </w:p>
              </w:tc>
              <w:tc>
                <w:tcPr>
                  <w:tcW w:w="740" w:type="dxa"/>
                  <w:vAlign w:val="center"/>
                </w:tcPr>
                <w:p>
                  <w:pPr>
                    <w:tabs>
                      <w:tab w:val="left" w:pos="735"/>
                    </w:tabs>
                    <w:snapToGrid w:val="0"/>
                    <w:jc w:val="center"/>
                    <w:rPr>
                      <w:bCs/>
                      <w:szCs w:val="21"/>
                    </w:rPr>
                  </w:pPr>
                  <w:r>
                    <w:rPr>
                      <w:bCs/>
                      <w:szCs w:val="21"/>
                    </w:rPr>
                    <w:t>mg/L</w:t>
                  </w:r>
                </w:p>
              </w:tc>
              <w:tc>
                <w:tcPr>
                  <w:tcW w:w="726" w:type="dxa"/>
                  <w:vAlign w:val="center"/>
                </w:tcPr>
                <w:p>
                  <w:pPr>
                    <w:jc w:val="center"/>
                    <w:rPr>
                      <w:bCs/>
                      <w:kern w:val="0"/>
                      <w:szCs w:val="21"/>
                    </w:rPr>
                  </w:pPr>
                  <w:r>
                    <w:rPr>
                      <w:rFonts w:hint="eastAsia"/>
                      <w:kern w:val="0"/>
                      <w:sz w:val="18"/>
                      <w:szCs w:val="18"/>
                    </w:rPr>
                    <w:t>11</w:t>
                  </w:r>
                </w:p>
              </w:tc>
              <w:tc>
                <w:tcPr>
                  <w:tcW w:w="677" w:type="dxa"/>
                  <w:vAlign w:val="center"/>
                </w:tcPr>
                <w:p>
                  <w:pPr>
                    <w:jc w:val="center"/>
                    <w:rPr>
                      <w:bCs/>
                      <w:kern w:val="0"/>
                      <w:szCs w:val="21"/>
                    </w:rPr>
                  </w:pPr>
                  <w:r>
                    <w:rPr>
                      <w:rFonts w:hint="eastAsia"/>
                      <w:kern w:val="0"/>
                      <w:sz w:val="18"/>
                      <w:szCs w:val="18"/>
                    </w:rPr>
                    <w:t>13</w:t>
                  </w:r>
                </w:p>
              </w:tc>
              <w:tc>
                <w:tcPr>
                  <w:tcW w:w="677" w:type="dxa"/>
                  <w:vAlign w:val="center"/>
                </w:tcPr>
                <w:p>
                  <w:pPr>
                    <w:jc w:val="center"/>
                    <w:rPr>
                      <w:bCs/>
                      <w:kern w:val="0"/>
                      <w:szCs w:val="21"/>
                    </w:rPr>
                  </w:pPr>
                  <w:r>
                    <w:rPr>
                      <w:rFonts w:hint="eastAsia"/>
                      <w:kern w:val="0"/>
                      <w:sz w:val="18"/>
                      <w:szCs w:val="18"/>
                    </w:rPr>
                    <w:t>12</w:t>
                  </w:r>
                </w:p>
              </w:tc>
              <w:tc>
                <w:tcPr>
                  <w:tcW w:w="789" w:type="dxa"/>
                  <w:vAlign w:val="center"/>
                </w:tcPr>
                <w:p>
                  <w:pPr>
                    <w:jc w:val="center"/>
                    <w:rPr>
                      <w:bCs/>
                      <w:kern w:val="0"/>
                      <w:szCs w:val="21"/>
                    </w:rPr>
                  </w:pPr>
                  <w:r>
                    <w:rPr>
                      <w:rFonts w:hint="eastAsia"/>
                      <w:kern w:val="0"/>
                      <w:sz w:val="18"/>
                      <w:szCs w:val="18"/>
                    </w:rPr>
                    <w:t>13</w:t>
                  </w:r>
                </w:p>
              </w:tc>
              <w:tc>
                <w:tcPr>
                  <w:tcW w:w="794" w:type="dxa"/>
                  <w:vAlign w:val="center"/>
                </w:tcPr>
                <w:p>
                  <w:pPr>
                    <w:jc w:val="center"/>
                    <w:rPr>
                      <w:bCs/>
                      <w:kern w:val="0"/>
                      <w:szCs w:val="21"/>
                    </w:rPr>
                  </w:pPr>
                  <w:r>
                    <w:rPr>
                      <w:rFonts w:hint="eastAsia"/>
                      <w:kern w:val="0"/>
                      <w:sz w:val="18"/>
                      <w:szCs w:val="18"/>
                    </w:rPr>
                    <w:t>12</w:t>
                  </w:r>
                </w:p>
              </w:tc>
              <w:tc>
                <w:tcPr>
                  <w:tcW w:w="789" w:type="dxa"/>
                  <w:vAlign w:val="center"/>
                </w:tcPr>
                <w:p>
                  <w:pPr>
                    <w:tabs>
                      <w:tab w:val="left" w:pos="735"/>
                    </w:tabs>
                    <w:snapToGrid w:val="0"/>
                    <w:jc w:val="center"/>
                    <w:rPr>
                      <w:szCs w:val="21"/>
                    </w:rPr>
                  </w:pPr>
                  <w:r>
                    <w:rPr>
                      <w:szCs w:val="21"/>
                    </w:rPr>
                    <w:t>≤250</w:t>
                  </w:r>
                </w:p>
              </w:tc>
              <w:tc>
                <w:tcPr>
                  <w:tcW w:w="790" w:type="dxa"/>
                  <w:vAlign w:val="center"/>
                </w:tcPr>
                <w:p>
                  <w:pPr>
                    <w:snapToGrid w:val="0"/>
                    <w:jc w:val="center"/>
                    <w:rPr>
                      <w:szCs w:val="21"/>
                    </w:rPr>
                  </w:pPr>
                  <w:r>
                    <w:rPr>
                      <w:szCs w:val="21"/>
                    </w:rPr>
                    <w:t>/</w:t>
                  </w:r>
                </w:p>
              </w:tc>
              <w:tc>
                <w:tcPr>
                  <w:tcW w:w="673" w:type="dxa"/>
                  <w:vAlign w:val="center"/>
                </w:tcPr>
                <w:p>
                  <w:pPr>
                    <w:tabs>
                      <w:tab w:val="left" w:pos="735"/>
                    </w:tabs>
                    <w:snapToGrid w:val="0"/>
                    <w:jc w:val="center"/>
                    <w:rPr>
                      <w:bCs/>
                      <w:szCs w:val="21"/>
                    </w:rPr>
                  </w:pPr>
                  <w:r>
                    <w:rPr>
                      <w:bC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98" w:type="dxa"/>
                  <w:vMerge w:val="continue"/>
                  <w:vAlign w:val="center"/>
                </w:tcPr>
                <w:p>
                  <w:pPr>
                    <w:tabs>
                      <w:tab w:val="left" w:pos="735"/>
                    </w:tabs>
                    <w:snapToGrid w:val="0"/>
                    <w:jc w:val="center"/>
                    <w:rPr>
                      <w:b/>
                      <w:szCs w:val="21"/>
                    </w:rPr>
                  </w:pPr>
                </w:p>
              </w:tc>
              <w:tc>
                <w:tcPr>
                  <w:tcW w:w="853" w:type="dxa"/>
                  <w:vAlign w:val="center"/>
                </w:tcPr>
                <w:p>
                  <w:pPr>
                    <w:jc w:val="center"/>
                    <w:rPr>
                      <w:bCs/>
                      <w:szCs w:val="21"/>
                    </w:rPr>
                  </w:pPr>
                  <w:r>
                    <w:rPr>
                      <w:szCs w:val="21"/>
                    </w:rPr>
                    <w:t>SO</w:t>
                  </w:r>
                  <w:r>
                    <w:rPr>
                      <w:szCs w:val="21"/>
                      <w:vertAlign w:val="subscript"/>
                    </w:rPr>
                    <w:t>4</w:t>
                  </w:r>
                  <w:r>
                    <w:rPr>
                      <w:szCs w:val="21"/>
                      <w:vertAlign w:val="superscript"/>
                    </w:rPr>
                    <w:t>2-</w:t>
                  </w:r>
                </w:p>
              </w:tc>
              <w:tc>
                <w:tcPr>
                  <w:tcW w:w="740" w:type="dxa"/>
                  <w:vAlign w:val="center"/>
                </w:tcPr>
                <w:p>
                  <w:pPr>
                    <w:tabs>
                      <w:tab w:val="left" w:pos="735"/>
                    </w:tabs>
                    <w:snapToGrid w:val="0"/>
                    <w:jc w:val="center"/>
                    <w:rPr>
                      <w:bCs/>
                      <w:szCs w:val="21"/>
                    </w:rPr>
                  </w:pPr>
                  <w:r>
                    <w:rPr>
                      <w:bCs/>
                      <w:szCs w:val="21"/>
                    </w:rPr>
                    <w:t>mg/L</w:t>
                  </w:r>
                </w:p>
              </w:tc>
              <w:tc>
                <w:tcPr>
                  <w:tcW w:w="726" w:type="dxa"/>
                  <w:vAlign w:val="center"/>
                </w:tcPr>
                <w:p>
                  <w:pPr>
                    <w:jc w:val="center"/>
                    <w:rPr>
                      <w:bCs/>
                      <w:kern w:val="0"/>
                      <w:szCs w:val="21"/>
                    </w:rPr>
                  </w:pPr>
                  <w:r>
                    <w:rPr>
                      <w:rFonts w:hint="eastAsia"/>
                      <w:kern w:val="0"/>
                      <w:sz w:val="18"/>
                      <w:szCs w:val="18"/>
                    </w:rPr>
                    <w:t>2.5L</w:t>
                  </w:r>
                </w:p>
              </w:tc>
              <w:tc>
                <w:tcPr>
                  <w:tcW w:w="677" w:type="dxa"/>
                  <w:vAlign w:val="center"/>
                </w:tcPr>
                <w:p>
                  <w:pPr>
                    <w:jc w:val="center"/>
                    <w:rPr>
                      <w:bCs/>
                      <w:kern w:val="0"/>
                      <w:szCs w:val="21"/>
                    </w:rPr>
                  </w:pPr>
                  <w:r>
                    <w:rPr>
                      <w:rFonts w:hint="eastAsia"/>
                      <w:kern w:val="0"/>
                      <w:sz w:val="18"/>
                      <w:szCs w:val="18"/>
                    </w:rPr>
                    <w:t>2.5L</w:t>
                  </w:r>
                </w:p>
              </w:tc>
              <w:tc>
                <w:tcPr>
                  <w:tcW w:w="677" w:type="dxa"/>
                  <w:vAlign w:val="center"/>
                </w:tcPr>
                <w:p>
                  <w:pPr>
                    <w:jc w:val="center"/>
                    <w:rPr>
                      <w:bCs/>
                      <w:kern w:val="0"/>
                      <w:szCs w:val="21"/>
                    </w:rPr>
                  </w:pPr>
                  <w:r>
                    <w:rPr>
                      <w:rFonts w:hint="eastAsia"/>
                      <w:kern w:val="0"/>
                      <w:sz w:val="18"/>
                      <w:szCs w:val="18"/>
                    </w:rPr>
                    <w:t>2.5L</w:t>
                  </w:r>
                </w:p>
              </w:tc>
              <w:tc>
                <w:tcPr>
                  <w:tcW w:w="789" w:type="dxa"/>
                  <w:vAlign w:val="center"/>
                </w:tcPr>
                <w:p>
                  <w:pPr>
                    <w:jc w:val="center"/>
                    <w:rPr>
                      <w:bCs/>
                      <w:kern w:val="0"/>
                      <w:szCs w:val="21"/>
                    </w:rPr>
                  </w:pPr>
                  <w:r>
                    <w:rPr>
                      <w:rFonts w:hint="eastAsia"/>
                      <w:kern w:val="0"/>
                      <w:sz w:val="18"/>
                      <w:szCs w:val="18"/>
                    </w:rPr>
                    <w:t>2.5L</w:t>
                  </w:r>
                </w:p>
              </w:tc>
              <w:tc>
                <w:tcPr>
                  <w:tcW w:w="794" w:type="dxa"/>
                  <w:vAlign w:val="center"/>
                </w:tcPr>
                <w:p>
                  <w:pPr>
                    <w:jc w:val="center"/>
                    <w:rPr>
                      <w:bCs/>
                      <w:kern w:val="0"/>
                      <w:szCs w:val="21"/>
                    </w:rPr>
                  </w:pPr>
                  <w:r>
                    <w:rPr>
                      <w:rFonts w:hint="eastAsia"/>
                      <w:kern w:val="0"/>
                      <w:sz w:val="18"/>
                      <w:szCs w:val="18"/>
                    </w:rPr>
                    <w:t>2.5L</w:t>
                  </w:r>
                </w:p>
              </w:tc>
              <w:tc>
                <w:tcPr>
                  <w:tcW w:w="789" w:type="dxa"/>
                  <w:vAlign w:val="center"/>
                </w:tcPr>
                <w:p>
                  <w:pPr>
                    <w:tabs>
                      <w:tab w:val="left" w:pos="735"/>
                    </w:tabs>
                    <w:snapToGrid w:val="0"/>
                    <w:jc w:val="center"/>
                    <w:rPr>
                      <w:szCs w:val="21"/>
                    </w:rPr>
                  </w:pPr>
                  <w:r>
                    <w:rPr>
                      <w:szCs w:val="21"/>
                    </w:rPr>
                    <w:t>≤250</w:t>
                  </w:r>
                </w:p>
              </w:tc>
              <w:tc>
                <w:tcPr>
                  <w:tcW w:w="790" w:type="dxa"/>
                  <w:vAlign w:val="center"/>
                </w:tcPr>
                <w:p>
                  <w:pPr>
                    <w:snapToGrid w:val="0"/>
                    <w:jc w:val="center"/>
                    <w:rPr>
                      <w:szCs w:val="21"/>
                    </w:rPr>
                  </w:pPr>
                  <w:r>
                    <w:rPr>
                      <w:szCs w:val="21"/>
                    </w:rPr>
                    <w:t>/</w:t>
                  </w:r>
                </w:p>
              </w:tc>
              <w:tc>
                <w:tcPr>
                  <w:tcW w:w="673" w:type="dxa"/>
                  <w:vAlign w:val="center"/>
                </w:tcPr>
                <w:p>
                  <w:pPr>
                    <w:tabs>
                      <w:tab w:val="left" w:pos="735"/>
                    </w:tabs>
                    <w:snapToGrid w:val="0"/>
                    <w:jc w:val="center"/>
                    <w:rPr>
                      <w:bCs/>
                      <w:szCs w:val="21"/>
                    </w:rPr>
                  </w:pPr>
                  <w:r>
                    <w:rPr>
                      <w:bC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98" w:type="dxa"/>
                  <w:vAlign w:val="center"/>
                </w:tcPr>
                <w:p>
                  <w:pPr>
                    <w:tabs>
                      <w:tab w:val="left" w:pos="735"/>
                    </w:tabs>
                    <w:snapToGrid w:val="0"/>
                    <w:jc w:val="center"/>
                    <w:rPr>
                      <w:bCs/>
                      <w:szCs w:val="21"/>
                    </w:rPr>
                  </w:pPr>
                  <w:r>
                    <w:rPr>
                      <w:bCs/>
                      <w:szCs w:val="21"/>
                    </w:rPr>
                    <w:t>备注</w:t>
                  </w:r>
                </w:p>
              </w:tc>
              <w:tc>
                <w:tcPr>
                  <w:tcW w:w="7508" w:type="dxa"/>
                  <w:gridSpan w:val="10"/>
                  <w:vAlign w:val="center"/>
                </w:tcPr>
                <w:p>
                  <w:pPr>
                    <w:tabs>
                      <w:tab w:val="left" w:pos="735"/>
                    </w:tabs>
                    <w:snapToGrid w:val="0"/>
                    <w:jc w:val="center"/>
                    <w:rPr>
                      <w:bCs/>
                      <w:szCs w:val="21"/>
                    </w:rPr>
                  </w:pPr>
                  <w:r>
                    <w:rPr>
                      <w:rFonts w:ascii="宋体" w:hAnsi="宋体"/>
                      <w:bCs/>
                      <w:szCs w:val="21"/>
                    </w:rPr>
                    <w:t>“</w:t>
                  </w:r>
                  <w:r>
                    <w:rPr>
                      <w:bCs/>
                      <w:szCs w:val="21"/>
                    </w:rPr>
                    <w:t>L</w:t>
                  </w:r>
                  <w:r>
                    <w:rPr>
                      <w:rFonts w:ascii="宋体" w:hAnsi="宋体"/>
                      <w:bCs/>
                      <w:szCs w:val="21"/>
                    </w:rPr>
                    <w:t>”</w:t>
                  </w:r>
                  <w:r>
                    <w:rPr>
                      <w:bCs/>
                      <w:szCs w:val="21"/>
                    </w:rPr>
                    <w:t>表示监测值低于方法检出限值，报出值为检出限值。石油类参照地表水环境质量标准</w:t>
                  </w:r>
                  <w:r>
                    <w:rPr>
                      <w:b/>
                      <w:bCs/>
                      <w:szCs w:val="21"/>
                    </w:rPr>
                    <w:fldChar w:fldCharType="begin"/>
                  </w:r>
                  <w:r>
                    <w:rPr>
                      <w:b/>
                      <w:bCs/>
                      <w:szCs w:val="21"/>
                    </w:rPr>
                    <w:instrText xml:space="preserve"> </w:instrText>
                  </w:r>
                  <w:r>
                    <w:rPr>
                      <w:rFonts w:hint="eastAsia"/>
                      <w:b/>
                      <w:bCs/>
                      <w:szCs w:val="21"/>
                    </w:rPr>
                    <w:instrText xml:space="preserve">= 3 \* ROMAN</w:instrText>
                  </w:r>
                  <w:r>
                    <w:rPr>
                      <w:b/>
                      <w:bCs/>
                      <w:szCs w:val="21"/>
                    </w:rPr>
                    <w:instrText xml:space="preserve"> </w:instrText>
                  </w:r>
                  <w:r>
                    <w:rPr>
                      <w:b/>
                      <w:bCs/>
                      <w:szCs w:val="21"/>
                    </w:rPr>
                    <w:fldChar w:fldCharType="separate"/>
                  </w:r>
                  <w:r>
                    <w:rPr>
                      <w:b/>
                      <w:bCs/>
                      <w:szCs w:val="21"/>
                    </w:rPr>
                    <w:t>III</w:t>
                  </w:r>
                  <w:r>
                    <w:rPr>
                      <w:b/>
                      <w:bCs/>
                      <w:szCs w:val="21"/>
                    </w:rPr>
                    <w:fldChar w:fldCharType="end"/>
                  </w:r>
                  <w:r>
                    <w:rPr>
                      <w:b/>
                      <w:bCs/>
                      <w:szCs w:val="21"/>
                    </w:rPr>
                    <w:t>类标准值。</w:t>
                  </w:r>
                  <w:r>
                    <w:rPr>
                      <w:bCs/>
                      <w:szCs w:val="21"/>
                    </w:rPr>
                    <w:t>高锰酸盐指数参照《地下水质量标准》(GB/T14848—2017)的耗氧量进行评价。</w:t>
                  </w:r>
                </w:p>
              </w:tc>
            </w:tr>
          </w:tbl>
          <w:p>
            <w:pPr>
              <w:spacing w:line="360" w:lineRule="auto"/>
              <w:ind w:firstLine="420" w:firstLineChars="200"/>
              <w:rPr>
                <w:bCs/>
                <w:szCs w:val="21"/>
              </w:rPr>
            </w:pPr>
          </w:p>
          <w:p>
            <w:pPr>
              <w:spacing w:line="360" w:lineRule="auto"/>
              <w:ind w:firstLine="420" w:firstLineChars="200"/>
              <w:rPr>
                <w:rFonts w:eastAsia="附件"/>
                <w:kern w:val="0"/>
                <w:szCs w:val="21"/>
              </w:rPr>
            </w:pPr>
            <w:r>
              <w:rPr>
                <w:bCs/>
                <w:szCs w:val="21"/>
              </w:rPr>
              <w:t>由</w:t>
            </w:r>
            <w:r>
              <w:rPr>
                <w:rFonts w:hint="eastAsia"/>
                <w:bCs/>
                <w:szCs w:val="21"/>
              </w:rPr>
              <w:t>上表</w:t>
            </w:r>
            <w:r>
              <w:rPr>
                <w:bCs/>
                <w:szCs w:val="21"/>
              </w:rPr>
              <w:t>统计分析可知，各监测点水质良好，各项监测指标均可达到</w:t>
            </w:r>
            <w:r>
              <w:rPr>
                <w:bCs/>
                <w:szCs w:val="21"/>
              </w:rPr>
              <w:fldChar w:fldCharType="begin"/>
            </w:r>
            <w:r>
              <w:rPr>
                <w:bCs/>
                <w:szCs w:val="21"/>
              </w:rPr>
              <w:instrText xml:space="preserve"> = 3 \* ROMAN </w:instrText>
            </w:r>
            <w:r>
              <w:rPr>
                <w:bCs/>
                <w:szCs w:val="21"/>
              </w:rPr>
              <w:fldChar w:fldCharType="separate"/>
            </w:r>
            <w:r>
              <w:rPr>
                <w:bCs/>
                <w:szCs w:val="21"/>
              </w:rPr>
              <w:t>《地下水质量标准》</w:t>
            </w:r>
            <w:r>
              <w:rPr>
                <w:rFonts w:hint="eastAsia"/>
                <w:bCs/>
                <w:szCs w:val="21"/>
              </w:rPr>
              <w:t>（</w:t>
            </w:r>
            <w:r>
              <w:rPr>
                <w:bCs/>
                <w:szCs w:val="21"/>
              </w:rPr>
              <w:t>GB/T14848—2017</w:t>
            </w:r>
            <w:r>
              <w:rPr>
                <w:rFonts w:hint="eastAsia"/>
                <w:bCs/>
                <w:szCs w:val="21"/>
              </w:rPr>
              <w:t>）</w:t>
            </w:r>
            <w:r>
              <w:rPr>
                <w:bCs/>
                <w:szCs w:val="21"/>
              </w:rPr>
              <w:fldChar w:fldCharType="begin"/>
            </w:r>
            <w:r>
              <w:rPr>
                <w:bCs/>
                <w:szCs w:val="21"/>
              </w:rPr>
              <w:instrText xml:space="preserve"> = 3 \* ROMAN </w:instrText>
            </w:r>
            <w:r>
              <w:rPr>
                <w:bCs/>
                <w:szCs w:val="21"/>
              </w:rPr>
              <w:fldChar w:fldCharType="separate"/>
            </w:r>
            <w:r>
              <w:rPr>
                <w:bCs/>
                <w:szCs w:val="21"/>
              </w:rPr>
              <w:t>III</w:t>
            </w:r>
            <w:r>
              <w:rPr>
                <w:bCs/>
                <w:szCs w:val="21"/>
              </w:rPr>
              <w:fldChar w:fldCharType="end"/>
            </w:r>
            <w:r>
              <w:rPr>
                <w:bCs/>
                <w:szCs w:val="21"/>
              </w:rPr>
              <w:fldChar w:fldCharType="end"/>
            </w:r>
            <w:r>
              <w:rPr>
                <w:bCs/>
                <w:szCs w:val="21"/>
              </w:rPr>
              <w:t>类水质标准。根据监测结果</w:t>
            </w:r>
            <w:r>
              <w:rPr>
                <w:rFonts w:eastAsia="附件"/>
                <w:bCs/>
                <w:szCs w:val="21"/>
              </w:rPr>
              <w:t>，阳离子以钙离子为主，阴离子以碳酸氢根离子为主，因此，项目区地下水化学类型为</w:t>
            </w:r>
            <w:r>
              <w:rPr>
                <w:rFonts w:eastAsia="附件"/>
                <w:kern w:val="0"/>
                <w:szCs w:val="21"/>
              </w:rPr>
              <w:t>HCO</w:t>
            </w:r>
            <w:r>
              <w:rPr>
                <w:rFonts w:eastAsia="附件"/>
                <w:bCs/>
                <w:kern w:val="0"/>
                <w:szCs w:val="21"/>
                <w:vertAlign w:val="subscript"/>
              </w:rPr>
              <w:t>3</w:t>
            </w:r>
            <w:r>
              <w:rPr>
                <w:rFonts w:eastAsia="附件"/>
                <w:bCs/>
                <w:szCs w:val="21"/>
              </w:rPr>
              <w:t>-</w:t>
            </w:r>
            <w:r>
              <w:rPr>
                <w:rFonts w:eastAsia="附件"/>
                <w:b/>
                <w:kern w:val="0"/>
                <w:szCs w:val="21"/>
              </w:rPr>
              <w:t>Ca</w:t>
            </w:r>
            <w:r>
              <w:rPr>
                <w:rFonts w:eastAsia="附件"/>
                <w:b/>
                <w:kern w:val="0"/>
                <w:szCs w:val="21"/>
                <w:vertAlign w:val="superscript"/>
              </w:rPr>
              <w:t>2+</w:t>
            </w:r>
            <w:r>
              <w:rPr>
                <w:rFonts w:eastAsia="附件"/>
                <w:b/>
                <w:kern w:val="0"/>
                <w:szCs w:val="21"/>
              </w:rPr>
              <w:t>、</w:t>
            </w:r>
            <w:r>
              <w:rPr>
                <w:szCs w:val="21"/>
              </w:rPr>
              <w:t>Mg</w:t>
            </w:r>
            <w:r>
              <w:rPr>
                <w:szCs w:val="21"/>
                <w:vertAlign w:val="superscript"/>
              </w:rPr>
              <w:t>2+</w:t>
            </w:r>
            <w:r>
              <w:rPr>
                <w:rFonts w:eastAsia="附件"/>
                <w:kern w:val="0"/>
                <w:szCs w:val="21"/>
              </w:rPr>
              <w:t>型水。</w:t>
            </w:r>
          </w:p>
          <w:p>
            <w:pPr>
              <w:spacing w:line="360" w:lineRule="auto"/>
              <w:ind w:firstLine="420" w:firstLineChars="200"/>
              <w:rPr>
                <w:szCs w:val="21"/>
              </w:rPr>
            </w:pPr>
            <w:r>
              <w:rPr>
                <w:szCs w:val="21"/>
              </w:rPr>
              <w:t>5、土壤环境</w:t>
            </w:r>
          </w:p>
          <w:p>
            <w:pPr>
              <w:spacing w:line="360" w:lineRule="auto"/>
              <w:ind w:firstLine="420" w:firstLineChars="200"/>
              <w:rPr>
                <w:rFonts w:eastAsia="附件"/>
                <w:szCs w:val="21"/>
              </w:rPr>
            </w:pPr>
            <w:r>
              <w:rPr>
                <w:rFonts w:eastAsia="附件"/>
                <w:szCs w:val="21"/>
              </w:rPr>
              <w:t>为了解项目所在地土壤环境现状，2022年6月30日重庆智海科技有限责任公司对平安101井所在地土壤质量现状进行采样监测。</w:t>
            </w:r>
          </w:p>
          <w:p>
            <w:pPr>
              <w:tabs>
                <w:tab w:val="left" w:pos="10395"/>
              </w:tabs>
              <w:spacing w:line="360" w:lineRule="auto"/>
              <w:ind w:firstLine="420" w:firstLineChars="200"/>
              <w:rPr>
                <w:rFonts w:eastAsia="附件"/>
                <w:bCs/>
                <w:szCs w:val="21"/>
              </w:rPr>
            </w:pPr>
            <w:r>
              <w:rPr>
                <w:rFonts w:eastAsia="附件"/>
                <w:bCs/>
                <w:szCs w:val="21"/>
              </w:rPr>
              <w:t>（1）监测项目：镉、汞、砷、铅、铬、铜、镍、锌、石油烃（C10-C40）、硫化物。</w:t>
            </w:r>
          </w:p>
          <w:p>
            <w:pPr>
              <w:tabs>
                <w:tab w:val="left" w:pos="2730"/>
              </w:tabs>
              <w:spacing w:line="360" w:lineRule="auto"/>
              <w:ind w:firstLine="420" w:firstLineChars="200"/>
              <w:rPr>
                <w:bCs/>
                <w:szCs w:val="21"/>
              </w:rPr>
            </w:pPr>
            <w:r>
              <w:rPr>
                <w:rFonts w:eastAsia="附件"/>
                <w:bCs/>
                <w:szCs w:val="21"/>
              </w:rPr>
              <w:t>（2）监测布点：设6个监测点，其中</w:t>
            </w:r>
            <w:r>
              <w:rPr>
                <w:bCs/>
                <w:szCs w:val="21"/>
              </w:rPr>
              <w:t>设3个柱状样，S1（放喷池范围）、S2（应急池范围）、S3（集液池范围），取样深度分别为0-0.5m、0.5-1.5m、1.5-3m，测建设项目用地特征因子；设1个表层样S4（泥浆储备罐范围），测建设项目用地土壤45项因子及特征因子；2个表层样S5（井场占地南侧）、S6（井场占地北侧）仅测特征因子；</w:t>
            </w:r>
            <w:r>
              <w:rPr>
                <w:rFonts w:hint="eastAsia"/>
                <w:bCs/>
                <w:szCs w:val="21"/>
              </w:rPr>
              <w:t>各监测点布设符合《环境影响评价技术导则 土壤环境》中布点原则及布点数量。</w:t>
            </w:r>
          </w:p>
          <w:p>
            <w:pPr>
              <w:autoSpaceDE w:val="0"/>
              <w:autoSpaceDN w:val="0"/>
              <w:spacing w:line="360" w:lineRule="auto"/>
              <w:ind w:firstLine="420" w:firstLineChars="200"/>
              <w:rPr>
                <w:rFonts w:eastAsia="附件"/>
                <w:szCs w:val="21"/>
              </w:rPr>
            </w:pPr>
            <w:r>
              <w:rPr>
                <w:rFonts w:eastAsia="附件"/>
                <w:szCs w:val="21"/>
              </w:rPr>
              <w:t>（3）监测频次：取1次样。</w:t>
            </w:r>
          </w:p>
          <w:p>
            <w:pPr>
              <w:autoSpaceDE w:val="0"/>
              <w:autoSpaceDN w:val="0"/>
              <w:spacing w:line="360" w:lineRule="auto"/>
              <w:ind w:firstLine="420" w:firstLineChars="200"/>
              <w:rPr>
                <w:rFonts w:eastAsia="附件"/>
                <w:kern w:val="0"/>
                <w:szCs w:val="21"/>
              </w:rPr>
            </w:pPr>
            <w:r>
              <w:rPr>
                <w:rFonts w:eastAsia="附件"/>
                <w:szCs w:val="21"/>
              </w:rPr>
              <w:t>（4）评价标准：基本因子执行《土壤环境质量农用地土壤污染风险管控标准（试行）》（GB15618-2018）筛选值。特征因子石油烃参照执行《土壤环境质量建设用地土壤污染风险管控标准（试行）》（GB36600-2018）第二类用地筛选值。硫化物列出监测值。</w:t>
            </w:r>
          </w:p>
          <w:p>
            <w:pPr>
              <w:autoSpaceDE w:val="0"/>
              <w:autoSpaceDN w:val="0"/>
              <w:spacing w:line="360" w:lineRule="auto"/>
              <w:ind w:firstLine="420" w:firstLineChars="200"/>
              <w:rPr>
                <w:rFonts w:eastAsia="附件"/>
                <w:kern w:val="0"/>
                <w:szCs w:val="21"/>
              </w:rPr>
            </w:pPr>
            <w:r>
              <w:rPr>
                <w:rFonts w:eastAsia="附件"/>
                <w:kern w:val="0"/>
                <w:szCs w:val="21"/>
              </w:rPr>
              <w:t>（5）评价方法：土壤环境质量现状评价应采用标准指数法，并进行统计分析，给出样本数量、最大值、最小值、均值等。</w:t>
            </w:r>
          </w:p>
          <w:p>
            <w:pPr>
              <w:autoSpaceDE w:val="0"/>
              <w:autoSpaceDN w:val="0"/>
              <w:spacing w:line="360" w:lineRule="auto"/>
              <w:ind w:firstLine="420" w:firstLineChars="200"/>
              <w:rPr>
                <w:rFonts w:eastAsia="附件"/>
                <w:kern w:val="0"/>
                <w:szCs w:val="21"/>
              </w:rPr>
            </w:pPr>
            <w:r>
              <w:rPr>
                <w:rFonts w:eastAsia="附件"/>
                <w:kern w:val="0"/>
                <w:szCs w:val="21"/>
              </w:rPr>
              <w:t>（6）土壤环境质量监测结果及评价结果</w:t>
            </w:r>
          </w:p>
          <w:p>
            <w:pPr>
              <w:pStyle w:val="331"/>
              <w:numPr>
                <w:ilvl w:val="0"/>
                <w:numId w:val="6"/>
              </w:numPr>
              <w:adjustRightInd w:val="0"/>
              <w:snapToGrid w:val="0"/>
              <w:spacing w:line="360" w:lineRule="auto"/>
              <w:ind w:left="0" w:firstLine="0" w:firstLineChars="0"/>
              <w:jc w:val="center"/>
              <w:rPr>
                <w:b/>
                <w:bCs/>
                <w:kern w:val="0"/>
                <w:szCs w:val="21"/>
              </w:rPr>
            </w:pPr>
            <w:r>
              <w:rPr>
                <w:b/>
                <w:bCs/>
                <w:kern w:val="0"/>
                <w:szCs w:val="21"/>
              </w:rPr>
              <w:t>S1~S3土壤环境现状监测及评价结果（单位：mg/kg，pH无量纲）</w:t>
            </w:r>
          </w:p>
          <w:tbl>
            <w:tblPr>
              <w:tblStyle w:val="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3"/>
              <w:gridCol w:w="1000"/>
              <w:gridCol w:w="850"/>
              <w:gridCol w:w="850"/>
              <w:gridCol w:w="850"/>
              <w:gridCol w:w="993"/>
              <w:gridCol w:w="851"/>
              <w:gridCol w:w="850"/>
              <w:gridCol w:w="709"/>
              <w:gridCol w:w="5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tblHeader/>
                <w:jc w:val="center"/>
              </w:trPr>
              <w:tc>
                <w:tcPr>
                  <w:tcW w:w="7996" w:type="dxa"/>
                  <w:gridSpan w:val="10"/>
                  <w:vAlign w:val="center"/>
                </w:tcPr>
                <w:p>
                  <w:pPr>
                    <w:widowControl/>
                    <w:adjustRightInd w:val="0"/>
                    <w:snapToGrid w:val="0"/>
                    <w:spacing w:line="240" w:lineRule="exact"/>
                    <w:jc w:val="center"/>
                    <w:textAlignment w:val="center"/>
                    <w:rPr>
                      <w:rFonts w:eastAsia="附件"/>
                      <w:kern w:val="0"/>
                      <w:szCs w:val="21"/>
                    </w:rPr>
                  </w:pPr>
                  <w:r>
                    <w:rPr>
                      <w:rFonts w:eastAsia="附件"/>
                      <w:kern w:val="0"/>
                      <w:szCs w:val="21"/>
                    </w:rPr>
                    <w:t>S1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tblHeader/>
                <w:jc w:val="center"/>
              </w:trPr>
              <w:tc>
                <w:tcPr>
                  <w:tcW w:w="523" w:type="dxa"/>
                  <w:vMerge w:val="restart"/>
                  <w:vAlign w:val="center"/>
                </w:tcPr>
                <w:p>
                  <w:pPr>
                    <w:autoSpaceDE w:val="0"/>
                    <w:autoSpaceDN w:val="0"/>
                    <w:adjustRightInd w:val="0"/>
                    <w:snapToGrid w:val="0"/>
                    <w:spacing w:line="240" w:lineRule="exact"/>
                    <w:jc w:val="center"/>
                    <w:rPr>
                      <w:rFonts w:eastAsia="附件"/>
                      <w:kern w:val="0"/>
                      <w:szCs w:val="21"/>
                    </w:rPr>
                  </w:pPr>
                  <w:r>
                    <w:rPr>
                      <w:rFonts w:eastAsia="附件"/>
                      <w:kern w:val="0"/>
                      <w:szCs w:val="21"/>
                    </w:rPr>
                    <w:t>编号</w:t>
                  </w:r>
                </w:p>
              </w:tc>
              <w:tc>
                <w:tcPr>
                  <w:tcW w:w="1000" w:type="dxa"/>
                  <w:vMerge w:val="restart"/>
                  <w:vAlign w:val="center"/>
                </w:tcPr>
                <w:p>
                  <w:pPr>
                    <w:widowControl/>
                    <w:adjustRightInd w:val="0"/>
                    <w:snapToGrid w:val="0"/>
                    <w:spacing w:line="240" w:lineRule="exact"/>
                    <w:jc w:val="center"/>
                    <w:textAlignment w:val="center"/>
                    <w:rPr>
                      <w:rFonts w:eastAsia="附件"/>
                      <w:kern w:val="0"/>
                      <w:szCs w:val="21"/>
                    </w:rPr>
                  </w:pPr>
                  <w:r>
                    <w:rPr>
                      <w:rFonts w:eastAsia="附件"/>
                      <w:kern w:val="0"/>
                      <w:szCs w:val="21"/>
                    </w:rPr>
                    <w:t>因子</w:t>
                  </w:r>
                </w:p>
              </w:tc>
              <w:tc>
                <w:tcPr>
                  <w:tcW w:w="850" w:type="dxa"/>
                  <w:vMerge w:val="restart"/>
                  <w:vAlign w:val="center"/>
                </w:tcPr>
                <w:p>
                  <w:pPr>
                    <w:adjustRightInd w:val="0"/>
                    <w:snapToGrid w:val="0"/>
                    <w:spacing w:line="240" w:lineRule="exact"/>
                    <w:jc w:val="center"/>
                    <w:textAlignment w:val="center"/>
                    <w:rPr>
                      <w:rFonts w:eastAsia="附件"/>
                      <w:kern w:val="0"/>
                      <w:szCs w:val="21"/>
                    </w:rPr>
                  </w:pPr>
                  <w:r>
                    <w:rPr>
                      <w:rFonts w:eastAsia="附件"/>
                      <w:kern w:val="0"/>
                      <w:szCs w:val="21"/>
                    </w:rPr>
                    <w:t>（0~0.5）</w:t>
                  </w:r>
                </w:p>
              </w:tc>
              <w:tc>
                <w:tcPr>
                  <w:tcW w:w="850" w:type="dxa"/>
                  <w:vMerge w:val="restart"/>
                  <w:vAlign w:val="center"/>
                </w:tcPr>
                <w:p>
                  <w:pPr>
                    <w:adjustRightInd w:val="0"/>
                    <w:snapToGrid w:val="0"/>
                    <w:spacing w:line="240" w:lineRule="exact"/>
                    <w:jc w:val="center"/>
                    <w:textAlignment w:val="center"/>
                    <w:rPr>
                      <w:rFonts w:eastAsia="附件"/>
                      <w:kern w:val="0"/>
                      <w:szCs w:val="21"/>
                    </w:rPr>
                  </w:pPr>
                  <w:r>
                    <w:rPr>
                      <w:rFonts w:eastAsia="附件"/>
                      <w:kern w:val="0"/>
                      <w:szCs w:val="21"/>
                    </w:rPr>
                    <w:t>（0.5~1.5）</w:t>
                  </w:r>
                </w:p>
              </w:tc>
              <w:tc>
                <w:tcPr>
                  <w:tcW w:w="850" w:type="dxa"/>
                  <w:vMerge w:val="restart"/>
                  <w:vAlign w:val="center"/>
                </w:tcPr>
                <w:p>
                  <w:pPr>
                    <w:adjustRightInd w:val="0"/>
                    <w:snapToGrid w:val="0"/>
                    <w:spacing w:line="240" w:lineRule="exact"/>
                    <w:jc w:val="center"/>
                    <w:textAlignment w:val="center"/>
                    <w:rPr>
                      <w:rFonts w:eastAsia="附件"/>
                      <w:kern w:val="0"/>
                      <w:szCs w:val="21"/>
                    </w:rPr>
                  </w:pPr>
                  <w:r>
                    <w:rPr>
                      <w:rFonts w:eastAsia="附件"/>
                      <w:kern w:val="0"/>
                      <w:szCs w:val="21"/>
                    </w:rPr>
                    <w:t>（1.5~3.0）</w:t>
                  </w:r>
                </w:p>
              </w:tc>
              <w:tc>
                <w:tcPr>
                  <w:tcW w:w="993" w:type="dxa"/>
                  <w:vMerge w:val="restart"/>
                  <w:vAlign w:val="center"/>
                </w:tcPr>
                <w:p>
                  <w:pPr>
                    <w:widowControl/>
                    <w:adjustRightInd w:val="0"/>
                    <w:snapToGrid w:val="0"/>
                    <w:spacing w:line="240" w:lineRule="exact"/>
                    <w:jc w:val="center"/>
                    <w:textAlignment w:val="center"/>
                    <w:rPr>
                      <w:rFonts w:eastAsia="附件"/>
                      <w:kern w:val="0"/>
                      <w:szCs w:val="21"/>
                    </w:rPr>
                  </w:pPr>
                  <w:r>
                    <w:rPr>
                      <w:kern w:val="0"/>
                      <w:szCs w:val="21"/>
                    </w:rPr>
                    <w:t>标准限值</w:t>
                  </w:r>
                </w:p>
              </w:tc>
              <w:tc>
                <w:tcPr>
                  <w:tcW w:w="2410" w:type="dxa"/>
                  <w:gridSpan w:val="3"/>
                  <w:vAlign w:val="center"/>
                </w:tcPr>
                <w:p>
                  <w:pPr>
                    <w:widowControl/>
                    <w:adjustRightInd w:val="0"/>
                    <w:snapToGrid w:val="0"/>
                    <w:spacing w:line="240" w:lineRule="exact"/>
                    <w:jc w:val="center"/>
                    <w:textAlignment w:val="center"/>
                    <w:rPr>
                      <w:rFonts w:eastAsia="附件"/>
                      <w:kern w:val="0"/>
                      <w:szCs w:val="21"/>
                    </w:rPr>
                  </w:pPr>
                  <w:r>
                    <w:rPr>
                      <w:rFonts w:eastAsia="附件"/>
                      <w:kern w:val="0"/>
                      <w:szCs w:val="21"/>
                    </w:rPr>
                    <w:t>最大标准指数值</w:t>
                  </w:r>
                </w:p>
              </w:tc>
              <w:tc>
                <w:tcPr>
                  <w:tcW w:w="520" w:type="dxa"/>
                  <w:vMerge w:val="restart"/>
                  <w:vAlign w:val="center"/>
                </w:tcPr>
                <w:p>
                  <w:pPr>
                    <w:widowControl/>
                    <w:adjustRightInd w:val="0"/>
                    <w:snapToGrid w:val="0"/>
                    <w:spacing w:line="240" w:lineRule="exact"/>
                    <w:jc w:val="center"/>
                    <w:textAlignment w:val="center"/>
                    <w:rPr>
                      <w:rFonts w:eastAsia="附件"/>
                      <w:kern w:val="0"/>
                      <w:szCs w:val="21"/>
                    </w:rPr>
                  </w:pPr>
                  <w:r>
                    <w:rPr>
                      <w:rFonts w:eastAsia="附件"/>
                      <w:kern w:val="0"/>
                      <w:szCs w:val="21"/>
                    </w:rPr>
                    <w:t>超标率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tblHeader/>
                <w:jc w:val="center"/>
              </w:trPr>
              <w:tc>
                <w:tcPr>
                  <w:tcW w:w="523" w:type="dxa"/>
                  <w:vMerge w:val="continue"/>
                  <w:vAlign w:val="center"/>
                </w:tcPr>
                <w:p>
                  <w:pPr>
                    <w:autoSpaceDE w:val="0"/>
                    <w:autoSpaceDN w:val="0"/>
                    <w:adjustRightInd w:val="0"/>
                    <w:snapToGrid w:val="0"/>
                    <w:spacing w:line="240" w:lineRule="exact"/>
                    <w:jc w:val="center"/>
                    <w:rPr>
                      <w:rFonts w:eastAsia="附件"/>
                      <w:kern w:val="0"/>
                      <w:szCs w:val="21"/>
                    </w:rPr>
                  </w:pPr>
                </w:p>
              </w:tc>
              <w:tc>
                <w:tcPr>
                  <w:tcW w:w="1000" w:type="dxa"/>
                  <w:vMerge w:val="continue"/>
                  <w:vAlign w:val="center"/>
                </w:tcPr>
                <w:p>
                  <w:pPr>
                    <w:widowControl/>
                    <w:adjustRightInd w:val="0"/>
                    <w:snapToGrid w:val="0"/>
                    <w:spacing w:line="240" w:lineRule="exact"/>
                    <w:jc w:val="center"/>
                    <w:textAlignment w:val="center"/>
                    <w:rPr>
                      <w:rFonts w:eastAsia="附件"/>
                      <w:kern w:val="0"/>
                      <w:szCs w:val="21"/>
                    </w:rPr>
                  </w:pPr>
                </w:p>
              </w:tc>
              <w:tc>
                <w:tcPr>
                  <w:tcW w:w="850" w:type="dxa"/>
                  <w:vMerge w:val="continue"/>
                  <w:vAlign w:val="center"/>
                </w:tcPr>
                <w:p>
                  <w:pPr>
                    <w:widowControl/>
                    <w:adjustRightInd w:val="0"/>
                    <w:snapToGrid w:val="0"/>
                    <w:spacing w:line="240" w:lineRule="exact"/>
                    <w:jc w:val="center"/>
                    <w:textAlignment w:val="center"/>
                    <w:rPr>
                      <w:rFonts w:eastAsia="附件"/>
                      <w:kern w:val="0"/>
                      <w:szCs w:val="21"/>
                    </w:rPr>
                  </w:pPr>
                </w:p>
              </w:tc>
              <w:tc>
                <w:tcPr>
                  <w:tcW w:w="850" w:type="dxa"/>
                  <w:vMerge w:val="continue"/>
                  <w:vAlign w:val="center"/>
                </w:tcPr>
                <w:p>
                  <w:pPr>
                    <w:widowControl/>
                    <w:adjustRightInd w:val="0"/>
                    <w:snapToGrid w:val="0"/>
                    <w:spacing w:line="240" w:lineRule="exact"/>
                    <w:jc w:val="center"/>
                    <w:textAlignment w:val="center"/>
                    <w:rPr>
                      <w:rFonts w:eastAsia="附件"/>
                      <w:kern w:val="0"/>
                      <w:szCs w:val="21"/>
                    </w:rPr>
                  </w:pPr>
                </w:p>
              </w:tc>
              <w:tc>
                <w:tcPr>
                  <w:tcW w:w="850" w:type="dxa"/>
                  <w:vMerge w:val="continue"/>
                  <w:vAlign w:val="center"/>
                </w:tcPr>
                <w:p>
                  <w:pPr>
                    <w:widowControl/>
                    <w:adjustRightInd w:val="0"/>
                    <w:snapToGrid w:val="0"/>
                    <w:spacing w:line="240" w:lineRule="exact"/>
                    <w:jc w:val="center"/>
                    <w:textAlignment w:val="center"/>
                    <w:rPr>
                      <w:rFonts w:eastAsia="附件"/>
                      <w:kern w:val="0"/>
                      <w:szCs w:val="21"/>
                    </w:rPr>
                  </w:pPr>
                </w:p>
              </w:tc>
              <w:tc>
                <w:tcPr>
                  <w:tcW w:w="993" w:type="dxa"/>
                  <w:vMerge w:val="continue"/>
                  <w:vAlign w:val="center"/>
                </w:tcPr>
                <w:p>
                  <w:pPr>
                    <w:widowControl/>
                    <w:adjustRightInd w:val="0"/>
                    <w:snapToGrid w:val="0"/>
                    <w:spacing w:line="240" w:lineRule="exact"/>
                    <w:jc w:val="center"/>
                    <w:textAlignment w:val="center"/>
                    <w:rPr>
                      <w:rFonts w:eastAsia="附件"/>
                      <w:kern w:val="0"/>
                      <w:szCs w:val="21"/>
                    </w:rPr>
                  </w:pPr>
                </w:p>
              </w:tc>
              <w:tc>
                <w:tcPr>
                  <w:tcW w:w="851" w:type="dxa"/>
                  <w:vAlign w:val="center"/>
                </w:tcPr>
                <w:p>
                  <w:pPr>
                    <w:widowControl/>
                    <w:adjustRightInd w:val="0"/>
                    <w:snapToGrid w:val="0"/>
                    <w:spacing w:line="240" w:lineRule="exact"/>
                    <w:jc w:val="center"/>
                    <w:textAlignment w:val="center"/>
                    <w:rPr>
                      <w:rFonts w:eastAsia="附件"/>
                      <w:kern w:val="0"/>
                      <w:szCs w:val="21"/>
                    </w:rPr>
                  </w:pPr>
                  <w:r>
                    <w:rPr>
                      <w:rFonts w:eastAsia="附件"/>
                      <w:kern w:val="0"/>
                      <w:szCs w:val="21"/>
                    </w:rPr>
                    <w:t>（0~0.5）</w:t>
                  </w:r>
                </w:p>
              </w:tc>
              <w:tc>
                <w:tcPr>
                  <w:tcW w:w="850" w:type="dxa"/>
                  <w:vAlign w:val="center"/>
                </w:tcPr>
                <w:p>
                  <w:pPr>
                    <w:widowControl/>
                    <w:adjustRightInd w:val="0"/>
                    <w:snapToGrid w:val="0"/>
                    <w:spacing w:line="240" w:lineRule="exact"/>
                    <w:jc w:val="center"/>
                    <w:textAlignment w:val="center"/>
                    <w:rPr>
                      <w:rFonts w:eastAsia="附件"/>
                      <w:kern w:val="0"/>
                      <w:szCs w:val="21"/>
                    </w:rPr>
                  </w:pPr>
                  <w:r>
                    <w:rPr>
                      <w:rFonts w:eastAsia="附件"/>
                      <w:kern w:val="0"/>
                      <w:szCs w:val="21"/>
                    </w:rPr>
                    <w:t>（0.5~1.5）</w:t>
                  </w:r>
                </w:p>
              </w:tc>
              <w:tc>
                <w:tcPr>
                  <w:tcW w:w="709" w:type="dxa"/>
                  <w:vAlign w:val="center"/>
                </w:tcPr>
                <w:p>
                  <w:pPr>
                    <w:widowControl/>
                    <w:adjustRightInd w:val="0"/>
                    <w:snapToGrid w:val="0"/>
                    <w:spacing w:line="240" w:lineRule="exact"/>
                    <w:jc w:val="center"/>
                    <w:textAlignment w:val="center"/>
                    <w:rPr>
                      <w:rFonts w:eastAsia="附件"/>
                      <w:kern w:val="0"/>
                      <w:szCs w:val="21"/>
                    </w:rPr>
                  </w:pPr>
                  <w:r>
                    <w:rPr>
                      <w:rFonts w:eastAsia="附件"/>
                      <w:kern w:val="0"/>
                      <w:szCs w:val="21"/>
                    </w:rPr>
                    <w:t>（1.5~3.0）</w:t>
                  </w:r>
                </w:p>
              </w:tc>
              <w:tc>
                <w:tcPr>
                  <w:tcW w:w="520" w:type="dxa"/>
                  <w:vMerge w:val="continue"/>
                  <w:vAlign w:val="center"/>
                </w:tcPr>
                <w:p>
                  <w:pPr>
                    <w:widowControl/>
                    <w:adjustRightInd w:val="0"/>
                    <w:snapToGrid w:val="0"/>
                    <w:spacing w:line="240" w:lineRule="exact"/>
                    <w:jc w:val="center"/>
                    <w:textAlignment w:val="center"/>
                    <w:rPr>
                      <w:rFonts w:eastAsia="附件"/>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tblHeader/>
                <w:jc w:val="center"/>
              </w:trPr>
              <w:tc>
                <w:tcPr>
                  <w:tcW w:w="523" w:type="dxa"/>
                  <w:vAlign w:val="center"/>
                </w:tcPr>
                <w:p>
                  <w:pPr>
                    <w:adjustRightInd w:val="0"/>
                    <w:snapToGrid w:val="0"/>
                    <w:spacing w:line="240" w:lineRule="exact"/>
                    <w:jc w:val="center"/>
                    <w:rPr>
                      <w:rFonts w:eastAsia="附件"/>
                      <w:kern w:val="0"/>
                      <w:szCs w:val="21"/>
                    </w:rPr>
                  </w:pPr>
                  <w:r>
                    <w:rPr>
                      <w:rFonts w:eastAsia="附件"/>
                      <w:kern w:val="0"/>
                      <w:szCs w:val="21"/>
                    </w:rPr>
                    <w:t>1</w:t>
                  </w:r>
                </w:p>
              </w:tc>
              <w:tc>
                <w:tcPr>
                  <w:tcW w:w="1000" w:type="dxa"/>
                  <w:vAlign w:val="center"/>
                </w:tcPr>
                <w:p>
                  <w:pPr>
                    <w:widowControl/>
                    <w:spacing w:line="240" w:lineRule="exact"/>
                    <w:jc w:val="center"/>
                    <w:rPr>
                      <w:rFonts w:eastAsia="附件"/>
                      <w:szCs w:val="21"/>
                    </w:rPr>
                  </w:pPr>
                  <w:r>
                    <w:rPr>
                      <w:rFonts w:eastAsia="附件"/>
                      <w:szCs w:val="21"/>
                    </w:rPr>
                    <w:t>石油烃</w:t>
                  </w:r>
                </w:p>
              </w:tc>
              <w:tc>
                <w:tcPr>
                  <w:tcW w:w="850" w:type="dxa"/>
                  <w:vAlign w:val="center"/>
                </w:tcPr>
                <w:p>
                  <w:pPr>
                    <w:widowControl/>
                    <w:adjustRightInd w:val="0"/>
                    <w:snapToGrid w:val="0"/>
                    <w:spacing w:line="240" w:lineRule="exact"/>
                    <w:jc w:val="center"/>
                    <w:textAlignment w:val="center"/>
                    <w:rPr>
                      <w:rFonts w:eastAsia="附件"/>
                      <w:kern w:val="0"/>
                      <w:szCs w:val="21"/>
                    </w:rPr>
                  </w:pPr>
                  <w:r>
                    <w:rPr>
                      <w:rFonts w:hint="eastAsia" w:eastAsia="附件"/>
                      <w:kern w:val="0"/>
                      <w:szCs w:val="21"/>
                    </w:rPr>
                    <w:t>190</w:t>
                  </w:r>
                </w:p>
              </w:tc>
              <w:tc>
                <w:tcPr>
                  <w:tcW w:w="850" w:type="dxa"/>
                  <w:vAlign w:val="center"/>
                </w:tcPr>
                <w:p>
                  <w:pPr>
                    <w:widowControl/>
                    <w:adjustRightInd w:val="0"/>
                    <w:snapToGrid w:val="0"/>
                    <w:spacing w:line="240" w:lineRule="exact"/>
                    <w:jc w:val="center"/>
                    <w:textAlignment w:val="center"/>
                    <w:rPr>
                      <w:rFonts w:eastAsia="附件"/>
                      <w:kern w:val="0"/>
                      <w:szCs w:val="21"/>
                    </w:rPr>
                  </w:pPr>
                  <w:r>
                    <w:rPr>
                      <w:rFonts w:hint="eastAsia" w:eastAsia="附件"/>
                      <w:kern w:val="0"/>
                      <w:szCs w:val="21"/>
                    </w:rPr>
                    <w:t>176</w:t>
                  </w:r>
                </w:p>
              </w:tc>
              <w:tc>
                <w:tcPr>
                  <w:tcW w:w="850" w:type="dxa"/>
                  <w:vAlign w:val="center"/>
                </w:tcPr>
                <w:p>
                  <w:pPr>
                    <w:widowControl/>
                    <w:adjustRightInd w:val="0"/>
                    <w:snapToGrid w:val="0"/>
                    <w:spacing w:line="240" w:lineRule="exact"/>
                    <w:jc w:val="center"/>
                    <w:textAlignment w:val="center"/>
                    <w:rPr>
                      <w:rFonts w:eastAsia="附件"/>
                      <w:kern w:val="0"/>
                      <w:szCs w:val="21"/>
                    </w:rPr>
                  </w:pPr>
                  <w:r>
                    <w:rPr>
                      <w:rFonts w:hint="eastAsia" w:eastAsia="附件"/>
                      <w:kern w:val="0"/>
                      <w:szCs w:val="21"/>
                    </w:rPr>
                    <w:t>170</w:t>
                  </w:r>
                </w:p>
              </w:tc>
              <w:tc>
                <w:tcPr>
                  <w:tcW w:w="993" w:type="dxa"/>
                  <w:vAlign w:val="center"/>
                </w:tcPr>
                <w:p>
                  <w:pPr>
                    <w:widowControl/>
                    <w:adjustRightInd w:val="0"/>
                    <w:snapToGrid w:val="0"/>
                    <w:spacing w:line="240" w:lineRule="exact"/>
                    <w:jc w:val="center"/>
                    <w:textAlignment w:val="center"/>
                    <w:rPr>
                      <w:rFonts w:eastAsia="附件"/>
                      <w:kern w:val="0"/>
                      <w:szCs w:val="21"/>
                    </w:rPr>
                  </w:pPr>
                  <w:r>
                    <w:rPr>
                      <w:rFonts w:eastAsia="附件"/>
                      <w:kern w:val="0"/>
                      <w:szCs w:val="21"/>
                    </w:rPr>
                    <w:t>4500</w:t>
                  </w:r>
                </w:p>
              </w:tc>
              <w:tc>
                <w:tcPr>
                  <w:tcW w:w="851" w:type="dxa"/>
                  <w:vAlign w:val="center"/>
                </w:tcPr>
                <w:p>
                  <w:pPr>
                    <w:jc w:val="center"/>
                    <w:rPr>
                      <w:rFonts w:eastAsia="附件"/>
                      <w:kern w:val="0"/>
                      <w:szCs w:val="21"/>
                    </w:rPr>
                  </w:pPr>
                  <w:r>
                    <w:rPr>
                      <w:rFonts w:hint="eastAsia" w:eastAsia="附件"/>
                      <w:kern w:val="0"/>
                      <w:szCs w:val="21"/>
                    </w:rPr>
                    <w:t>0.042</w:t>
                  </w:r>
                </w:p>
              </w:tc>
              <w:tc>
                <w:tcPr>
                  <w:tcW w:w="850" w:type="dxa"/>
                  <w:vAlign w:val="center"/>
                </w:tcPr>
                <w:p>
                  <w:pPr>
                    <w:jc w:val="center"/>
                    <w:rPr>
                      <w:rFonts w:eastAsia="附件"/>
                      <w:kern w:val="0"/>
                      <w:szCs w:val="21"/>
                    </w:rPr>
                  </w:pPr>
                  <w:r>
                    <w:rPr>
                      <w:rFonts w:hint="eastAsia" w:eastAsia="附件"/>
                      <w:kern w:val="0"/>
                      <w:szCs w:val="21"/>
                    </w:rPr>
                    <w:t>0.039</w:t>
                  </w:r>
                </w:p>
              </w:tc>
              <w:tc>
                <w:tcPr>
                  <w:tcW w:w="709" w:type="dxa"/>
                  <w:vAlign w:val="center"/>
                </w:tcPr>
                <w:p>
                  <w:pPr>
                    <w:jc w:val="center"/>
                    <w:rPr>
                      <w:rFonts w:eastAsia="附件"/>
                      <w:kern w:val="0"/>
                      <w:szCs w:val="21"/>
                    </w:rPr>
                  </w:pPr>
                  <w:r>
                    <w:rPr>
                      <w:rFonts w:hint="eastAsia" w:eastAsia="附件"/>
                      <w:kern w:val="0"/>
                      <w:szCs w:val="21"/>
                    </w:rPr>
                    <w:t>0.038</w:t>
                  </w:r>
                </w:p>
              </w:tc>
              <w:tc>
                <w:tcPr>
                  <w:tcW w:w="520" w:type="dxa"/>
                  <w:vAlign w:val="center"/>
                </w:tcPr>
                <w:p>
                  <w:pPr>
                    <w:widowControl/>
                    <w:adjustRightInd w:val="0"/>
                    <w:snapToGrid w:val="0"/>
                    <w:spacing w:line="240" w:lineRule="exact"/>
                    <w:jc w:val="center"/>
                    <w:textAlignment w:val="center"/>
                    <w:rPr>
                      <w:rFonts w:eastAsia="附件"/>
                      <w:kern w:val="0"/>
                      <w:szCs w:val="21"/>
                    </w:rPr>
                  </w:pPr>
                  <w:r>
                    <w:rPr>
                      <w:rFonts w:eastAsia="附件"/>
                      <w:kern w:val="0"/>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tblHeader/>
                <w:jc w:val="center"/>
              </w:trPr>
              <w:tc>
                <w:tcPr>
                  <w:tcW w:w="523" w:type="dxa"/>
                  <w:vAlign w:val="center"/>
                </w:tcPr>
                <w:p>
                  <w:pPr>
                    <w:adjustRightInd w:val="0"/>
                    <w:snapToGrid w:val="0"/>
                    <w:spacing w:line="240" w:lineRule="exact"/>
                    <w:jc w:val="center"/>
                    <w:rPr>
                      <w:rFonts w:eastAsia="附件"/>
                      <w:kern w:val="0"/>
                      <w:szCs w:val="21"/>
                    </w:rPr>
                  </w:pPr>
                  <w:r>
                    <w:rPr>
                      <w:rFonts w:eastAsia="附件"/>
                      <w:kern w:val="0"/>
                      <w:szCs w:val="21"/>
                    </w:rPr>
                    <w:t>2</w:t>
                  </w:r>
                </w:p>
              </w:tc>
              <w:tc>
                <w:tcPr>
                  <w:tcW w:w="1000" w:type="dxa"/>
                  <w:vAlign w:val="center"/>
                </w:tcPr>
                <w:p>
                  <w:pPr>
                    <w:widowControl/>
                    <w:spacing w:line="240" w:lineRule="exact"/>
                    <w:jc w:val="center"/>
                    <w:rPr>
                      <w:rFonts w:eastAsia="附件"/>
                      <w:szCs w:val="21"/>
                    </w:rPr>
                  </w:pPr>
                  <w:r>
                    <w:rPr>
                      <w:rFonts w:eastAsia="附件"/>
                      <w:szCs w:val="21"/>
                    </w:rPr>
                    <w:t>硫化物</w:t>
                  </w:r>
                </w:p>
              </w:tc>
              <w:tc>
                <w:tcPr>
                  <w:tcW w:w="850" w:type="dxa"/>
                  <w:vAlign w:val="center"/>
                </w:tcPr>
                <w:p>
                  <w:pPr>
                    <w:widowControl/>
                    <w:adjustRightInd w:val="0"/>
                    <w:snapToGrid w:val="0"/>
                    <w:spacing w:line="240" w:lineRule="exact"/>
                    <w:jc w:val="center"/>
                    <w:textAlignment w:val="center"/>
                    <w:rPr>
                      <w:rFonts w:eastAsia="附件"/>
                      <w:kern w:val="0"/>
                      <w:szCs w:val="21"/>
                    </w:rPr>
                  </w:pPr>
                  <w:r>
                    <w:rPr>
                      <w:rFonts w:hint="eastAsia" w:eastAsia="附件"/>
                      <w:kern w:val="0"/>
                      <w:szCs w:val="21"/>
                    </w:rPr>
                    <w:t>ND</w:t>
                  </w:r>
                </w:p>
              </w:tc>
              <w:tc>
                <w:tcPr>
                  <w:tcW w:w="850" w:type="dxa"/>
                </w:tcPr>
                <w:p>
                  <w:pPr>
                    <w:widowControl/>
                    <w:adjustRightInd w:val="0"/>
                    <w:snapToGrid w:val="0"/>
                    <w:spacing w:line="240" w:lineRule="exact"/>
                    <w:jc w:val="center"/>
                    <w:textAlignment w:val="center"/>
                    <w:rPr>
                      <w:rFonts w:eastAsia="附件"/>
                      <w:kern w:val="0"/>
                      <w:szCs w:val="21"/>
                    </w:rPr>
                  </w:pPr>
                  <w:r>
                    <w:rPr>
                      <w:rFonts w:hint="eastAsia" w:eastAsia="附件"/>
                      <w:kern w:val="0"/>
                      <w:szCs w:val="21"/>
                    </w:rPr>
                    <w:t>ND</w:t>
                  </w:r>
                </w:p>
              </w:tc>
              <w:tc>
                <w:tcPr>
                  <w:tcW w:w="850" w:type="dxa"/>
                </w:tcPr>
                <w:p>
                  <w:pPr>
                    <w:widowControl/>
                    <w:adjustRightInd w:val="0"/>
                    <w:snapToGrid w:val="0"/>
                    <w:spacing w:line="240" w:lineRule="exact"/>
                    <w:jc w:val="center"/>
                    <w:textAlignment w:val="center"/>
                    <w:rPr>
                      <w:rFonts w:eastAsia="附件"/>
                      <w:kern w:val="0"/>
                      <w:szCs w:val="21"/>
                    </w:rPr>
                  </w:pPr>
                  <w:r>
                    <w:rPr>
                      <w:rFonts w:hint="eastAsia" w:eastAsia="附件"/>
                      <w:kern w:val="0"/>
                      <w:szCs w:val="21"/>
                    </w:rPr>
                    <w:t>ND</w:t>
                  </w:r>
                </w:p>
              </w:tc>
              <w:tc>
                <w:tcPr>
                  <w:tcW w:w="993" w:type="dxa"/>
                  <w:vAlign w:val="center"/>
                </w:tcPr>
                <w:p>
                  <w:pPr>
                    <w:widowControl/>
                    <w:adjustRightInd w:val="0"/>
                    <w:snapToGrid w:val="0"/>
                    <w:spacing w:line="240" w:lineRule="exact"/>
                    <w:jc w:val="center"/>
                    <w:textAlignment w:val="center"/>
                    <w:rPr>
                      <w:rFonts w:eastAsia="附件"/>
                      <w:kern w:val="0"/>
                      <w:szCs w:val="21"/>
                    </w:rPr>
                  </w:pPr>
                  <w:r>
                    <w:rPr>
                      <w:rFonts w:eastAsia="附件"/>
                      <w:kern w:val="0"/>
                      <w:szCs w:val="21"/>
                    </w:rPr>
                    <w:t>/</w:t>
                  </w:r>
                </w:p>
              </w:tc>
              <w:tc>
                <w:tcPr>
                  <w:tcW w:w="851" w:type="dxa"/>
                  <w:vAlign w:val="center"/>
                </w:tcPr>
                <w:p>
                  <w:pPr>
                    <w:jc w:val="center"/>
                    <w:rPr>
                      <w:rFonts w:eastAsia="附件"/>
                      <w:kern w:val="0"/>
                      <w:szCs w:val="21"/>
                    </w:rPr>
                  </w:pPr>
                  <w:r>
                    <w:rPr>
                      <w:rFonts w:eastAsia="附件"/>
                      <w:kern w:val="0"/>
                      <w:szCs w:val="21"/>
                    </w:rPr>
                    <w:t>/</w:t>
                  </w:r>
                </w:p>
              </w:tc>
              <w:tc>
                <w:tcPr>
                  <w:tcW w:w="850" w:type="dxa"/>
                  <w:vAlign w:val="center"/>
                </w:tcPr>
                <w:p>
                  <w:pPr>
                    <w:jc w:val="center"/>
                    <w:rPr>
                      <w:rFonts w:eastAsia="附件"/>
                      <w:kern w:val="0"/>
                      <w:szCs w:val="21"/>
                    </w:rPr>
                  </w:pPr>
                  <w:r>
                    <w:rPr>
                      <w:rFonts w:eastAsia="附件"/>
                      <w:kern w:val="0"/>
                      <w:szCs w:val="21"/>
                    </w:rPr>
                    <w:t>/</w:t>
                  </w:r>
                </w:p>
              </w:tc>
              <w:tc>
                <w:tcPr>
                  <w:tcW w:w="709" w:type="dxa"/>
                  <w:vAlign w:val="center"/>
                </w:tcPr>
                <w:p>
                  <w:pPr>
                    <w:jc w:val="center"/>
                    <w:rPr>
                      <w:rFonts w:eastAsia="附件"/>
                      <w:kern w:val="0"/>
                      <w:szCs w:val="21"/>
                    </w:rPr>
                  </w:pPr>
                  <w:r>
                    <w:rPr>
                      <w:rFonts w:eastAsia="附件"/>
                      <w:kern w:val="0"/>
                      <w:szCs w:val="21"/>
                    </w:rPr>
                    <w:t>/</w:t>
                  </w:r>
                </w:p>
              </w:tc>
              <w:tc>
                <w:tcPr>
                  <w:tcW w:w="520" w:type="dxa"/>
                  <w:vAlign w:val="center"/>
                </w:tcPr>
                <w:p>
                  <w:pPr>
                    <w:widowControl/>
                    <w:adjustRightInd w:val="0"/>
                    <w:snapToGrid w:val="0"/>
                    <w:spacing w:line="240" w:lineRule="exact"/>
                    <w:jc w:val="center"/>
                    <w:textAlignment w:val="center"/>
                    <w:rPr>
                      <w:rFonts w:eastAsia="附件"/>
                      <w:kern w:val="0"/>
                      <w:szCs w:val="21"/>
                    </w:rPr>
                  </w:pPr>
                  <w:r>
                    <w:rPr>
                      <w:rFonts w:eastAsia="附件"/>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tblHeader/>
                <w:jc w:val="center"/>
              </w:trPr>
              <w:tc>
                <w:tcPr>
                  <w:tcW w:w="7996" w:type="dxa"/>
                  <w:gridSpan w:val="10"/>
                  <w:vAlign w:val="center"/>
                </w:tcPr>
                <w:p>
                  <w:pPr>
                    <w:widowControl/>
                    <w:adjustRightInd w:val="0"/>
                    <w:snapToGrid w:val="0"/>
                    <w:spacing w:line="240" w:lineRule="exact"/>
                    <w:jc w:val="center"/>
                    <w:textAlignment w:val="center"/>
                    <w:rPr>
                      <w:rFonts w:eastAsia="附件"/>
                      <w:kern w:val="0"/>
                      <w:szCs w:val="21"/>
                    </w:rPr>
                  </w:pPr>
                  <w:r>
                    <w:rPr>
                      <w:rFonts w:eastAsia="附件"/>
                      <w:kern w:val="0"/>
                      <w:szCs w:val="21"/>
                    </w:rPr>
                    <w:t>S2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tblHeader/>
                <w:jc w:val="center"/>
              </w:trPr>
              <w:tc>
                <w:tcPr>
                  <w:tcW w:w="523" w:type="dxa"/>
                  <w:vAlign w:val="center"/>
                </w:tcPr>
                <w:p>
                  <w:pPr>
                    <w:adjustRightInd w:val="0"/>
                    <w:snapToGrid w:val="0"/>
                    <w:spacing w:line="240" w:lineRule="exact"/>
                    <w:jc w:val="center"/>
                    <w:rPr>
                      <w:rFonts w:eastAsia="附件"/>
                      <w:kern w:val="0"/>
                      <w:szCs w:val="21"/>
                    </w:rPr>
                  </w:pPr>
                  <w:r>
                    <w:rPr>
                      <w:rFonts w:eastAsia="附件"/>
                      <w:kern w:val="0"/>
                      <w:szCs w:val="21"/>
                    </w:rPr>
                    <w:t>1</w:t>
                  </w:r>
                </w:p>
              </w:tc>
              <w:tc>
                <w:tcPr>
                  <w:tcW w:w="1000" w:type="dxa"/>
                  <w:vAlign w:val="center"/>
                </w:tcPr>
                <w:p>
                  <w:pPr>
                    <w:widowControl/>
                    <w:spacing w:line="240" w:lineRule="exact"/>
                    <w:jc w:val="center"/>
                    <w:rPr>
                      <w:rFonts w:eastAsia="附件"/>
                      <w:szCs w:val="21"/>
                    </w:rPr>
                  </w:pPr>
                  <w:r>
                    <w:rPr>
                      <w:rFonts w:eastAsia="附件"/>
                      <w:szCs w:val="21"/>
                    </w:rPr>
                    <w:t>石油烃</w:t>
                  </w:r>
                </w:p>
              </w:tc>
              <w:tc>
                <w:tcPr>
                  <w:tcW w:w="850" w:type="dxa"/>
                  <w:vAlign w:val="center"/>
                </w:tcPr>
                <w:p>
                  <w:pPr>
                    <w:widowControl/>
                    <w:adjustRightInd w:val="0"/>
                    <w:snapToGrid w:val="0"/>
                    <w:spacing w:line="240" w:lineRule="exact"/>
                    <w:jc w:val="center"/>
                    <w:textAlignment w:val="center"/>
                    <w:rPr>
                      <w:rFonts w:eastAsia="附件"/>
                      <w:kern w:val="0"/>
                      <w:szCs w:val="21"/>
                    </w:rPr>
                  </w:pPr>
                  <w:r>
                    <w:rPr>
                      <w:rFonts w:hint="eastAsia" w:eastAsia="附件"/>
                      <w:kern w:val="0"/>
                      <w:szCs w:val="21"/>
                    </w:rPr>
                    <w:t>112</w:t>
                  </w:r>
                </w:p>
              </w:tc>
              <w:tc>
                <w:tcPr>
                  <w:tcW w:w="850" w:type="dxa"/>
                  <w:vAlign w:val="center"/>
                </w:tcPr>
                <w:p>
                  <w:pPr>
                    <w:widowControl/>
                    <w:adjustRightInd w:val="0"/>
                    <w:snapToGrid w:val="0"/>
                    <w:spacing w:line="240" w:lineRule="exact"/>
                    <w:jc w:val="center"/>
                    <w:textAlignment w:val="center"/>
                    <w:rPr>
                      <w:rFonts w:eastAsia="附件"/>
                      <w:kern w:val="0"/>
                      <w:szCs w:val="21"/>
                    </w:rPr>
                  </w:pPr>
                  <w:r>
                    <w:rPr>
                      <w:rFonts w:hint="eastAsia" w:eastAsia="附件"/>
                      <w:kern w:val="0"/>
                      <w:szCs w:val="21"/>
                    </w:rPr>
                    <w:t>86</w:t>
                  </w:r>
                </w:p>
              </w:tc>
              <w:tc>
                <w:tcPr>
                  <w:tcW w:w="850" w:type="dxa"/>
                  <w:vAlign w:val="center"/>
                </w:tcPr>
                <w:p>
                  <w:pPr>
                    <w:widowControl/>
                    <w:adjustRightInd w:val="0"/>
                    <w:snapToGrid w:val="0"/>
                    <w:spacing w:line="240" w:lineRule="exact"/>
                    <w:jc w:val="center"/>
                    <w:textAlignment w:val="center"/>
                    <w:rPr>
                      <w:rFonts w:eastAsia="附件"/>
                      <w:kern w:val="0"/>
                      <w:szCs w:val="21"/>
                    </w:rPr>
                  </w:pPr>
                  <w:r>
                    <w:rPr>
                      <w:rFonts w:hint="eastAsia" w:eastAsia="附件"/>
                      <w:kern w:val="0"/>
                      <w:szCs w:val="21"/>
                    </w:rPr>
                    <w:t>78</w:t>
                  </w:r>
                </w:p>
              </w:tc>
              <w:tc>
                <w:tcPr>
                  <w:tcW w:w="993" w:type="dxa"/>
                  <w:vAlign w:val="center"/>
                </w:tcPr>
                <w:p>
                  <w:pPr>
                    <w:widowControl/>
                    <w:adjustRightInd w:val="0"/>
                    <w:snapToGrid w:val="0"/>
                    <w:spacing w:line="240" w:lineRule="exact"/>
                    <w:jc w:val="center"/>
                    <w:textAlignment w:val="center"/>
                    <w:rPr>
                      <w:rFonts w:eastAsia="附件"/>
                      <w:kern w:val="0"/>
                      <w:szCs w:val="21"/>
                    </w:rPr>
                  </w:pPr>
                  <w:r>
                    <w:rPr>
                      <w:rFonts w:eastAsia="附件"/>
                      <w:kern w:val="0"/>
                      <w:szCs w:val="21"/>
                    </w:rPr>
                    <w:t>4500</w:t>
                  </w:r>
                </w:p>
              </w:tc>
              <w:tc>
                <w:tcPr>
                  <w:tcW w:w="851" w:type="dxa"/>
                  <w:vAlign w:val="center"/>
                </w:tcPr>
                <w:p>
                  <w:pPr>
                    <w:jc w:val="center"/>
                    <w:rPr>
                      <w:szCs w:val="21"/>
                    </w:rPr>
                  </w:pPr>
                  <w:r>
                    <w:rPr>
                      <w:rFonts w:hint="eastAsia"/>
                      <w:szCs w:val="21"/>
                    </w:rPr>
                    <w:t>0.025</w:t>
                  </w:r>
                </w:p>
              </w:tc>
              <w:tc>
                <w:tcPr>
                  <w:tcW w:w="850" w:type="dxa"/>
                  <w:vAlign w:val="center"/>
                </w:tcPr>
                <w:p>
                  <w:pPr>
                    <w:jc w:val="center"/>
                    <w:rPr>
                      <w:szCs w:val="21"/>
                    </w:rPr>
                  </w:pPr>
                  <w:r>
                    <w:rPr>
                      <w:rFonts w:hint="eastAsia"/>
                      <w:szCs w:val="21"/>
                    </w:rPr>
                    <w:t>0.019</w:t>
                  </w:r>
                </w:p>
              </w:tc>
              <w:tc>
                <w:tcPr>
                  <w:tcW w:w="709" w:type="dxa"/>
                  <w:vAlign w:val="center"/>
                </w:tcPr>
                <w:p>
                  <w:pPr>
                    <w:jc w:val="center"/>
                    <w:rPr>
                      <w:szCs w:val="21"/>
                    </w:rPr>
                  </w:pPr>
                  <w:r>
                    <w:rPr>
                      <w:rFonts w:hint="eastAsia"/>
                      <w:szCs w:val="21"/>
                    </w:rPr>
                    <w:t>0.017</w:t>
                  </w:r>
                </w:p>
              </w:tc>
              <w:tc>
                <w:tcPr>
                  <w:tcW w:w="520" w:type="dxa"/>
                  <w:vAlign w:val="center"/>
                </w:tcPr>
                <w:p>
                  <w:pPr>
                    <w:widowControl/>
                    <w:adjustRightInd w:val="0"/>
                    <w:snapToGrid w:val="0"/>
                    <w:spacing w:line="240" w:lineRule="exact"/>
                    <w:jc w:val="center"/>
                    <w:textAlignment w:val="center"/>
                    <w:rPr>
                      <w:rFonts w:eastAsia="附件"/>
                      <w:kern w:val="0"/>
                      <w:szCs w:val="21"/>
                    </w:rPr>
                  </w:pPr>
                  <w:r>
                    <w:rPr>
                      <w:rFonts w:eastAsia="附件"/>
                      <w:kern w:val="0"/>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tblHeader/>
                <w:jc w:val="center"/>
              </w:trPr>
              <w:tc>
                <w:tcPr>
                  <w:tcW w:w="523" w:type="dxa"/>
                  <w:vAlign w:val="center"/>
                </w:tcPr>
                <w:p>
                  <w:pPr>
                    <w:adjustRightInd w:val="0"/>
                    <w:snapToGrid w:val="0"/>
                    <w:spacing w:line="240" w:lineRule="exact"/>
                    <w:jc w:val="center"/>
                    <w:rPr>
                      <w:rFonts w:eastAsia="附件"/>
                      <w:kern w:val="0"/>
                      <w:szCs w:val="21"/>
                    </w:rPr>
                  </w:pPr>
                  <w:r>
                    <w:rPr>
                      <w:rFonts w:eastAsia="附件"/>
                      <w:kern w:val="0"/>
                      <w:szCs w:val="21"/>
                    </w:rPr>
                    <w:t>2</w:t>
                  </w:r>
                </w:p>
              </w:tc>
              <w:tc>
                <w:tcPr>
                  <w:tcW w:w="1000" w:type="dxa"/>
                  <w:vAlign w:val="center"/>
                </w:tcPr>
                <w:p>
                  <w:pPr>
                    <w:widowControl/>
                    <w:spacing w:line="240" w:lineRule="exact"/>
                    <w:jc w:val="center"/>
                    <w:rPr>
                      <w:rFonts w:eastAsia="附件"/>
                      <w:szCs w:val="21"/>
                    </w:rPr>
                  </w:pPr>
                  <w:r>
                    <w:rPr>
                      <w:rFonts w:eastAsia="附件"/>
                      <w:szCs w:val="21"/>
                    </w:rPr>
                    <w:t>硫化物</w:t>
                  </w:r>
                </w:p>
              </w:tc>
              <w:tc>
                <w:tcPr>
                  <w:tcW w:w="850" w:type="dxa"/>
                  <w:vAlign w:val="center"/>
                </w:tcPr>
                <w:p>
                  <w:pPr>
                    <w:widowControl/>
                    <w:adjustRightInd w:val="0"/>
                    <w:snapToGrid w:val="0"/>
                    <w:spacing w:line="240" w:lineRule="exact"/>
                    <w:jc w:val="center"/>
                    <w:textAlignment w:val="center"/>
                    <w:rPr>
                      <w:rFonts w:eastAsia="附件"/>
                      <w:kern w:val="0"/>
                      <w:szCs w:val="21"/>
                    </w:rPr>
                  </w:pPr>
                  <w:r>
                    <w:rPr>
                      <w:rFonts w:hint="eastAsia" w:eastAsia="附件"/>
                      <w:kern w:val="0"/>
                      <w:szCs w:val="21"/>
                    </w:rPr>
                    <w:t>ND</w:t>
                  </w:r>
                </w:p>
              </w:tc>
              <w:tc>
                <w:tcPr>
                  <w:tcW w:w="850" w:type="dxa"/>
                </w:tcPr>
                <w:p>
                  <w:pPr>
                    <w:widowControl/>
                    <w:adjustRightInd w:val="0"/>
                    <w:snapToGrid w:val="0"/>
                    <w:spacing w:line="240" w:lineRule="exact"/>
                    <w:jc w:val="center"/>
                    <w:textAlignment w:val="center"/>
                    <w:rPr>
                      <w:rFonts w:eastAsia="附件"/>
                      <w:kern w:val="0"/>
                      <w:szCs w:val="21"/>
                    </w:rPr>
                  </w:pPr>
                  <w:r>
                    <w:rPr>
                      <w:rFonts w:hint="eastAsia" w:eastAsia="附件"/>
                      <w:kern w:val="0"/>
                      <w:szCs w:val="21"/>
                    </w:rPr>
                    <w:t>ND</w:t>
                  </w:r>
                </w:p>
              </w:tc>
              <w:tc>
                <w:tcPr>
                  <w:tcW w:w="850" w:type="dxa"/>
                </w:tcPr>
                <w:p>
                  <w:pPr>
                    <w:widowControl/>
                    <w:adjustRightInd w:val="0"/>
                    <w:snapToGrid w:val="0"/>
                    <w:spacing w:line="240" w:lineRule="exact"/>
                    <w:jc w:val="center"/>
                    <w:textAlignment w:val="center"/>
                    <w:rPr>
                      <w:rFonts w:eastAsia="附件"/>
                      <w:kern w:val="0"/>
                      <w:szCs w:val="21"/>
                    </w:rPr>
                  </w:pPr>
                  <w:r>
                    <w:rPr>
                      <w:rFonts w:hint="eastAsia" w:eastAsia="附件"/>
                      <w:kern w:val="0"/>
                      <w:szCs w:val="21"/>
                    </w:rPr>
                    <w:t>ND</w:t>
                  </w:r>
                </w:p>
              </w:tc>
              <w:tc>
                <w:tcPr>
                  <w:tcW w:w="993" w:type="dxa"/>
                  <w:vAlign w:val="center"/>
                </w:tcPr>
                <w:p>
                  <w:pPr>
                    <w:widowControl/>
                    <w:adjustRightInd w:val="0"/>
                    <w:snapToGrid w:val="0"/>
                    <w:spacing w:line="240" w:lineRule="exact"/>
                    <w:jc w:val="center"/>
                    <w:textAlignment w:val="center"/>
                    <w:rPr>
                      <w:rFonts w:eastAsia="附件"/>
                      <w:kern w:val="0"/>
                      <w:szCs w:val="21"/>
                    </w:rPr>
                  </w:pPr>
                  <w:r>
                    <w:rPr>
                      <w:rFonts w:eastAsia="附件"/>
                      <w:kern w:val="0"/>
                      <w:szCs w:val="21"/>
                    </w:rPr>
                    <w:t>/</w:t>
                  </w:r>
                </w:p>
              </w:tc>
              <w:tc>
                <w:tcPr>
                  <w:tcW w:w="851" w:type="dxa"/>
                  <w:vAlign w:val="center"/>
                </w:tcPr>
                <w:p>
                  <w:pPr>
                    <w:jc w:val="center"/>
                    <w:rPr>
                      <w:rFonts w:eastAsia="附件"/>
                      <w:kern w:val="0"/>
                      <w:szCs w:val="21"/>
                    </w:rPr>
                  </w:pPr>
                  <w:r>
                    <w:rPr>
                      <w:rFonts w:eastAsia="附件"/>
                      <w:kern w:val="0"/>
                      <w:szCs w:val="21"/>
                    </w:rPr>
                    <w:t>/</w:t>
                  </w:r>
                </w:p>
              </w:tc>
              <w:tc>
                <w:tcPr>
                  <w:tcW w:w="850" w:type="dxa"/>
                  <w:vAlign w:val="center"/>
                </w:tcPr>
                <w:p>
                  <w:pPr>
                    <w:jc w:val="center"/>
                    <w:rPr>
                      <w:rFonts w:eastAsia="附件"/>
                      <w:kern w:val="0"/>
                      <w:szCs w:val="21"/>
                    </w:rPr>
                  </w:pPr>
                  <w:r>
                    <w:rPr>
                      <w:rFonts w:eastAsia="附件"/>
                      <w:kern w:val="0"/>
                      <w:szCs w:val="21"/>
                    </w:rPr>
                    <w:t>/</w:t>
                  </w:r>
                </w:p>
              </w:tc>
              <w:tc>
                <w:tcPr>
                  <w:tcW w:w="709" w:type="dxa"/>
                  <w:vAlign w:val="center"/>
                </w:tcPr>
                <w:p>
                  <w:pPr>
                    <w:jc w:val="center"/>
                    <w:rPr>
                      <w:rFonts w:eastAsia="附件"/>
                      <w:kern w:val="0"/>
                      <w:szCs w:val="21"/>
                    </w:rPr>
                  </w:pPr>
                  <w:r>
                    <w:rPr>
                      <w:rFonts w:eastAsia="附件"/>
                      <w:kern w:val="0"/>
                      <w:szCs w:val="21"/>
                    </w:rPr>
                    <w:t>/</w:t>
                  </w:r>
                </w:p>
              </w:tc>
              <w:tc>
                <w:tcPr>
                  <w:tcW w:w="520" w:type="dxa"/>
                  <w:vAlign w:val="center"/>
                </w:tcPr>
                <w:p>
                  <w:pPr>
                    <w:widowControl/>
                    <w:adjustRightInd w:val="0"/>
                    <w:snapToGrid w:val="0"/>
                    <w:spacing w:line="240" w:lineRule="exact"/>
                    <w:jc w:val="center"/>
                    <w:textAlignment w:val="center"/>
                    <w:rPr>
                      <w:rFonts w:eastAsia="附件"/>
                      <w:kern w:val="0"/>
                      <w:szCs w:val="21"/>
                    </w:rPr>
                  </w:pPr>
                  <w:r>
                    <w:rPr>
                      <w:rFonts w:eastAsia="附件"/>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tblHeader/>
                <w:jc w:val="center"/>
              </w:trPr>
              <w:tc>
                <w:tcPr>
                  <w:tcW w:w="7996" w:type="dxa"/>
                  <w:gridSpan w:val="10"/>
                  <w:vAlign w:val="center"/>
                </w:tcPr>
                <w:p>
                  <w:pPr>
                    <w:widowControl/>
                    <w:adjustRightInd w:val="0"/>
                    <w:snapToGrid w:val="0"/>
                    <w:spacing w:line="240" w:lineRule="exact"/>
                    <w:jc w:val="center"/>
                    <w:textAlignment w:val="center"/>
                    <w:rPr>
                      <w:rFonts w:eastAsia="附件"/>
                      <w:kern w:val="0"/>
                      <w:szCs w:val="21"/>
                    </w:rPr>
                  </w:pPr>
                  <w:r>
                    <w:rPr>
                      <w:rFonts w:eastAsia="附件"/>
                      <w:kern w:val="0"/>
                      <w:szCs w:val="21"/>
                    </w:rPr>
                    <w:t>S3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tblHeader/>
                <w:jc w:val="center"/>
              </w:trPr>
              <w:tc>
                <w:tcPr>
                  <w:tcW w:w="523" w:type="dxa"/>
                  <w:vAlign w:val="center"/>
                </w:tcPr>
                <w:p>
                  <w:pPr>
                    <w:adjustRightInd w:val="0"/>
                    <w:snapToGrid w:val="0"/>
                    <w:spacing w:line="240" w:lineRule="exact"/>
                    <w:jc w:val="center"/>
                    <w:rPr>
                      <w:rFonts w:eastAsia="附件"/>
                      <w:kern w:val="0"/>
                      <w:szCs w:val="21"/>
                    </w:rPr>
                  </w:pPr>
                  <w:r>
                    <w:rPr>
                      <w:rFonts w:eastAsia="附件"/>
                      <w:kern w:val="0"/>
                      <w:szCs w:val="21"/>
                    </w:rPr>
                    <w:t>1</w:t>
                  </w:r>
                </w:p>
              </w:tc>
              <w:tc>
                <w:tcPr>
                  <w:tcW w:w="1000" w:type="dxa"/>
                  <w:vAlign w:val="center"/>
                </w:tcPr>
                <w:p>
                  <w:pPr>
                    <w:widowControl/>
                    <w:spacing w:line="240" w:lineRule="exact"/>
                    <w:jc w:val="center"/>
                    <w:rPr>
                      <w:rFonts w:eastAsia="附件"/>
                      <w:szCs w:val="21"/>
                    </w:rPr>
                  </w:pPr>
                  <w:r>
                    <w:rPr>
                      <w:rFonts w:eastAsia="附件"/>
                      <w:szCs w:val="21"/>
                    </w:rPr>
                    <w:t>石油烃</w:t>
                  </w:r>
                </w:p>
              </w:tc>
              <w:tc>
                <w:tcPr>
                  <w:tcW w:w="850" w:type="dxa"/>
                  <w:vAlign w:val="center"/>
                </w:tcPr>
                <w:p>
                  <w:pPr>
                    <w:widowControl/>
                    <w:adjustRightInd w:val="0"/>
                    <w:snapToGrid w:val="0"/>
                    <w:spacing w:line="240" w:lineRule="exact"/>
                    <w:jc w:val="center"/>
                    <w:textAlignment w:val="center"/>
                    <w:rPr>
                      <w:rFonts w:eastAsia="附件"/>
                      <w:kern w:val="0"/>
                      <w:szCs w:val="21"/>
                    </w:rPr>
                  </w:pPr>
                  <w:r>
                    <w:rPr>
                      <w:rFonts w:hint="eastAsia" w:eastAsia="附件"/>
                      <w:kern w:val="0"/>
                      <w:szCs w:val="21"/>
                    </w:rPr>
                    <w:t>110</w:t>
                  </w:r>
                </w:p>
              </w:tc>
              <w:tc>
                <w:tcPr>
                  <w:tcW w:w="850" w:type="dxa"/>
                  <w:vAlign w:val="center"/>
                </w:tcPr>
                <w:p>
                  <w:pPr>
                    <w:widowControl/>
                    <w:adjustRightInd w:val="0"/>
                    <w:snapToGrid w:val="0"/>
                    <w:spacing w:line="240" w:lineRule="exact"/>
                    <w:jc w:val="center"/>
                    <w:textAlignment w:val="center"/>
                    <w:rPr>
                      <w:rFonts w:eastAsia="附件"/>
                      <w:kern w:val="0"/>
                      <w:szCs w:val="21"/>
                    </w:rPr>
                  </w:pPr>
                  <w:r>
                    <w:rPr>
                      <w:rFonts w:hint="eastAsia" w:eastAsia="附件"/>
                      <w:kern w:val="0"/>
                      <w:szCs w:val="21"/>
                    </w:rPr>
                    <w:t>80</w:t>
                  </w:r>
                </w:p>
              </w:tc>
              <w:tc>
                <w:tcPr>
                  <w:tcW w:w="850" w:type="dxa"/>
                  <w:vAlign w:val="center"/>
                </w:tcPr>
                <w:p>
                  <w:pPr>
                    <w:widowControl/>
                    <w:adjustRightInd w:val="0"/>
                    <w:snapToGrid w:val="0"/>
                    <w:spacing w:line="240" w:lineRule="exact"/>
                    <w:jc w:val="center"/>
                    <w:textAlignment w:val="center"/>
                    <w:rPr>
                      <w:rFonts w:eastAsia="附件"/>
                      <w:kern w:val="0"/>
                      <w:szCs w:val="21"/>
                    </w:rPr>
                  </w:pPr>
                  <w:r>
                    <w:rPr>
                      <w:rFonts w:hint="eastAsia" w:eastAsia="附件"/>
                      <w:kern w:val="0"/>
                      <w:szCs w:val="21"/>
                    </w:rPr>
                    <w:t>128</w:t>
                  </w:r>
                </w:p>
              </w:tc>
              <w:tc>
                <w:tcPr>
                  <w:tcW w:w="993" w:type="dxa"/>
                  <w:vAlign w:val="center"/>
                </w:tcPr>
                <w:p>
                  <w:pPr>
                    <w:widowControl/>
                    <w:adjustRightInd w:val="0"/>
                    <w:snapToGrid w:val="0"/>
                    <w:spacing w:line="240" w:lineRule="exact"/>
                    <w:jc w:val="center"/>
                    <w:textAlignment w:val="center"/>
                    <w:rPr>
                      <w:rFonts w:eastAsia="附件"/>
                      <w:kern w:val="0"/>
                      <w:szCs w:val="21"/>
                    </w:rPr>
                  </w:pPr>
                  <w:r>
                    <w:rPr>
                      <w:rFonts w:eastAsia="附件"/>
                      <w:kern w:val="0"/>
                      <w:szCs w:val="21"/>
                    </w:rPr>
                    <w:t>4500</w:t>
                  </w:r>
                </w:p>
              </w:tc>
              <w:tc>
                <w:tcPr>
                  <w:tcW w:w="851" w:type="dxa"/>
                  <w:vAlign w:val="center"/>
                </w:tcPr>
                <w:p>
                  <w:pPr>
                    <w:jc w:val="center"/>
                    <w:rPr>
                      <w:rFonts w:eastAsia="附件"/>
                      <w:kern w:val="0"/>
                      <w:szCs w:val="21"/>
                    </w:rPr>
                  </w:pPr>
                  <w:r>
                    <w:rPr>
                      <w:rFonts w:hint="eastAsia" w:eastAsia="附件"/>
                      <w:kern w:val="0"/>
                      <w:szCs w:val="21"/>
                    </w:rPr>
                    <w:t>0</w:t>
                  </w:r>
                  <w:r>
                    <w:rPr>
                      <w:rFonts w:eastAsia="附件"/>
                      <w:kern w:val="0"/>
                      <w:szCs w:val="21"/>
                    </w:rPr>
                    <w:t>.011</w:t>
                  </w:r>
                </w:p>
              </w:tc>
              <w:tc>
                <w:tcPr>
                  <w:tcW w:w="850" w:type="dxa"/>
                  <w:vAlign w:val="center"/>
                </w:tcPr>
                <w:p>
                  <w:pPr>
                    <w:jc w:val="center"/>
                    <w:rPr>
                      <w:rFonts w:eastAsia="附件"/>
                      <w:kern w:val="0"/>
                      <w:szCs w:val="21"/>
                    </w:rPr>
                  </w:pPr>
                  <w:r>
                    <w:rPr>
                      <w:rFonts w:hint="eastAsia" w:eastAsia="附件"/>
                      <w:kern w:val="0"/>
                      <w:szCs w:val="21"/>
                    </w:rPr>
                    <w:t>0</w:t>
                  </w:r>
                  <w:r>
                    <w:rPr>
                      <w:rFonts w:eastAsia="附件"/>
                      <w:kern w:val="0"/>
                      <w:szCs w:val="21"/>
                    </w:rPr>
                    <w:t>.018</w:t>
                  </w:r>
                </w:p>
              </w:tc>
              <w:tc>
                <w:tcPr>
                  <w:tcW w:w="709" w:type="dxa"/>
                  <w:vAlign w:val="center"/>
                </w:tcPr>
                <w:p>
                  <w:pPr>
                    <w:jc w:val="center"/>
                    <w:rPr>
                      <w:rFonts w:eastAsia="附件"/>
                      <w:kern w:val="0"/>
                      <w:szCs w:val="21"/>
                    </w:rPr>
                  </w:pPr>
                  <w:r>
                    <w:rPr>
                      <w:rFonts w:hint="eastAsia" w:eastAsia="附件"/>
                      <w:kern w:val="0"/>
                      <w:szCs w:val="21"/>
                    </w:rPr>
                    <w:t>0</w:t>
                  </w:r>
                  <w:r>
                    <w:rPr>
                      <w:rFonts w:eastAsia="附件"/>
                      <w:kern w:val="0"/>
                      <w:szCs w:val="21"/>
                    </w:rPr>
                    <w:t>.010</w:t>
                  </w:r>
                </w:p>
              </w:tc>
              <w:tc>
                <w:tcPr>
                  <w:tcW w:w="520" w:type="dxa"/>
                  <w:vAlign w:val="center"/>
                </w:tcPr>
                <w:p>
                  <w:pPr>
                    <w:widowControl/>
                    <w:adjustRightInd w:val="0"/>
                    <w:snapToGrid w:val="0"/>
                    <w:spacing w:line="240" w:lineRule="exact"/>
                    <w:jc w:val="center"/>
                    <w:textAlignment w:val="center"/>
                    <w:rPr>
                      <w:rFonts w:eastAsia="附件"/>
                      <w:kern w:val="0"/>
                      <w:szCs w:val="21"/>
                    </w:rPr>
                  </w:pPr>
                  <w:r>
                    <w:rPr>
                      <w:rFonts w:eastAsia="附件"/>
                      <w:kern w:val="0"/>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tblHeader/>
                <w:jc w:val="center"/>
              </w:trPr>
              <w:tc>
                <w:tcPr>
                  <w:tcW w:w="523" w:type="dxa"/>
                  <w:vAlign w:val="center"/>
                </w:tcPr>
                <w:p>
                  <w:pPr>
                    <w:adjustRightInd w:val="0"/>
                    <w:snapToGrid w:val="0"/>
                    <w:spacing w:line="240" w:lineRule="exact"/>
                    <w:jc w:val="center"/>
                    <w:rPr>
                      <w:rFonts w:eastAsia="附件"/>
                      <w:kern w:val="0"/>
                      <w:szCs w:val="21"/>
                    </w:rPr>
                  </w:pPr>
                  <w:r>
                    <w:rPr>
                      <w:rFonts w:eastAsia="附件"/>
                      <w:kern w:val="0"/>
                      <w:szCs w:val="21"/>
                    </w:rPr>
                    <w:t>2</w:t>
                  </w:r>
                </w:p>
              </w:tc>
              <w:tc>
                <w:tcPr>
                  <w:tcW w:w="1000" w:type="dxa"/>
                  <w:vAlign w:val="center"/>
                </w:tcPr>
                <w:p>
                  <w:pPr>
                    <w:widowControl/>
                    <w:spacing w:line="240" w:lineRule="exact"/>
                    <w:jc w:val="center"/>
                    <w:rPr>
                      <w:rFonts w:eastAsia="附件"/>
                      <w:szCs w:val="21"/>
                    </w:rPr>
                  </w:pPr>
                  <w:r>
                    <w:rPr>
                      <w:rFonts w:eastAsia="附件"/>
                      <w:szCs w:val="21"/>
                    </w:rPr>
                    <w:t>硫化物</w:t>
                  </w:r>
                </w:p>
              </w:tc>
              <w:tc>
                <w:tcPr>
                  <w:tcW w:w="850" w:type="dxa"/>
                  <w:vAlign w:val="center"/>
                </w:tcPr>
                <w:p>
                  <w:pPr>
                    <w:widowControl/>
                    <w:adjustRightInd w:val="0"/>
                    <w:snapToGrid w:val="0"/>
                    <w:spacing w:line="240" w:lineRule="exact"/>
                    <w:jc w:val="center"/>
                    <w:textAlignment w:val="center"/>
                    <w:rPr>
                      <w:rFonts w:eastAsia="附件"/>
                      <w:kern w:val="0"/>
                      <w:szCs w:val="21"/>
                    </w:rPr>
                  </w:pPr>
                  <w:r>
                    <w:rPr>
                      <w:rFonts w:hint="eastAsia" w:eastAsia="附件"/>
                      <w:kern w:val="0"/>
                      <w:szCs w:val="21"/>
                    </w:rPr>
                    <w:t>ND</w:t>
                  </w:r>
                </w:p>
              </w:tc>
              <w:tc>
                <w:tcPr>
                  <w:tcW w:w="850" w:type="dxa"/>
                </w:tcPr>
                <w:p>
                  <w:pPr>
                    <w:widowControl/>
                    <w:adjustRightInd w:val="0"/>
                    <w:snapToGrid w:val="0"/>
                    <w:spacing w:line="240" w:lineRule="exact"/>
                    <w:jc w:val="center"/>
                    <w:textAlignment w:val="center"/>
                    <w:rPr>
                      <w:rFonts w:eastAsia="附件"/>
                      <w:kern w:val="0"/>
                      <w:szCs w:val="21"/>
                    </w:rPr>
                  </w:pPr>
                  <w:r>
                    <w:rPr>
                      <w:rFonts w:hint="eastAsia" w:eastAsia="附件"/>
                      <w:kern w:val="0"/>
                      <w:szCs w:val="21"/>
                    </w:rPr>
                    <w:t>ND</w:t>
                  </w:r>
                </w:p>
              </w:tc>
              <w:tc>
                <w:tcPr>
                  <w:tcW w:w="850" w:type="dxa"/>
                </w:tcPr>
                <w:p>
                  <w:pPr>
                    <w:widowControl/>
                    <w:adjustRightInd w:val="0"/>
                    <w:snapToGrid w:val="0"/>
                    <w:spacing w:line="240" w:lineRule="exact"/>
                    <w:jc w:val="center"/>
                    <w:textAlignment w:val="center"/>
                    <w:rPr>
                      <w:rFonts w:eastAsia="附件"/>
                      <w:kern w:val="0"/>
                      <w:szCs w:val="21"/>
                    </w:rPr>
                  </w:pPr>
                  <w:r>
                    <w:rPr>
                      <w:rFonts w:hint="eastAsia" w:eastAsia="附件"/>
                      <w:kern w:val="0"/>
                      <w:szCs w:val="21"/>
                    </w:rPr>
                    <w:t>ND</w:t>
                  </w:r>
                </w:p>
              </w:tc>
              <w:tc>
                <w:tcPr>
                  <w:tcW w:w="993" w:type="dxa"/>
                  <w:vAlign w:val="center"/>
                </w:tcPr>
                <w:p>
                  <w:pPr>
                    <w:widowControl/>
                    <w:adjustRightInd w:val="0"/>
                    <w:snapToGrid w:val="0"/>
                    <w:spacing w:line="240" w:lineRule="exact"/>
                    <w:jc w:val="center"/>
                    <w:textAlignment w:val="center"/>
                    <w:rPr>
                      <w:rFonts w:eastAsia="附件"/>
                      <w:kern w:val="0"/>
                      <w:szCs w:val="21"/>
                    </w:rPr>
                  </w:pPr>
                  <w:r>
                    <w:rPr>
                      <w:rFonts w:eastAsia="附件"/>
                      <w:kern w:val="0"/>
                      <w:szCs w:val="21"/>
                    </w:rPr>
                    <w:t>/</w:t>
                  </w:r>
                </w:p>
              </w:tc>
              <w:tc>
                <w:tcPr>
                  <w:tcW w:w="851" w:type="dxa"/>
                  <w:vAlign w:val="center"/>
                </w:tcPr>
                <w:p>
                  <w:pPr>
                    <w:jc w:val="center"/>
                    <w:rPr>
                      <w:rFonts w:eastAsia="附件"/>
                      <w:kern w:val="0"/>
                      <w:szCs w:val="21"/>
                    </w:rPr>
                  </w:pPr>
                  <w:r>
                    <w:rPr>
                      <w:rFonts w:eastAsia="附件"/>
                      <w:kern w:val="0"/>
                      <w:szCs w:val="21"/>
                    </w:rPr>
                    <w:t>/</w:t>
                  </w:r>
                </w:p>
              </w:tc>
              <w:tc>
                <w:tcPr>
                  <w:tcW w:w="850" w:type="dxa"/>
                  <w:vAlign w:val="center"/>
                </w:tcPr>
                <w:p>
                  <w:pPr>
                    <w:jc w:val="center"/>
                    <w:rPr>
                      <w:rFonts w:eastAsia="附件"/>
                      <w:kern w:val="0"/>
                      <w:szCs w:val="21"/>
                    </w:rPr>
                  </w:pPr>
                  <w:r>
                    <w:rPr>
                      <w:rFonts w:eastAsia="附件"/>
                      <w:kern w:val="0"/>
                      <w:szCs w:val="21"/>
                    </w:rPr>
                    <w:t>/</w:t>
                  </w:r>
                </w:p>
              </w:tc>
              <w:tc>
                <w:tcPr>
                  <w:tcW w:w="709" w:type="dxa"/>
                  <w:vAlign w:val="center"/>
                </w:tcPr>
                <w:p>
                  <w:pPr>
                    <w:jc w:val="center"/>
                    <w:rPr>
                      <w:rFonts w:eastAsia="附件"/>
                      <w:kern w:val="0"/>
                      <w:szCs w:val="21"/>
                    </w:rPr>
                  </w:pPr>
                  <w:r>
                    <w:rPr>
                      <w:rFonts w:eastAsia="附件"/>
                      <w:kern w:val="0"/>
                      <w:szCs w:val="21"/>
                    </w:rPr>
                    <w:t>/</w:t>
                  </w:r>
                </w:p>
              </w:tc>
              <w:tc>
                <w:tcPr>
                  <w:tcW w:w="520" w:type="dxa"/>
                  <w:vAlign w:val="center"/>
                </w:tcPr>
                <w:p>
                  <w:pPr>
                    <w:widowControl/>
                    <w:adjustRightInd w:val="0"/>
                    <w:snapToGrid w:val="0"/>
                    <w:spacing w:line="240" w:lineRule="exact"/>
                    <w:jc w:val="center"/>
                    <w:textAlignment w:val="center"/>
                    <w:rPr>
                      <w:rFonts w:eastAsia="附件"/>
                      <w:kern w:val="0"/>
                      <w:szCs w:val="21"/>
                    </w:rPr>
                  </w:pPr>
                  <w:r>
                    <w:rPr>
                      <w:rFonts w:eastAsia="附件"/>
                      <w:kern w:val="0"/>
                      <w:szCs w:val="21"/>
                    </w:rPr>
                    <w:t>/</w:t>
                  </w:r>
                </w:p>
              </w:tc>
            </w:tr>
          </w:tbl>
          <w:p>
            <w:pPr>
              <w:autoSpaceDE w:val="0"/>
              <w:autoSpaceDN w:val="0"/>
              <w:rPr>
                <w:b/>
                <w:bCs/>
                <w:kern w:val="0"/>
                <w:szCs w:val="21"/>
              </w:rPr>
            </w:pPr>
          </w:p>
          <w:p>
            <w:pPr>
              <w:pStyle w:val="331"/>
              <w:numPr>
                <w:ilvl w:val="0"/>
                <w:numId w:val="6"/>
              </w:numPr>
              <w:adjustRightInd w:val="0"/>
              <w:snapToGrid w:val="0"/>
              <w:spacing w:line="360" w:lineRule="auto"/>
              <w:ind w:left="0" w:firstLine="0" w:firstLineChars="0"/>
              <w:jc w:val="center"/>
              <w:rPr>
                <w:b/>
                <w:bCs/>
                <w:kern w:val="0"/>
                <w:szCs w:val="21"/>
              </w:rPr>
            </w:pPr>
            <w:r>
              <w:rPr>
                <w:b/>
                <w:bCs/>
                <w:kern w:val="0"/>
                <w:szCs w:val="21"/>
              </w:rPr>
              <w:t>S5、S6土壤环境现状监测及评价结果     单位：mg/kg</w:t>
            </w:r>
          </w:p>
          <w:tbl>
            <w:tblPr>
              <w:tblStyle w:val="42"/>
              <w:tblW w:w="80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7"/>
              <w:gridCol w:w="1376"/>
              <w:gridCol w:w="1030"/>
              <w:gridCol w:w="860"/>
              <w:gridCol w:w="1490"/>
              <w:gridCol w:w="841"/>
              <w:gridCol w:w="850"/>
              <w:gridCol w:w="10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9" w:hRule="atLeast"/>
                <w:tblHeader/>
                <w:jc w:val="center"/>
              </w:trPr>
              <w:tc>
                <w:tcPr>
                  <w:tcW w:w="527" w:type="dxa"/>
                  <w:vAlign w:val="center"/>
                </w:tcPr>
                <w:p>
                  <w:pPr>
                    <w:autoSpaceDE w:val="0"/>
                    <w:autoSpaceDN w:val="0"/>
                    <w:adjustRightInd w:val="0"/>
                    <w:snapToGrid w:val="0"/>
                    <w:spacing w:line="240" w:lineRule="exact"/>
                    <w:jc w:val="center"/>
                    <w:rPr>
                      <w:rFonts w:eastAsia="附件"/>
                      <w:kern w:val="0"/>
                      <w:szCs w:val="21"/>
                    </w:rPr>
                  </w:pPr>
                  <w:r>
                    <w:rPr>
                      <w:rFonts w:eastAsia="附件"/>
                      <w:kern w:val="0"/>
                      <w:szCs w:val="21"/>
                    </w:rPr>
                    <w:t>编号</w:t>
                  </w:r>
                </w:p>
              </w:tc>
              <w:tc>
                <w:tcPr>
                  <w:tcW w:w="1376" w:type="dxa"/>
                  <w:vAlign w:val="center"/>
                </w:tcPr>
                <w:p>
                  <w:pPr>
                    <w:widowControl/>
                    <w:adjustRightInd w:val="0"/>
                    <w:snapToGrid w:val="0"/>
                    <w:spacing w:line="240" w:lineRule="exact"/>
                    <w:jc w:val="center"/>
                    <w:textAlignment w:val="center"/>
                    <w:rPr>
                      <w:rFonts w:eastAsia="附件"/>
                      <w:kern w:val="0"/>
                      <w:szCs w:val="21"/>
                    </w:rPr>
                  </w:pPr>
                  <w:r>
                    <w:rPr>
                      <w:rFonts w:eastAsia="附件"/>
                      <w:kern w:val="0"/>
                      <w:szCs w:val="21"/>
                    </w:rPr>
                    <w:t>因子</w:t>
                  </w:r>
                </w:p>
              </w:tc>
              <w:tc>
                <w:tcPr>
                  <w:tcW w:w="1030" w:type="dxa"/>
                  <w:vAlign w:val="center"/>
                </w:tcPr>
                <w:p>
                  <w:pPr>
                    <w:adjustRightInd w:val="0"/>
                    <w:snapToGrid w:val="0"/>
                    <w:spacing w:line="240" w:lineRule="exact"/>
                    <w:jc w:val="center"/>
                    <w:textAlignment w:val="center"/>
                    <w:rPr>
                      <w:rFonts w:eastAsia="附件"/>
                      <w:kern w:val="0"/>
                      <w:szCs w:val="21"/>
                    </w:rPr>
                  </w:pPr>
                  <w:r>
                    <w:rPr>
                      <w:rFonts w:eastAsia="附件"/>
                      <w:kern w:val="0"/>
                      <w:szCs w:val="21"/>
                    </w:rPr>
                    <w:t>S5</w:t>
                  </w:r>
                </w:p>
              </w:tc>
              <w:tc>
                <w:tcPr>
                  <w:tcW w:w="860" w:type="dxa"/>
                  <w:vAlign w:val="center"/>
                </w:tcPr>
                <w:p>
                  <w:pPr>
                    <w:adjustRightInd w:val="0"/>
                    <w:snapToGrid w:val="0"/>
                    <w:spacing w:line="240" w:lineRule="exact"/>
                    <w:jc w:val="center"/>
                    <w:textAlignment w:val="center"/>
                    <w:rPr>
                      <w:rFonts w:eastAsia="附件"/>
                      <w:kern w:val="0"/>
                      <w:szCs w:val="21"/>
                    </w:rPr>
                  </w:pPr>
                  <w:r>
                    <w:rPr>
                      <w:rFonts w:eastAsia="附件"/>
                      <w:kern w:val="0"/>
                      <w:szCs w:val="21"/>
                    </w:rPr>
                    <w:t>S6</w:t>
                  </w:r>
                </w:p>
              </w:tc>
              <w:tc>
                <w:tcPr>
                  <w:tcW w:w="1490" w:type="dxa"/>
                  <w:vAlign w:val="center"/>
                </w:tcPr>
                <w:p>
                  <w:pPr>
                    <w:widowControl/>
                    <w:adjustRightInd w:val="0"/>
                    <w:snapToGrid w:val="0"/>
                    <w:spacing w:line="240" w:lineRule="exact"/>
                    <w:jc w:val="center"/>
                    <w:textAlignment w:val="center"/>
                    <w:rPr>
                      <w:rFonts w:eastAsia="附件"/>
                      <w:kern w:val="0"/>
                      <w:szCs w:val="21"/>
                    </w:rPr>
                  </w:pPr>
                  <w:r>
                    <w:rPr>
                      <w:rFonts w:eastAsia="附件"/>
                      <w:kern w:val="0"/>
                      <w:szCs w:val="21"/>
                    </w:rPr>
                    <w:t>标准值</w:t>
                  </w:r>
                  <w:r>
                    <w:rPr>
                      <w:rFonts w:hint="eastAsia" w:ascii="宋体" w:hAnsi="宋体" w:cs="宋体"/>
                      <w:kern w:val="0"/>
                      <w:szCs w:val="21"/>
                      <w:vertAlign w:val="superscript"/>
                    </w:rPr>
                    <w:t>①</w:t>
                  </w:r>
                </w:p>
              </w:tc>
              <w:tc>
                <w:tcPr>
                  <w:tcW w:w="841" w:type="dxa"/>
                  <w:vAlign w:val="center"/>
                </w:tcPr>
                <w:p>
                  <w:pPr>
                    <w:adjustRightInd w:val="0"/>
                    <w:snapToGrid w:val="0"/>
                    <w:spacing w:line="240" w:lineRule="exact"/>
                    <w:jc w:val="center"/>
                    <w:textAlignment w:val="center"/>
                    <w:rPr>
                      <w:rFonts w:eastAsia="附件"/>
                      <w:kern w:val="0"/>
                      <w:szCs w:val="21"/>
                    </w:rPr>
                  </w:pPr>
                  <w:r>
                    <w:rPr>
                      <w:rFonts w:eastAsia="附件"/>
                      <w:kern w:val="0"/>
                      <w:szCs w:val="21"/>
                    </w:rPr>
                    <w:t>S5</w:t>
                  </w:r>
                </w:p>
              </w:tc>
              <w:tc>
                <w:tcPr>
                  <w:tcW w:w="850" w:type="dxa"/>
                  <w:vAlign w:val="center"/>
                </w:tcPr>
                <w:p>
                  <w:pPr>
                    <w:adjustRightInd w:val="0"/>
                    <w:snapToGrid w:val="0"/>
                    <w:spacing w:line="240" w:lineRule="exact"/>
                    <w:jc w:val="center"/>
                    <w:textAlignment w:val="center"/>
                    <w:rPr>
                      <w:rFonts w:eastAsia="附件"/>
                      <w:kern w:val="0"/>
                      <w:szCs w:val="21"/>
                    </w:rPr>
                  </w:pPr>
                  <w:r>
                    <w:rPr>
                      <w:rFonts w:eastAsia="附件"/>
                      <w:kern w:val="0"/>
                      <w:szCs w:val="21"/>
                    </w:rPr>
                    <w:t>S6</w:t>
                  </w:r>
                </w:p>
              </w:tc>
              <w:tc>
                <w:tcPr>
                  <w:tcW w:w="1056" w:type="dxa"/>
                  <w:vAlign w:val="center"/>
                </w:tcPr>
                <w:p>
                  <w:pPr>
                    <w:widowControl/>
                    <w:adjustRightInd w:val="0"/>
                    <w:snapToGrid w:val="0"/>
                    <w:spacing w:line="240" w:lineRule="exact"/>
                    <w:jc w:val="center"/>
                    <w:textAlignment w:val="center"/>
                    <w:rPr>
                      <w:rFonts w:eastAsia="附件"/>
                      <w:kern w:val="0"/>
                      <w:szCs w:val="21"/>
                    </w:rPr>
                  </w:pPr>
                  <w:r>
                    <w:rPr>
                      <w:rFonts w:eastAsia="附件"/>
                      <w:kern w:val="0"/>
                      <w:szCs w:val="21"/>
                    </w:rPr>
                    <w:t>超标率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blHeader/>
                <w:jc w:val="center"/>
              </w:trPr>
              <w:tc>
                <w:tcPr>
                  <w:tcW w:w="527" w:type="dxa"/>
                  <w:vAlign w:val="center"/>
                </w:tcPr>
                <w:p>
                  <w:pPr>
                    <w:widowControl/>
                    <w:adjustRightInd w:val="0"/>
                    <w:snapToGrid w:val="0"/>
                    <w:spacing w:line="240" w:lineRule="exact"/>
                    <w:jc w:val="center"/>
                    <w:textAlignment w:val="center"/>
                    <w:rPr>
                      <w:rFonts w:eastAsia="附件"/>
                      <w:kern w:val="0"/>
                      <w:szCs w:val="21"/>
                    </w:rPr>
                  </w:pPr>
                  <w:r>
                    <w:rPr>
                      <w:rFonts w:eastAsia="附件"/>
                      <w:kern w:val="0"/>
                      <w:szCs w:val="21"/>
                    </w:rPr>
                    <w:t>1</w:t>
                  </w:r>
                </w:p>
              </w:tc>
              <w:tc>
                <w:tcPr>
                  <w:tcW w:w="1376" w:type="dxa"/>
                  <w:vAlign w:val="center"/>
                </w:tcPr>
                <w:p>
                  <w:pPr>
                    <w:widowControl/>
                    <w:spacing w:line="240" w:lineRule="exact"/>
                    <w:jc w:val="center"/>
                    <w:rPr>
                      <w:rFonts w:eastAsia="附件"/>
                      <w:szCs w:val="21"/>
                    </w:rPr>
                  </w:pPr>
                  <w:r>
                    <w:rPr>
                      <w:rFonts w:eastAsia="附件"/>
                      <w:szCs w:val="21"/>
                    </w:rPr>
                    <w:t>石油烃（C</w:t>
                  </w:r>
                  <w:r>
                    <w:rPr>
                      <w:rFonts w:eastAsia="附件"/>
                      <w:szCs w:val="21"/>
                      <w:vertAlign w:val="subscript"/>
                    </w:rPr>
                    <w:t>10</w:t>
                  </w:r>
                  <w:r>
                    <w:rPr>
                      <w:rFonts w:eastAsia="附件"/>
                      <w:szCs w:val="21"/>
                    </w:rPr>
                    <w:t>-C</w:t>
                  </w:r>
                  <w:r>
                    <w:rPr>
                      <w:rFonts w:eastAsia="附件"/>
                      <w:szCs w:val="21"/>
                      <w:vertAlign w:val="subscript"/>
                    </w:rPr>
                    <w:t>40</w:t>
                  </w:r>
                  <w:r>
                    <w:rPr>
                      <w:rFonts w:eastAsia="附件"/>
                      <w:szCs w:val="21"/>
                    </w:rPr>
                    <w:t>）</w:t>
                  </w:r>
                </w:p>
              </w:tc>
              <w:tc>
                <w:tcPr>
                  <w:tcW w:w="1030" w:type="dxa"/>
                  <w:vAlign w:val="center"/>
                </w:tcPr>
                <w:p>
                  <w:pPr>
                    <w:widowControl/>
                    <w:adjustRightInd w:val="0"/>
                    <w:snapToGrid w:val="0"/>
                    <w:spacing w:line="240" w:lineRule="exact"/>
                    <w:jc w:val="center"/>
                    <w:textAlignment w:val="center"/>
                    <w:rPr>
                      <w:rFonts w:eastAsia="附件"/>
                      <w:kern w:val="0"/>
                      <w:szCs w:val="21"/>
                    </w:rPr>
                  </w:pPr>
                  <w:r>
                    <w:rPr>
                      <w:rFonts w:hint="eastAsia" w:eastAsia="附件"/>
                      <w:kern w:val="0"/>
                      <w:szCs w:val="21"/>
                    </w:rPr>
                    <w:t>128</w:t>
                  </w:r>
                </w:p>
              </w:tc>
              <w:tc>
                <w:tcPr>
                  <w:tcW w:w="860" w:type="dxa"/>
                  <w:vAlign w:val="center"/>
                </w:tcPr>
                <w:p>
                  <w:pPr>
                    <w:widowControl/>
                    <w:adjustRightInd w:val="0"/>
                    <w:snapToGrid w:val="0"/>
                    <w:spacing w:line="240" w:lineRule="exact"/>
                    <w:jc w:val="center"/>
                    <w:textAlignment w:val="center"/>
                    <w:rPr>
                      <w:rFonts w:eastAsia="附件"/>
                      <w:kern w:val="0"/>
                      <w:szCs w:val="21"/>
                    </w:rPr>
                  </w:pPr>
                  <w:r>
                    <w:rPr>
                      <w:rFonts w:hint="eastAsia" w:eastAsia="附件"/>
                      <w:kern w:val="0"/>
                      <w:szCs w:val="21"/>
                    </w:rPr>
                    <w:t>170</w:t>
                  </w:r>
                </w:p>
              </w:tc>
              <w:tc>
                <w:tcPr>
                  <w:tcW w:w="1490" w:type="dxa"/>
                  <w:vAlign w:val="center"/>
                </w:tcPr>
                <w:p>
                  <w:pPr>
                    <w:widowControl/>
                    <w:adjustRightInd w:val="0"/>
                    <w:snapToGrid w:val="0"/>
                    <w:spacing w:line="240" w:lineRule="exact"/>
                    <w:jc w:val="center"/>
                    <w:textAlignment w:val="center"/>
                    <w:rPr>
                      <w:rFonts w:eastAsia="附件"/>
                      <w:kern w:val="0"/>
                      <w:szCs w:val="21"/>
                    </w:rPr>
                  </w:pPr>
                  <w:r>
                    <w:rPr>
                      <w:rFonts w:eastAsia="附件"/>
                      <w:kern w:val="0"/>
                      <w:szCs w:val="21"/>
                    </w:rPr>
                    <w:t>4500</w:t>
                  </w:r>
                </w:p>
              </w:tc>
              <w:tc>
                <w:tcPr>
                  <w:tcW w:w="841" w:type="dxa"/>
                  <w:vAlign w:val="center"/>
                </w:tcPr>
                <w:p>
                  <w:pPr>
                    <w:jc w:val="center"/>
                    <w:rPr>
                      <w:rFonts w:eastAsia="附件"/>
                      <w:kern w:val="0"/>
                      <w:szCs w:val="21"/>
                    </w:rPr>
                  </w:pPr>
                  <w:r>
                    <w:rPr>
                      <w:rFonts w:hint="eastAsia" w:eastAsia="附件"/>
                      <w:kern w:val="0"/>
                      <w:szCs w:val="21"/>
                    </w:rPr>
                    <w:t>0</w:t>
                  </w:r>
                  <w:r>
                    <w:rPr>
                      <w:rFonts w:eastAsia="附件"/>
                      <w:kern w:val="0"/>
                      <w:szCs w:val="21"/>
                    </w:rPr>
                    <w:t>.010</w:t>
                  </w:r>
                </w:p>
              </w:tc>
              <w:tc>
                <w:tcPr>
                  <w:tcW w:w="850" w:type="dxa"/>
                  <w:vAlign w:val="center"/>
                </w:tcPr>
                <w:p>
                  <w:pPr>
                    <w:jc w:val="center"/>
                    <w:rPr>
                      <w:rFonts w:eastAsia="附件"/>
                      <w:kern w:val="0"/>
                      <w:szCs w:val="21"/>
                    </w:rPr>
                  </w:pPr>
                </w:p>
              </w:tc>
              <w:tc>
                <w:tcPr>
                  <w:tcW w:w="1056" w:type="dxa"/>
                  <w:vAlign w:val="center"/>
                </w:tcPr>
                <w:p>
                  <w:pPr>
                    <w:widowControl/>
                    <w:adjustRightInd w:val="0"/>
                    <w:snapToGrid w:val="0"/>
                    <w:spacing w:line="240" w:lineRule="exact"/>
                    <w:jc w:val="center"/>
                    <w:textAlignment w:val="center"/>
                    <w:rPr>
                      <w:rFonts w:eastAsia="附件"/>
                      <w:kern w:val="0"/>
                      <w:szCs w:val="21"/>
                    </w:rPr>
                  </w:pPr>
                  <w:r>
                    <w:rPr>
                      <w:rFonts w:eastAsia="附件"/>
                      <w:kern w:val="0"/>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blHeader/>
                <w:jc w:val="center"/>
              </w:trPr>
              <w:tc>
                <w:tcPr>
                  <w:tcW w:w="527" w:type="dxa"/>
                  <w:vAlign w:val="center"/>
                </w:tcPr>
                <w:p>
                  <w:pPr>
                    <w:adjustRightInd w:val="0"/>
                    <w:snapToGrid w:val="0"/>
                    <w:spacing w:line="240" w:lineRule="exact"/>
                    <w:jc w:val="center"/>
                    <w:rPr>
                      <w:rFonts w:eastAsia="附件"/>
                      <w:kern w:val="0"/>
                      <w:szCs w:val="21"/>
                    </w:rPr>
                  </w:pPr>
                  <w:r>
                    <w:rPr>
                      <w:rFonts w:eastAsia="附件"/>
                      <w:kern w:val="0"/>
                      <w:szCs w:val="21"/>
                    </w:rPr>
                    <w:t>2</w:t>
                  </w:r>
                </w:p>
              </w:tc>
              <w:tc>
                <w:tcPr>
                  <w:tcW w:w="1376" w:type="dxa"/>
                  <w:vAlign w:val="center"/>
                </w:tcPr>
                <w:p>
                  <w:pPr>
                    <w:widowControl/>
                    <w:spacing w:line="240" w:lineRule="exact"/>
                    <w:jc w:val="center"/>
                    <w:rPr>
                      <w:rFonts w:eastAsia="附件"/>
                      <w:szCs w:val="21"/>
                    </w:rPr>
                  </w:pPr>
                  <w:r>
                    <w:rPr>
                      <w:rFonts w:hint="eastAsia" w:eastAsia="附件"/>
                      <w:szCs w:val="21"/>
                    </w:rPr>
                    <w:t>pH</w:t>
                  </w:r>
                </w:p>
              </w:tc>
              <w:tc>
                <w:tcPr>
                  <w:tcW w:w="1030" w:type="dxa"/>
                </w:tcPr>
                <w:p>
                  <w:pPr>
                    <w:widowControl/>
                    <w:adjustRightInd w:val="0"/>
                    <w:snapToGrid w:val="0"/>
                    <w:spacing w:line="240" w:lineRule="exact"/>
                    <w:jc w:val="center"/>
                    <w:textAlignment w:val="center"/>
                    <w:rPr>
                      <w:rFonts w:eastAsia="附件"/>
                      <w:kern w:val="0"/>
                      <w:szCs w:val="21"/>
                    </w:rPr>
                  </w:pPr>
                  <w:r>
                    <w:rPr>
                      <w:rFonts w:hint="eastAsia" w:eastAsia="附件"/>
                      <w:kern w:val="0"/>
                      <w:szCs w:val="21"/>
                    </w:rPr>
                    <w:t>/</w:t>
                  </w:r>
                </w:p>
              </w:tc>
              <w:tc>
                <w:tcPr>
                  <w:tcW w:w="860" w:type="dxa"/>
                  <w:vAlign w:val="center"/>
                </w:tcPr>
                <w:p>
                  <w:pPr>
                    <w:widowControl/>
                    <w:adjustRightInd w:val="0"/>
                    <w:snapToGrid w:val="0"/>
                    <w:spacing w:line="240" w:lineRule="exact"/>
                    <w:jc w:val="center"/>
                    <w:textAlignment w:val="center"/>
                    <w:rPr>
                      <w:rFonts w:eastAsia="附件"/>
                      <w:kern w:val="0"/>
                      <w:szCs w:val="21"/>
                    </w:rPr>
                  </w:pPr>
                  <w:r>
                    <w:rPr>
                      <w:rFonts w:hint="eastAsia"/>
                      <w:sz w:val="18"/>
                      <w:szCs w:val="18"/>
                    </w:rPr>
                    <w:t>6.79</w:t>
                  </w:r>
                </w:p>
              </w:tc>
              <w:tc>
                <w:tcPr>
                  <w:tcW w:w="1490" w:type="dxa"/>
                  <w:vAlign w:val="center"/>
                </w:tcPr>
                <w:p>
                  <w:pPr>
                    <w:widowControl/>
                    <w:adjustRightInd w:val="0"/>
                    <w:snapToGrid w:val="0"/>
                    <w:spacing w:line="240" w:lineRule="exact"/>
                    <w:jc w:val="center"/>
                    <w:textAlignment w:val="center"/>
                    <w:rPr>
                      <w:rFonts w:eastAsia="附件"/>
                      <w:kern w:val="0"/>
                      <w:szCs w:val="21"/>
                    </w:rPr>
                  </w:pPr>
                </w:p>
              </w:tc>
              <w:tc>
                <w:tcPr>
                  <w:tcW w:w="841" w:type="dxa"/>
                  <w:vAlign w:val="center"/>
                </w:tcPr>
                <w:p>
                  <w:pPr>
                    <w:jc w:val="center"/>
                    <w:rPr>
                      <w:rFonts w:eastAsia="附件"/>
                      <w:kern w:val="0"/>
                      <w:szCs w:val="21"/>
                    </w:rPr>
                  </w:pPr>
                </w:p>
              </w:tc>
              <w:tc>
                <w:tcPr>
                  <w:tcW w:w="850" w:type="dxa"/>
                  <w:vAlign w:val="center"/>
                </w:tcPr>
                <w:p>
                  <w:pPr>
                    <w:jc w:val="center"/>
                    <w:rPr>
                      <w:rFonts w:eastAsia="附件"/>
                      <w:kern w:val="0"/>
                      <w:szCs w:val="21"/>
                    </w:rPr>
                  </w:pPr>
                </w:p>
              </w:tc>
              <w:tc>
                <w:tcPr>
                  <w:tcW w:w="1056" w:type="dxa"/>
                  <w:vAlign w:val="center"/>
                </w:tcPr>
                <w:p>
                  <w:pPr>
                    <w:widowControl/>
                    <w:adjustRightInd w:val="0"/>
                    <w:snapToGrid w:val="0"/>
                    <w:spacing w:line="240" w:lineRule="exact"/>
                    <w:jc w:val="center"/>
                    <w:textAlignment w:val="center"/>
                    <w:rPr>
                      <w:rFonts w:eastAsia="附件"/>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blHeader/>
                <w:jc w:val="center"/>
              </w:trPr>
              <w:tc>
                <w:tcPr>
                  <w:tcW w:w="527" w:type="dxa"/>
                  <w:vAlign w:val="center"/>
                </w:tcPr>
                <w:p>
                  <w:pPr>
                    <w:adjustRightInd w:val="0"/>
                    <w:snapToGrid w:val="0"/>
                    <w:spacing w:line="240" w:lineRule="exact"/>
                    <w:jc w:val="center"/>
                    <w:rPr>
                      <w:rFonts w:eastAsia="附件"/>
                      <w:kern w:val="0"/>
                      <w:szCs w:val="21"/>
                    </w:rPr>
                  </w:pPr>
                  <w:r>
                    <w:rPr>
                      <w:rFonts w:eastAsia="附件"/>
                      <w:kern w:val="0"/>
                      <w:szCs w:val="21"/>
                    </w:rPr>
                    <w:t>3</w:t>
                  </w:r>
                </w:p>
              </w:tc>
              <w:tc>
                <w:tcPr>
                  <w:tcW w:w="1376" w:type="dxa"/>
                  <w:vAlign w:val="center"/>
                </w:tcPr>
                <w:p>
                  <w:pPr>
                    <w:widowControl/>
                    <w:spacing w:line="240" w:lineRule="exact"/>
                    <w:jc w:val="center"/>
                    <w:rPr>
                      <w:rFonts w:eastAsia="附件"/>
                      <w:szCs w:val="21"/>
                    </w:rPr>
                  </w:pPr>
                  <w:r>
                    <w:rPr>
                      <w:rFonts w:eastAsia="附件"/>
                      <w:szCs w:val="21"/>
                    </w:rPr>
                    <w:t>硫化物</w:t>
                  </w:r>
                </w:p>
              </w:tc>
              <w:tc>
                <w:tcPr>
                  <w:tcW w:w="1030" w:type="dxa"/>
                </w:tcPr>
                <w:p>
                  <w:pPr>
                    <w:widowControl/>
                    <w:adjustRightInd w:val="0"/>
                    <w:snapToGrid w:val="0"/>
                    <w:spacing w:line="240" w:lineRule="exact"/>
                    <w:jc w:val="center"/>
                    <w:textAlignment w:val="center"/>
                    <w:rPr>
                      <w:rFonts w:eastAsia="附件"/>
                      <w:kern w:val="0"/>
                      <w:szCs w:val="21"/>
                    </w:rPr>
                  </w:pPr>
                  <w:r>
                    <w:rPr>
                      <w:rFonts w:hint="eastAsia" w:eastAsia="附件"/>
                      <w:kern w:val="0"/>
                      <w:szCs w:val="21"/>
                    </w:rPr>
                    <w:t>ND</w:t>
                  </w:r>
                </w:p>
              </w:tc>
              <w:tc>
                <w:tcPr>
                  <w:tcW w:w="860" w:type="dxa"/>
                  <w:vAlign w:val="center"/>
                </w:tcPr>
                <w:p>
                  <w:pPr>
                    <w:widowControl/>
                    <w:adjustRightInd w:val="0"/>
                    <w:snapToGrid w:val="0"/>
                    <w:spacing w:line="240" w:lineRule="exact"/>
                    <w:jc w:val="center"/>
                    <w:textAlignment w:val="center"/>
                    <w:rPr>
                      <w:rFonts w:eastAsia="附件"/>
                      <w:kern w:val="0"/>
                      <w:szCs w:val="21"/>
                    </w:rPr>
                  </w:pPr>
                  <w:r>
                    <w:rPr>
                      <w:rFonts w:hint="eastAsia"/>
                      <w:kern w:val="0"/>
                      <w:sz w:val="18"/>
                      <w:szCs w:val="18"/>
                    </w:rPr>
                    <w:t>0.16</w:t>
                  </w:r>
                </w:p>
              </w:tc>
              <w:tc>
                <w:tcPr>
                  <w:tcW w:w="1490" w:type="dxa"/>
                  <w:vAlign w:val="center"/>
                </w:tcPr>
                <w:p>
                  <w:pPr>
                    <w:widowControl/>
                    <w:adjustRightInd w:val="0"/>
                    <w:snapToGrid w:val="0"/>
                    <w:spacing w:line="240" w:lineRule="exact"/>
                    <w:jc w:val="center"/>
                    <w:textAlignment w:val="center"/>
                    <w:rPr>
                      <w:rFonts w:eastAsia="附件"/>
                      <w:kern w:val="0"/>
                      <w:szCs w:val="21"/>
                    </w:rPr>
                  </w:pPr>
                  <w:r>
                    <w:rPr>
                      <w:rFonts w:eastAsia="附件"/>
                      <w:kern w:val="0"/>
                      <w:szCs w:val="21"/>
                    </w:rPr>
                    <w:t>/</w:t>
                  </w:r>
                </w:p>
              </w:tc>
              <w:tc>
                <w:tcPr>
                  <w:tcW w:w="841" w:type="dxa"/>
                  <w:vAlign w:val="center"/>
                </w:tcPr>
                <w:p>
                  <w:pPr>
                    <w:jc w:val="center"/>
                    <w:rPr>
                      <w:rFonts w:eastAsia="附件"/>
                      <w:kern w:val="0"/>
                      <w:szCs w:val="21"/>
                    </w:rPr>
                  </w:pPr>
                  <w:r>
                    <w:rPr>
                      <w:rFonts w:eastAsia="附件"/>
                      <w:kern w:val="0"/>
                      <w:szCs w:val="21"/>
                    </w:rPr>
                    <w:t>/</w:t>
                  </w:r>
                </w:p>
              </w:tc>
              <w:tc>
                <w:tcPr>
                  <w:tcW w:w="850" w:type="dxa"/>
                  <w:vAlign w:val="center"/>
                </w:tcPr>
                <w:p>
                  <w:pPr>
                    <w:jc w:val="center"/>
                    <w:rPr>
                      <w:rFonts w:eastAsia="附件"/>
                      <w:kern w:val="0"/>
                      <w:szCs w:val="21"/>
                    </w:rPr>
                  </w:pPr>
                </w:p>
              </w:tc>
              <w:tc>
                <w:tcPr>
                  <w:tcW w:w="1056" w:type="dxa"/>
                  <w:vAlign w:val="center"/>
                </w:tcPr>
                <w:p>
                  <w:pPr>
                    <w:widowControl/>
                    <w:adjustRightInd w:val="0"/>
                    <w:snapToGrid w:val="0"/>
                    <w:spacing w:line="240" w:lineRule="exact"/>
                    <w:jc w:val="center"/>
                    <w:textAlignment w:val="center"/>
                    <w:rPr>
                      <w:rFonts w:eastAsia="附件"/>
                      <w:kern w:val="0"/>
                      <w:szCs w:val="21"/>
                    </w:rPr>
                  </w:pPr>
                  <w:r>
                    <w:rPr>
                      <w:rFonts w:eastAsia="附件"/>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blHeader/>
                <w:jc w:val="center"/>
              </w:trPr>
              <w:tc>
                <w:tcPr>
                  <w:tcW w:w="527" w:type="dxa"/>
                  <w:vAlign w:val="center"/>
                </w:tcPr>
                <w:p>
                  <w:pPr>
                    <w:adjustRightInd w:val="0"/>
                    <w:snapToGrid w:val="0"/>
                    <w:spacing w:line="240" w:lineRule="exact"/>
                    <w:jc w:val="center"/>
                    <w:rPr>
                      <w:rFonts w:eastAsia="附件"/>
                      <w:kern w:val="0"/>
                      <w:szCs w:val="21"/>
                    </w:rPr>
                  </w:pPr>
                  <w:r>
                    <w:rPr>
                      <w:rFonts w:eastAsia="附件"/>
                      <w:kern w:val="0"/>
                      <w:szCs w:val="21"/>
                    </w:rPr>
                    <w:t>4</w:t>
                  </w:r>
                </w:p>
              </w:tc>
              <w:tc>
                <w:tcPr>
                  <w:tcW w:w="1376" w:type="dxa"/>
                  <w:vAlign w:val="center"/>
                </w:tcPr>
                <w:p>
                  <w:pPr>
                    <w:widowControl/>
                    <w:spacing w:line="240" w:lineRule="exact"/>
                    <w:jc w:val="center"/>
                    <w:rPr>
                      <w:rFonts w:eastAsia="附件"/>
                      <w:szCs w:val="21"/>
                      <w:lang w:bidi="ar"/>
                    </w:rPr>
                  </w:pPr>
                  <w:r>
                    <w:rPr>
                      <w:rFonts w:eastAsia="附件"/>
                      <w:szCs w:val="21"/>
                    </w:rPr>
                    <w:t>砷</w:t>
                  </w:r>
                </w:p>
              </w:tc>
              <w:tc>
                <w:tcPr>
                  <w:tcW w:w="1030" w:type="dxa"/>
                  <w:vAlign w:val="center"/>
                </w:tcPr>
                <w:p>
                  <w:pPr>
                    <w:widowControl/>
                    <w:adjustRightInd w:val="0"/>
                    <w:snapToGrid w:val="0"/>
                    <w:spacing w:line="240" w:lineRule="exact"/>
                    <w:jc w:val="center"/>
                    <w:textAlignment w:val="center"/>
                    <w:rPr>
                      <w:rFonts w:eastAsia="附件"/>
                      <w:kern w:val="0"/>
                      <w:szCs w:val="21"/>
                    </w:rPr>
                  </w:pPr>
                  <w:r>
                    <w:rPr>
                      <w:rFonts w:eastAsia="附件"/>
                      <w:kern w:val="0"/>
                      <w:szCs w:val="21"/>
                    </w:rPr>
                    <w:t>/</w:t>
                  </w:r>
                </w:p>
              </w:tc>
              <w:tc>
                <w:tcPr>
                  <w:tcW w:w="860" w:type="dxa"/>
                  <w:vAlign w:val="center"/>
                </w:tcPr>
                <w:p>
                  <w:pPr>
                    <w:widowControl/>
                    <w:adjustRightInd w:val="0"/>
                    <w:snapToGrid w:val="0"/>
                    <w:spacing w:line="240" w:lineRule="exact"/>
                    <w:jc w:val="center"/>
                    <w:textAlignment w:val="center"/>
                    <w:rPr>
                      <w:rFonts w:eastAsia="附件"/>
                      <w:kern w:val="0"/>
                      <w:szCs w:val="21"/>
                    </w:rPr>
                  </w:pPr>
                  <w:r>
                    <w:rPr>
                      <w:rFonts w:hint="eastAsia"/>
                      <w:kern w:val="0"/>
                      <w:sz w:val="18"/>
                      <w:szCs w:val="18"/>
                    </w:rPr>
                    <w:t>0.042</w:t>
                  </w:r>
                </w:p>
              </w:tc>
              <w:tc>
                <w:tcPr>
                  <w:tcW w:w="1490" w:type="dxa"/>
                  <w:vAlign w:val="center"/>
                </w:tcPr>
                <w:p>
                  <w:pPr>
                    <w:widowControl/>
                    <w:adjustRightInd w:val="0"/>
                    <w:snapToGrid w:val="0"/>
                    <w:spacing w:line="240" w:lineRule="exact"/>
                    <w:jc w:val="center"/>
                    <w:textAlignment w:val="center"/>
                    <w:rPr>
                      <w:rFonts w:eastAsia="附件"/>
                      <w:kern w:val="0"/>
                      <w:szCs w:val="21"/>
                    </w:rPr>
                  </w:pPr>
                  <w:r>
                    <w:rPr>
                      <w:rFonts w:eastAsia="附件"/>
                      <w:kern w:val="0"/>
                      <w:szCs w:val="21"/>
                    </w:rPr>
                    <w:t>30</w:t>
                  </w:r>
                </w:p>
              </w:tc>
              <w:tc>
                <w:tcPr>
                  <w:tcW w:w="841" w:type="dxa"/>
                  <w:vAlign w:val="center"/>
                </w:tcPr>
                <w:p>
                  <w:pPr>
                    <w:jc w:val="center"/>
                    <w:rPr>
                      <w:rFonts w:eastAsia="附件"/>
                      <w:kern w:val="0"/>
                      <w:szCs w:val="21"/>
                    </w:rPr>
                  </w:pPr>
                  <w:r>
                    <w:rPr>
                      <w:rFonts w:eastAsia="附件"/>
                      <w:kern w:val="0"/>
                      <w:szCs w:val="21"/>
                    </w:rPr>
                    <w:t>/</w:t>
                  </w:r>
                </w:p>
              </w:tc>
              <w:tc>
                <w:tcPr>
                  <w:tcW w:w="850" w:type="dxa"/>
                  <w:vAlign w:val="center"/>
                </w:tcPr>
                <w:p>
                  <w:pPr>
                    <w:widowControl/>
                    <w:jc w:val="center"/>
                    <w:rPr>
                      <w:rFonts w:eastAsia="等线"/>
                      <w:kern w:val="0"/>
                      <w:szCs w:val="21"/>
                    </w:rPr>
                  </w:pPr>
                </w:p>
              </w:tc>
              <w:tc>
                <w:tcPr>
                  <w:tcW w:w="1056" w:type="dxa"/>
                  <w:vAlign w:val="center"/>
                </w:tcPr>
                <w:p>
                  <w:pPr>
                    <w:widowControl/>
                    <w:adjustRightInd w:val="0"/>
                    <w:snapToGrid w:val="0"/>
                    <w:spacing w:line="240" w:lineRule="exact"/>
                    <w:jc w:val="center"/>
                    <w:textAlignment w:val="center"/>
                    <w:rPr>
                      <w:rFonts w:eastAsia="附件"/>
                      <w:kern w:val="0"/>
                      <w:szCs w:val="21"/>
                    </w:rPr>
                  </w:pPr>
                  <w:r>
                    <w:rPr>
                      <w:rFonts w:eastAsia="附件"/>
                      <w:kern w:val="0"/>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blHeader/>
                <w:jc w:val="center"/>
              </w:trPr>
              <w:tc>
                <w:tcPr>
                  <w:tcW w:w="527" w:type="dxa"/>
                  <w:vAlign w:val="center"/>
                </w:tcPr>
                <w:p>
                  <w:pPr>
                    <w:adjustRightInd w:val="0"/>
                    <w:snapToGrid w:val="0"/>
                    <w:spacing w:line="240" w:lineRule="exact"/>
                    <w:jc w:val="center"/>
                    <w:rPr>
                      <w:rFonts w:eastAsia="附件"/>
                      <w:kern w:val="0"/>
                      <w:szCs w:val="21"/>
                    </w:rPr>
                  </w:pPr>
                  <w:r>
                    <w:rPr>
                      <w:rFonts w:eastAsia="附件"/>
                      <w:kern w:val="0"/>
                      <w:szCs w:val="21"/>
                    </w:rPr>
                    <w:t>5</w:t>
                  </w:r>
                </w:p>
              </w:tc>
              <w:tc>
                <w:tcPr>
                  <w:tcW w:w="1376" w:type="dxa"/>
                  <w:vAlign w:val="center"/>
                </w:tcPr>
                <w:p>
                  <w:pPr>
                    <w:widowControl/>
                    <w:spacing w:line="240" w:lineRule="exact"/>
                    <w:jc w:val="center"/>
                    <w:rPr>
                      <w:rFonts w:eastAsia="附件"/>
                      <w:szCs w:val="21"/>
                    </w:rPr>
                  </w:pPr>
                  <w:r>
                    <w:rPr>
                      <w:rFonts w:eastAsia="附件"/>
                      <w:szCs w:val="21"/>
                    </w:rPr>
                    <w:t>汞</w:t>
                  </w:r>
                </w:p>
              </w:tc>
              <w:tc>
                <w:tcPr>
                  <w:tcW w:w="1030" w:type="dxa"/>
                  <w:vAlign w:val="center"/>
                </w:tcPr>
                <w:p>
                  <w:pPr>
                    <w:widowControl/>
                    <w:adjustRightInd w:val="0"/>
                    <w:snapToGrid w:val="0"/>
                    <w:spacing w:line="240" w:lineRule="exact"/>
                    <w:jc w:val="center"/>
                    <w:textAlignment w:val="center"/>
                    <w:rPr>
                      <w:rFonts w:eastAsia="附件"/>
                      <w:kern w:val="0"/>
                      <w:szCs w:val="21"/>
                    </w:rPr>
                  </w:pPr>
                  <w:r>
                    <w:rPr>
                      <w:rFonts w:eastAsia="附件"/>
                      <w:kern w:val="0"/>
                      <w:szCs w:val="21"/>
                    </w:rPr>
                    <w:t>/</w:t>
                  </w:r>
                </w:p>
              </w:tc>
              <w:tc>
                <w:tcPr>
                  <w:tcW w:w="860" w:type="dxa"/>
                  <w:vAlign w:val="center"/>
                </w:tcPr>
                <w:p>
                  <w:pPr>
                    <w:widowControl/>
                    <w:adjustRightInd w:val="0"/>
                    <w:snapToGrid w:val="0"/>
                    <w:spacing w:line="240" w:lineRule="exact"/>
                    <w:jc w:val="center"/>
                    <w:textAlignment w:val="center"/>
                    <w:rPr>
                      <w:rFonts w:eastAsia="附件"/>
                      <w:kern w:val="0"/>
                      <w:szCs w:val="21"/>
                    </w:rPr>
                  </w:pPr>
                  <w:r>
                    <w:rPr>
                      <w:rFonts w:hint="eastAsia"/>
                      <w:kern w:val="0"/>
                      <w:sz w:val="18"/>
                      <w:szCs w:val="18"/>
                    </w:rPr>
                    <w:t>4.36</w:t>
                  </w:r>
                </w:p>
              </w:tc>
              <w:tc>
                <w:tcPr>
                  <w:tcW w:w="1490" w:type="dxa"/>
                  <w:vAlign w:val="center"/>
                </w:tcPr>
                <w:p>
                  <w:pPr>
                    <w:widowControl/>
                    <w:adjustRightInd w:val="0"/>
                    <w:snapToGrid w:val="0"/>
                    <w:spacing w:line="240" w:lineRule="exact"/>
                    <w:jc w:val="center"/>
                    <w:textAlignment w:val="center"/>
                    <w:rPr>
                      <w:rFonts w:eastAsia="附件"/>
                      <w:kern w:val="0"/>
                      <w:szCs w:val="21"/>
                    </w:rPr>
                  </w:pPr>
                  <w:r>
                    <w:rPr>
                      <w:rFonts w:eastAsia="附件"/>
                      <w:kern w:val="0"/>
                      <w:szCs w:val="21"/>
                    </w:rPr>
                    <w:t>2.4</w:t>
                  </w:r>
                </w:p>
              </w:tc>
              <w:tc>
                <w:tcPr>
                  <w:tcW w:w="841" w:type="dxa"/>
                  <w:vAlign w:val="center"/>
                </w:tcPr>
                <w:p>
                  <w:pPr>
                    <w:jc w:val="center"/>
                    <w:rPr>
                      <w:rFonts w:eastAsia="附件"/>
                      <w:kern w:val="0"/>
                      <w:szCs w:val="21"/>
                    </w:rPr>
                  </w:pPr>
                  <w:r>
                    <w:rPr>
                      <w:rFonts w:eastAsia="附件"/>
                      <w:kern w:val="0"/>
                      <w:szCs w:val="21"/>
                    </w:rPr>
                    <w:t>/</w:t>
                  </w:r>
                </w:p>
              </w:tc>
              <w:tc>
                <w:tcPr>
                  <w:tcW w:w="850" w:type="dxa"/>
                  <w:vAlign w:val="center"/>
                </w:tcPr>
                <w:p>
                  <w:pPr>
                    <w:jc w:val="center"/>
                    <w:rPr>
                      <w:rFonts w:eastAsia="等线"/>
                      <w:szCs w:val="21"/>
                    </w:rPr>
                  </w:pPr>
                </w:p>
              </w:tc>
              <w:tc>
                <w:tcPr>
                  <w:tcW w:w="1056" w:type="dxa"/>
                  <w:vAlign w:val="center"/>
                </w:tcPr>
                <w:p>
                  <w:pPr>
                    <w:widowControl/>
                    <w:adjustRightInd w:val="0"/>
                    <w:snapToGrid w:val="0"/>
                    <w:spacing w:line="240" w:lineRule="exact"/>
                    <w:jc w:val="center"/>
                    <w:textAlignment w:val="center"/>
                    <w:rPr>
                      <w:rFonts w:eastAsia="附件"/>
                      <w:kern w:val="0"/>
                      <w:szCs w:val="21"/>
                    </w:rPr>
                  </w:pPr>
                  <w:r>
                    <w:rPr>
                      <w:rFonts w:eastAsia="附件"/>
                      <w:kern w:val="0"/>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blHeader/>
                <w:jc w:val="center"/>
              </w:trPr>
              <w:tc>
                <w:tcPr>
                  <w:tcW w:w="527" w:type="dxa"/>
                  <w:vAlign w:val="center"/>
                </w:tcPr>
                <w:p>
                  <w:pPr>
                    <w:adjustRightInd w:val="0"/>
                    <w:snapToGrid w:val="0"/>
                    <w:spacing w:line="240" w:lineRule="exact"/>
                    <w:jc w:val="center"/>
                    <w:rPr>
                      <w:rFonts w:eastAsia="附件"/>
                      <w:kern w:val="0"/>
                      <w:szCs w:val="21"/>
                    </w:rPr>
                  </w:pPr>
                  <w:r>
                    <w:rPr>
                      <w:rFonts w:eastAsia="附件"/>
                      <w:kern w:val="0"/>
                      <w:szCs w:val="21"/>
                    </w:rPr>
                    <w:t>6</w:t>
                  </w:r>
                </w:p>
              </w:tc>
              <w:tc>
                <w:tcPr>
                  <w:tcW w:w="1376" w:type="dxa"/>
                  <w:vAlign w:val="center"/>
                </w:tcPr>
                <w:p>
                  <w:pPr>
                    <w:widowControl/>
                    <w:spacing w:line="240" w:lineRule="exact"/>
                    <w:jc w:val="center"/>
                    <w:rPr>
                      <w:rFonts w:eastAsia="附件"/>
                      <w:szCs w:val="21"/>
                    </w:rPr>
                  </w:pPr>
                  <w:r>
                    <w:rPr>
                      <w:rFonts w:eastAsia="附件"/>
                      <w:szCs w:val="21"/>
                    </w:rPr>
                    <w:t>铜</w:t>
                  </w:r>
                </w:p>
              </w:tc>
              <w:tc>
                <w:tcPr>
                  <w:tcW w:w="1030" w:type="dxa"/>
                  <w:vAlign w:val="center"/>
                </w:tcPr>
                <w:p>
                  <w:pPr>
                    <w:widowControl/>
                    <w:adjustRightInd w:val="0"/>
                    <w:snapToGrid w:val="0"/>
                    <w:spacing w:line="240" w:lineRule="exact"/>
                    <w:jc w:val="center"/>
                    <w:textAlignment w:val="center"/>
                    <w:rPr>
                      <w:rFonts w:eastAsia="附件"/>
                      <w:kern w:val="0"/>
                      <w:szCs w:val="21"/>
                    </w:rPr>
                  </w:pPr>
                  <w:r>
                    <w:rPr>
                      <w:rFonts w:eastAsia="附件"/>
                      <w:kern w:val="0"/>
                      <w:szCs w:val="21"/>
                    </w:rPr>
                    <w:t>/</w:t>
                  </w:r>
                </w:p>
              </w:tc>
              <w:tc>
                <w:tcPr>
                  <w:tcW w:w="860" w:type="dxa"/>
                  <w:vAlign w:val="center"/>
                </w:tcPr>
                <w:p>
                  <w:pPr>
                    <w:widowControl/>
                    <w:adjustRightInd w:val="0"/>
                    <w:snapToGrid w:val="0"/>
                    <w:spacing w:line="240" w:lineRule="exact"/>
                    <w:jc w:val="center"/>
                    <w:textAlignment w:val="center"/>
                    <w:rPr>
                      <w:rFonts w:eastAsia="附件"/>
                      <w:kern w:val="0"/>
                      <w:szCs w:val="21"/>
                    </w:rPr>
                  </w:pPr>
                  <w:r>
                    <w:rPr>
                      <w:rFonts w:hint="eastAsia"/>
                      <w:kern w:val="0"/>
                      <w:sz w:val="18"/>
                      <w:szCs w:val="18"/>
                    </w:rPr>
                    <w:t>21</w:t>
                  </w:r>
                </w:p>
              </w:tc>
              <w:tc>
                <w:tcPr>
                  <w:tcW w:w="1490" w:type="dxa"/>
                  <w:vAlign w:val="center"/>
                </w:tcPr>
                <w:p>
                  <w:pPr>
                    <w:widowControl/>
                    <w:adjustRightInd w:val="0"/>
                    <w:snapToGrid w:val="0"/>
                    <w:spacing w:line="240" w:lineRule="exact"/>
                    <w:jc w:val="center"/>
                    <w:textAlignment w:val="center"/>
                    <w:rPr>
                      <w:rFonts w:eastAsia="附件"/>
                      <w:kern w:val="0"/>
                      <w:szCs w:val="21"/>
                    </w:rPr>
                  </w:pPr>
                  <w:r>
                    <w:rPr>
                      <w:rFonts w:eastAsia="附件"/>
                      <w:kern w:val="0"/>
                      <w:szCs w:val="21"/>
                    </w:rPr>
                    <w:t>100</w:t>
                  </w:r>
                </w:p>
              </w:tc>
              <w:tc>
                <w:tcPr>
                  <w:tcW w:w="841" w:type="dxa"/>
                  <w:vAlign w:val="center"/>
                </w:tcPr>
                <w:p>
                  <w:pPr>
                    <w:jc w:val="center"/>
                    <w:rPr>
                      <w:rFonts w:eastAsia="附件"/>
                      <w:kern w:val="0"/>
                      <w:szCs w:val="21"/>
                    </w:rPr>
                  </w:pPr>
                  <w:r>
                    <w:rPr>
                      <w:rFonts w:eastAsia="附件"/>
                      <w:kern w:val="0"/>
                      <w:szCs w:val="21"/>
                    </w:rPr>
                    <w:t>/</w:t>
                  </w:r>
                </w:p>
              </w:tc>
              <w:tc>
                <w:tcPr>
                  <w:tcW w:w="850" w:type="dxa"/>
                  <w:vAlign w:val="center"/>
                </w:tcPr>
                <w:p>
                  <w:pPr>
                    <w:jc w:val="center"/>
                    <w:rPr>
                      <w:rFonts w:eastAsia="等线"/>
                      <w:szCs w:val="21"/>
                    </w:rPr>
                  </w:pPr>
                </w:p>
              </w:tc>
              <w:tc>
                <w:tcPr>
                  <w:tcW w:w="1056" w:type="dxa"/>
                  <w:vAlign w:val="center"/>
                </w:tcPr>
                <w:p>
                  <w:pPr>
                    <w:widowControl/>
                    <w:adjustRightInd w:val="0"/>
                    <w:snapToGrid w:val="0"/>
                    <w:spacing w:line="240" w:lineRule="exact"/>
                    <w:jc w:val="center"/>
                    <w:textAlignment w:val="center"/>
                    <w:rPr>
                      <w:rFonts w:eastAsia="附件"/>
                      <w:kern w:val="0"/>
                      <w:szCs w:val="21"/>
                    </w:rPr>
                  </w:pPr>
                  <w:r>
                    <w:rPr>
                      <w:rFonts w:eastAsia="附件"/>
                      <w:kern w:val="0"/>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blHeader/>
                <w:jc w:val="center"/>
              </w:trPr>
              <w:tc>
                <w:tcPr>
                  <w:tcW w:w="527" w:type="dxa"/>
                  <w:vAlign w:val="center"/>
                </w:tcPr>
                <w:p>
                  <w:pPr>
                    <w:adjustRightInd w:val="0"/>
                    <w:snapToGrid w:val="0"/>
                    <w:spacing w:line="240" w:lineRule="exact"/>
                    <w:jc w:val="center"/>
                    <w:rPr>
                      <w:rFonts w:eastAsia="附件"/>
                      <w:kern w:val="0"/>
                      <w:szCs w:val="21"/>
                    </w:rPr>
                  </w:pPr>
                  <w:r>
                    <w:rPr>
                      <w:rFonts w:eastAsia="附件"/>
                      <w:kern w:val="0"/>
                      <w:szCs w:val="21"/>
                    </w:rPr>
                    <w:t>7</w:t>
                  </w:r>
                </w:p>
              </w:tc>
              <w:tc>
                <w:tcPr>
                  <w:tcW w:w="1376" w:type="dxa"/>
                  <w:vAlign w:val="center"/>
                </w:tcPr>
                <w:p>
                  <w:pPr>
                    <w:widowControl/>
                    <w:spacing w:line="240" w:lineRule="exact"/>
                    <w:jc w:val="center"/>
                    <w:rPr>
                      <w:rFonts w:eastAsia="附件"/>
                      <w:szCs w:val="21"/>
                    </w:rPr>
                  </w:pPr>
                  <w:r>
                    <w:rPr>
                      <w:rFonts w:eastAsia="附件"/>
                      <w:szCs w:val="21"/>
                    </w:rPr>
                    <w:t>镍</w:t>
                  </w:r>
                </w:p>
              </w:tc>
              <w:tc>
                <w:tcPr>
                  <w:tcW w:w="1030" w:type="dxa"/>
                  <w:vAlign w:val="center"/>
                </w:tcPr>
                <w:p>
                  <w:pPr>
                    <w:widowControl/>
                    <w:adjustRightInd w:val="0"/>
                    <w:snapToGrid w:val="0"/>
                    <w:spacing w:line="240" w:lineRule="exact"/>
                    <w:jc w:val="center"/>
                    <w:textAlignment w:val="center"/>
                    <w:rPr>
                      <w:rFonts w:eastAsia="附件"/>
                      <w:kern w:val="0"/>
                      <w:szCs w:val="21"/>
                    </w:rPr>
                  </w:pPr>
                  <w:r>
                    <w:rPr>
                      <w:rFonts w:eastAsia="附件"/>
                      <w:kern w:val="0"/>
                      <w:szCs w:val="21"/>
                    </w:rPr>
                    <w:t>/</w:t>
                  </w:r>
                </w:p>
              </w:tc>
              <w:tc>
                <w:tcPr>
                  <w:tcW w:w="860" w:type="dxa"/>
                  <w:vAlign w:val="center"/>
                </w:tcPr>
                <w:p>
                  <w:pPr>
                    <w:widowControl/>
                    <w:adjustRightInd w:val="0"/>
                    <w:snapToGrid w:val="0"/>
                    <w:spacing w:line="240" w:lineRule="exact"/>
                    <w:jc w:val="center"/>
                    <w:textAlignment w:val="center"/>
                    <w:rPr>
                      <w:rFonts w:eastAsia="附件"/>
                      <w:kern w:val="0"/>
                      <w:szCs w:val="21"/>
                    </w:rPr>
                  </w:pPr>
                  <w:r>
                    <w:rPr>
                      <w:rFonts w:hint="eastAsia"/>
                      <w:kern w:val="0"/>
                      <w:sz w:val="18"/>
                      <w:szCs w:val="18"/>
                    </w:rPr>
                    <w:t>64</w:t>
                  </w:r>
                </w:p>
              </w:tc>
              <w:tc>
                <w:tcPr>
                  <w:tcW w:w="1490" w:type="dxa"/>
                  <w:vAlign w:val="center"/>
                </w:tcPr>
                <w:p>
                  <w:pPr>
                    <w:widowControl/>
                    <w:adjustRightInd w:val="0"/>
                    <w:snapToGrid w:val="0"/>
                    <w:spacing w:line="240" w:lineRule="exact"/>
                    <w:jc w:val="center"/>
                    <w:textAlignment w:val="center"/>
                    <w:rPr>
                      <w:rFonts w:eastAsia="附件"/>
                      <w:kern w:val="0"/>
                      <w:szCs w:val="21"/>
                    </w:rPr>
                  </w:pPr>
                  <w:r>
                    <w:rPr>
                      <w:rFonts w:eastAsia="附件"/>
                      <w:kern w:val="0"/>
                      <w:szCs w:val="21"/>
                    </w:rPr>
                    <w:t>100</w:t>
                  </w:r>
                </w:p>
              </w:tc>
              <w:tc>
                <w:tcPr>
                  <w:tcW w:w="841" w:type="dxa"/>
                  <w:vAlign w:val="center"/>
                </w:tcPr>
                <w:p>
                  <w:pPr>
                    <w:jc w:val="center"/>
                    <w:rPr>
                      <w:rFonts w:eastAsia="附件"/>
                      <w:kern w:val="0"/>
                      <w:szCs w:val="21"/>
                    </w:rPr>
                  </w:pPr>
                  <w:r>
                    <w:rPr>
                      <w:rFonts w:eastAsia="附件"/>
                      <w:kern w:val="0"/>
                      <w:szCs w:val="21"/>
                    </w:rPr>
                    <w:t>/</w:t>
                  </w:r>
                </w:p>
              </w:tc>
              <w:tc>
                <w:tcPr>
                  <w:tcW w:w="850" w:type="dxa"/>
                  <w:vAlign w:val="center"/>
                </w:tcPr>
                <w:p>
                  <w:pPr>
                    <w:jc w:val="center"/>
                    <w:rPr>
                      <w:rFonts w:eastAsia="等线"/>
                      <w:szCs w:val="21"/>
                    </w:rPr>
                  </w:pPr>
                </w:p>
              </w:tc>
              <w:tc>
                <w:tcPr>
                  <w:tcW w:w="1056" w:type="dxa"/>
                  <w:vAlign w:val="center"/>
                </w:tcPr>
                <w:p>
                  <w:pPr>
                    <w:widowControl/>
                    <w:adjustRightInd w:val="0"/>
                    <w:snapToGrid w:val="0"/>
                    <w:spacing w:line="240" w:lineRule="exact"/>
                    <w:jc w:val="center"/>
                    <w:textAlignment w:val="center"/>
                    <w:rPr>
                      <w:rFonts w:eastAsia="附件"/>
                      <w:kern w:val="0"/>
                      <w:szCs w:val="21"/>
                    </w:rPr>
                  </w:pPr>
                  <w:r>
                    <w:rPr>
                      <w:rFonts w:eastAsia="附件"/>
                      <w:kern w:val="0"/>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blHeader/>
                <w:jc w:val="center"/>
              </w:trPr>
              <w:tc>
                <w:tcPr>
                  <w:tcW w:w="527" w:type="dxa"/>
                  <w:vAlign w:val="center"/>
                </w:tcPr>
                <w:p>
                  <w:pPr>
                    <w:adjustRightInd w:val="0"/>
                    <w:snapToGrid w:val="0"/>
                    <w:spacing w:line="240" w:lineRule="exact"/>
                    <w:jc w:val="center"/>
                    <w:rPr>
                      <w:rFonts w:eastAsia="附件"/>
                      <w:kern w:val="0"/>
                      <w:szCs w:val="21"/>
                    </w:rPr>
                  </w:pPr>
                  <w:r>
                    <w:rPr>
                      <w:rFonts w:eastAsia="附件"/>
                      <w:kern w:val="0"/>
                      <w:szCs w:val="21"/>
                    </w:rPr>
                    <w:t>8</w:t>
                  </w:r>
                </w:p>
              </w:tc>
              <w:tc>
                <w:tcPr>
                  <w:tcW w:w="1376" w:type="dxa"/>
                  <w:vAlign w:val="center"/>
                </w:tcPr>
                <w:p>
                  <w:pPr>
                    <w:widowControl/>
                    <w:spacing w:line="240" w:lineRule="exact"/>
                    <w:jc w:val="center"/>
                    <w:rPr>
                      <w:rFonts w:eastAsia="附件"/>
                      <w:szCs w:val="21"/>
                    </w:rPr>
                  </w:pPr>
                  <w:r>
                    <w:rPr>
                      <w:rFonts w:eastAsia="附件"/>
                      <w:szCs w:val="21"/>
                    </w:rPr>
                    <w:t>铬</w:t>
                  </w:r>
                </w:p>
              </w:tc>
              <w:tc>
                <w:tcPr>
                  <w:tcW w:w="1030" w:type="dxa"/>
                  <w:vAlign w:val="center"/>
                </w:tcPr>
                <w:p>
                  <w:pPr>
                    <w:widowControl/>
                    <w:adjustRightInd w:val="0"/>
                    <w:snapToGrid w:val="0"/>
                    <w:spacing w:line="240" w:lineRule="exact"/>
                    <w:jc w:val="center"/>
                    <w:textAlignment w:val="center"/>
                    <w:rPr>
                      <w:rFonts w:eastAsia="附件"/>
                      <w:kern w:val="0"/>
                      <w:szCs w:val="21"/>
                    </w:rPr>
                  </w:pPr>
                  <w:r>
                    <w:rPr>
                      <w:rFonts w:eastAsia="附件"/>
                      <w:kern w:val="0"/>
                      <w:szCs w:val="21"/>
                    </w:rPr>
                    <w:t>/</w:t>
                  </w:r>
                </w:p>
              </w:tc>
              <w:tc>
                <w:tcPr>
                  <w:tcW w:w="860" w:type="dxa"/>
                  <w:vAlign w:val="center"/>
                </w:tcPr>
                <w:p>
                  <w:pPr>
                    <w:widowControl/>
                    <w:adjustRightInd w:val="0"/>
                    <w:snapToGrid w:val="0"/>
                    <w:spacing w:line="240" w:lineRule="exact"/>
                    <w:jc w:val="center"/>
                    <w:textAlignment w:val="center"/>
                    <w:rPr>
                      <w:rFonts w:eastAsia="附件"/>
                      <w:kern w:val="0"/>
                      <w:szCs w:val="21"/>
                    </w:rPr>
                  </w:pPr>
                  <w:r>
                    <w:rPr>
                      <w:rFonts w:hint="eastAsia"/>
                      <w:kern w:val="0"/>
                      <w:sz w:val="18"/>
                      <w:szCs w:val="18"/>
                    </w:rPr>
                    <w:t>20</w:t>
                  </w:r>
                </w:p>
              </w:tc>
              <w:tc>
                <w:tcPr>
                  <w:tcW w:w="1490" w:type="dxa"/>
                  <w:vAlign w:val="center"/>
                </w:tcPr>
                <w:p>
                  <w:pPr>
                    <w:widowControl/>
                    <w:adjustRightInd w:val="0"/>
                    <w:snapToGrid w:val="0"/>
                    <w:spacing w:line="240" w:lineRule="exact"/>
                    <w:jc w:val="center"/>
                    <w:textAlignment w:val="center"/>
                    <w:rPr>
                      <w:rFonts w:eastAsia="附件"/>
                      <w:kern w:val="0"/>
                      <w:szCs w:val="21"/>
                    </w:rPr>
                  </w:pPr>
                  <w:r>
                    <w:rPr>
                      <w:rFonts w:eastAsia="附件"/>
                      <w:kern w:val="0"/>
                      <w:szCs w:val="21"/>
                    </w:rPr>
                    <w:t>200</w:t>
                  </w:r>
                </w:p>
              </w:tc>
              <w:tc>
                <w:tcPr>
                  <w:tcW w:w="841" w:type="dxa"/>
                  <w:vAlign w:val="center"/>
                </w:tcPr>
                <w:p>
                  <w:pPr>
                    <w:jc w:val="center"/>
                    <w:rPr>
                      <w:rFonts w:eastAsia="附件"/>
                      <w:kern w:val="0"/>
                      <w:szCs w:val="21"/>
                    </w:rPr>
                  </w:pPr>
                  <w:r>
                    <w:rPr>
                      <w:rFonts w:eastAsia="附件"/>
                      <w:kern w:val="0"/>
                      <w:szCs w:val="21"/>
                    </w:rPr>
                    <w:t>/</w:t>
                  </w:r>
                </w:p>
              </w:tc>
              <w:tc>
                <w:tcPr>
                  <w:tcW w:w="850" w:type="dxa"/>
                  <w:vAlign w:val="center"/>
                </w:tcPr>
                <w:p>
                  <w:pPr>
                    <w:jc w:val="center"/>
                    <w:rPr>
                      <w:rFonts w:eastAsia="等线"/>
                      <w:szCs w:val="21"/>
                    </w:rPr>
                  </w:pPr>
                </w:p>
              </w:tc>
              <w:tc>
                <w:tcPr>
                  <w:tcW w:w="1056" w:type="dxa"/>
                  <w:vAlign w:val="center"/>
                </w:tcPr>
                <w:p>
                  <w:pPr>
                    <w:widowControl/>
                    <w:adjustRightInd w:val="0"/>
                    <w:snapToGrid w:val="0"/>
                    <w:spacing w:line="240" w:lineRule="exact"/>
                    <w:jc w:val="center"/>
                    <w:textAlignment w:val="center"/>
                    <w:rPr>
                      <w:rFonts w:eastAsia="附件"/>
                      <w:kern w:val="0"/>
                      <w:szCs w:val="21"/>
                    </w:rPr>
                  </w:pPr>
                  <w:r>
                    <w:rPr>
                      <w:rFonts w:eastAsia="附件"/>
                      <w:kern w:val="0"/>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blHeader/>
                <w:jc w:val="center"/>
              </w:trPr>
              <w:tc>
                <w:tcPr>
                  <w:tcW w:w="527" w:type="dxa"/>
                  <w:vAlign w:val="center"/>
                </w:tcPr>
                <w:p>
                  <w:pPr>
                    <w:adjustRightInd w:val="0"/>
                    <w:snapToGrid w:val="0"/>
                    <w:spacing w:line="240" w:lineRule="exact"/>
                    <w:jc w:val="center"/>
                    <w:rPr>
                      <w:rFonts w:eastAsia="附件"/>
                      <w:kern w:val="0"/>
                      <w:szCs w:val="21"/>
                    </w:rPr>
                  </w:pPr>
                  <w:r>
                    <w:rPr>
                      <w:rFonts w:eastAsia="附件"/>
                      <w:kern w:val="0"/>
                      <w:szCs w:val="21"/>
                    </w:rPr>
                    <w:t>9</w:t>
                  </w:r>
                </w:p>
              </w:tc>
              <w:tc>
                <w:tcPr>
                  <w:tcW w:w="1376" w:type="dxa"/>
                  <w:vAlign w:val="center"/>
                </w:tcPr>
                <w:p>
                  <w:pPr>
                    <w:widowControl/>
                    <w:spacing w:line="240" w:lineRule="exact"/>
                    <w:jc w:val="center"/>
                    <w:rPr>
                      <w:rFonts w:eastAsia="附件"/>
                      <w:szCs w:val="21"/>
                    </w:rPr>
                  </w:pPr>
                  <w:r>
                    <w:rPr>
                      <w:rFonts w:eastAsia="附件"/>
                      <w:szCs w:val="21"/>
                    </w:rPr>
                    <w:t>铅</w:t>
                  </w:r>
                </w:p>
              </w:tc>
              <w:tc>
                <w:tcPr>
                  <w:tcW w:w="1030" w:type="dxa"/>
                  <w:vAlign w:val="center"/>
                </w:tcPr>
                <w:p>
                  <w:pPr>
                    <w:widowControl/>
                    <w:adjustRightInd w:val="0"/>
                    <w:snapToGrid w:val="0"/>
                    <w:spacing w:line="240" w:lineRule="exact"/>
                    <w:jc w:val="center"/>
                    <w:textAlignment w:val="center"/>
                    <w:rPr>
                      <w:rFonts w:eastAsia="附件"/>
                      <w:kern w:val="0"/>
                      <w:szCs w:val="21"/>
                    </w:rPr>
                  </w:pPr>
                  <w:r>
                    <w:rPr>
                      <w:rFonts w:eastAsia="附件"/>
                      <w:kern w:val="0"/>
                      <w:szCs w:val="21"/>
                    </w:rPr>
                    <w:t>/</w:t>
                  </w:r>
                </w:p>
              </w:tc>
              <w:tc>
                <w:tcPr>
                  <w:tcW w:w="860" w:type="dxa"/>
                  <w:vAlign w:val="center"/>
                </w:tcPr>
                <w:p>
                  <w:pPr>
                    <w:widowControl/>
                    <w:adjustRightInd w:val="0"/>
                    <w:snapToGrid w:val="0"/>
                    <w:spacing w:line="240" w:lineRule="exact"/>
                    <w:jc w:val="center"/>
                    <w:textAlignment w:val="center"/>
                    <w:rPr>
                      <w:rFonts w:eastAsia="附件"/>
                      <w:kern w:val="0"/>
                      <w:szCs w:val="21"/>
                    </w:rPr>
                  </w:pPr>
                  <w:r>
                    <w:rPr>
                      <w:rFonts w:hint="eastAsia"/>
                      <w:kern w:val="0"/>
                      <w:sz w:val="18"/>
                      <w:szCs w:val="18"/>
                    </w:rPr>
                    <w:t>26</w:t>
                  </w:r>
                </w:p>
              </w:tc>
              <w:tc>
                <w:tcPr>
                  <w:tcW w:w="1490" w:type="dxa"/>
                  <w:vAlign w:val="center"/>
                </w:tcPr>
                <w:p>
                  <w:pPr>
                    <w:widowControl/>
                    <w:adjustRightInd w:val="0"/>
                    <w:snapToGrid w:val="0"/>
                    <w:spacing w:line="240" w:lineRule="exact"/>
                    <w:jc w:val="center"/>
                    <w:textAlignment w:val="center"/>
                    <w:rPr>
                      <w:rFonts w:eastAsia="附件"/>
                      <w:kern w:val="0"/>
                      <w:szCs w:val="21"/>
                    </w:rPr>
                  </w:pPr>
                  <w:r>
                    <w:rPr>
                      <w:rFonts w:eastAsia="附件"/>
                      <w:kern w:val="0"/>
                      <w:szCs w:val="21"/>
                    </w:rPr>
                    <w:t>120</w:t>
                  </w:r>
                </w:p>
              </w:tc>
              <w:tc>
                <w:tcPr>
                  <w:tcW w:w="841" w:type="dxa"/>
                  <w:vAlign w:val="center"/>
                </w:tcPr>
                <w:p>
                  <w:pPr>
                    <w:jc w:val="center"/>
                    <w:rPr>
                      <w:rFonts w:eastAsia="附件"/>
                      <w:kern w:val="0"/>
                      <w:szCs w:val="21"/>
                    </w:rPr>
                  </w:pPr>
                  <w:r>
                    <w:rPr>
                      <w:rFonts w:eastAsia="附件"/>
                      <w:kern w:val="0"/>
                      <w:szCs w:val="21"/>
                    </w:rPr>
                    <w:t>/</w:t>
                  </w:r>
                </w:p>
              </w:tc>
              <w:tc>
                <w:tcPr>
                  <w:tcW w:w="850" w:type="dxa"/>
                  <w:vAlign w:val="center"/>
                </w:tcPr>
                <w:p>
                  <w:pPr>
                    <w:jc w:val="center"/>
                    <w:rPr>
                      <w:rFonts w:eastAsia="等线"/>
                      <w:szCs w:val="21"/>
                    </w:rPr>
                  </w:pPr>
                </w:p>
              </w:tc>
              <w:tc>
                <w:tcPr>
                  <w:tcW w:w="1056" w:type="dxa"/>
                  <w:vAlign w:val="center"/>
                </w:tcPr>
                <w:p>
                  <w:pPr>
                    <w:widowControl/>
                    <w:adjustRightInd w:val="0"/>
                    <w:snapToGrid w:val="0"/>
                    <w:spacing w:line="240" w:lineRule="exact"/>
                    <w:jc w:val="center"/>
                    <w:textAlignment w:val="center"/>
                    <w:rPr>
                      <w:rFonts w:eastAsia="附件"/>
                      <w:kern w:val="0"/>
                      <w:szCs w:val="21"/>
                    </w:rPr>
                  </w:pPr>
                  <w:r>
                    <w:rPr>
                      <w:rFonts w:eastAsia="附件"/>
                      <w:kern w:val="0"/>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blHeader/>
                <w:jc w:val="center"/>
              </w:trPr>
              <w:tc>
                <w:tcPr>
                  <w:tcW w:w="527" w:type="dxa"/>
                  <w:vAlign w:val="center"/>
                </w:tcPr>
                <w:p>
                  <w:pPr>
                    <w:adjustRightInd w:val="0"/>
                    <w:snapToGrid w:val="0"/>
                    <w:spacing w:line="240" w:lineRule="exact"/>
                    <w:jc w:val="center"/>
                    <w:rPr>
                      <w:rFonts w:eastAsia="附件"/>
                      <w:kern w:val="0"/>
                      <w:szCs w:val="21"/>
                    </w:rPr>
                  </w:pPr>
                  <w:r>
                    <w:rPr>
                      <w:rFonts w:eastAsia="附件"/>
                      <w:kern w:val="0"/>
                      <w:szCs w:val="21"/>
                    </w:rPr>
                    <w:t>10</w:t>
                  </w:r>
                </w:p>
              </w:tc>
              <w:tc>
                <w:tcPr>
                  <w:tcW w:w="1376" w:type="dxa"/>
                  <w:vAlign w:val="center"/>
                </w:tcPr>
                <w:p>
                  <w:pPr>
                    <w:widowControl/>
                    <w:spacing w:line="240" w:lineRule="exact"/>
                    <w:jc w:val="center"/>
                    <w:rPr>
                      <w:rFonts w:eastAsia="附件"/>
                      <w:szCs w:val="21"/>
                    </w:rPr>
                  </w:pPr>
                  <w:r>
                    <w:rPr>
                      <w:rFonts w:eastAsia="附件"/>
                      <w:szCs w:val="21"/>
                    </w:rPr>
                    <w:t>镉</w:t>
                  </w:r>
                </w:p>
              </w:tc>
              <w:tc>
                <w:tcPr>
                  <w:tcW w:w="1030" w:type="dxa"/>
                  <w:vAlign w:val="center"/>
                </w:tcPr>
                <w:p>
                  <w:pPr>
                    <w:widowControl/>
                    <w:adjustRightInd w:val="0"/>
                    <w:snapToGrid w:val="0"/>
                    <w:spacing w:line="240" w:lineRule="exact"/>
                    <w:jc w:val="center"/>
                    <w:textAlignment w:val="center"/>
                    <w:rPr>
                      <w:rFonts w:eastAsia="附件"/>
                      <w:kern w:val="0"/>
                      <w:szCs w:val="21"/>
                    </w:rPr>
                  </w:pPr>
                  <w:r>
                    <w:rPr>
                      <w:rFonts w:eastAsia="附件"/>
                      <w:kern w:val="0"/>
                      <w:szCs w:val="21"/>
                    </w:rPr>
                    <w:t>/</w:t>
                  </w:r>
                </w:p>
              </w:tc>
              <w:tc>
                <w:tcPr>
                  <w:tcW w:w="860" w:type="dxa"/>
                  <w:vAlign w:val="center"/>
                </w:tcPr>
                <w:p>
                  <w:pPr>
                    <w:widowControl/>
                    <w:adjustRightInd w:val="0"/>
                    <w:snapToGrid w:val="0"/>
                    <w:spacing w:line="240" w:lineRule="exact"/>
                    <w:jc w:val="center"/>
                    <w:textAlignment w:val="center"/>
                    <w:rPr>
                      <w:rFonts w:eastAsia="附件"/>
                      <w:kern w:val="0"/>
                      <w:szCs w:val="21"/>
                    </w:rPr>
                  </w:pPr>
                  <w:r>
                    <w:rPr>
                      <w:rFonts w:hint="eastAsia"/>
                      <w:kern w:val="0"/>
                      <w:sz w:val="18"/>
                      <w:szCs w:val="18"/>
                    </w:rPr>
                    <w:t>74</w:t>
                  </w:r>
                </w:p>
              </w:tc>
              <w:tc>
                <w:tcPr>
                  <w:tcW w:w="1490" w:type="dxa"/>
                  <w:vAlign w:val="center"/>
                </w:tcPr>
                <w:p>
                  <w:pPr>
                    <w:widowControl/>
                    <w:adjustRightInd w:val="0"/>
                    <w:snapToGrid w:val="0"/>
                    <w:spacing w:line="240" w:lineRule="exact"/>
                    <w:jc w:val="center"/>
                    <w:textAlignment w:val="center"/>
                    <w:rPr>
                      <w:rFonts w:eastAsia="附件"/>
                      <w:kern w:val="0"/>
                      <w:szCs w:val="21"/>
                    </w:rPr>
                  </w:pPr>
                  <w:r>
                    <w:rPr>
                      <w:rFonts w:eastAsia="附件"/>
                      <w:kern w:val="0"/>
                      <w:szCs w:val="21"/>
                    </w:rPr>
                    <w:t>0.3</w:t>
                  </w:r>
                </w:p>
              </w:tc>
              <w:tc>
                <w:tcPr>
                  <w:tcW w:w="841" w:type="dxa"/>
                  <w:vAlign w:val="center"/>
                </w:tcPr>
                <w:p>
                  <w:pPr>
                    <w:jc w:val="center"/>
                    <w:rPr>
                      <w:rFonts w:eastAsia="附件"/>
                      <w:kern w:val="0"/>
                      <w:szCs w:val="21"/>
                    </w:rPr>
                  </w:pPr>
                  <w:r>
                    <w:rPr>
                      <w:rFonts w:eastAsia="附件"/>
                      <w:kern w:val="0"/>
                      <w:szCs w:val="21"/>
                    </w:rPr>
                    <w:t>/</w:t>
                  </w:r>
                </w:p>
              </w:tc>
              <w:tc>
                <w:tcPr>
                  <w:tcW w:w="850" w:type="dxa"/>
                  <w:vAlign w:val="center"/>
                </w:tcPr>
                <w:p>
                  <w:pPr>
                    <w:jc w:val="center"/>
                    <w:rPr>
                      <w:rFonts w:eastAsia="等线"/>
                      <w:szCs w:val="21"/>
                    </w:rPr>
                  </w:pPr>
                </w:p>
              </w:tc>
              <w:tc>
                <w:tcPr>
                  <w:tcW w:w="1056" w:type="dxa"/>
                  <w:vAlign w:val="center"/>
                </w:tcPr>
                <w:p>
                  <w:pPr>
                    <w:widowControl/>
                    <w:adjustRightInd w:val="0"/>
                    <w:snapToGrid w:val="0"/>
                    <w:spacing w:line="240" w:lineRule="exact"/>
                    <w:jc w:val="center"/>
                    <w:textAlignment w:val="center"/>
                    <w:rPr>
                      <w:rFonts w:eastAsia="附件"/>
                      <w:kern w:val="0"/>
                      <w:szCs w:val="21"/>
                    </w:rPr>
                  </w:pPr>
                  <w:r>
                    <w:rPr>
                      <w:rFonts w:eastAsia="附件"/>
                      <w:kern w:val="0"/>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blHeader/>
                <w:jc w:val="center"/>
              </w:trPr>
              <w:tc>
                <w:tcPr>
                  <w:tcW w:w="527" w:type="dxa"/>
                  <w:vAlign w:val="center"/>
                </w:tcPr>
                <w:p>
                  <w:pPr>
                    <w:adjustRightInd w:val="0"/>
                    <w:snapToGrid w:val="0"/>
                    <w:spacing w:line="240" w:lineRule="exact"/>
                    <w:jc w:val="center"/>
                    <w:rPr>
                      <w:rFonts w:eastAsia="附件"/>
                      <w:kern w:val="0"/>
                      <w:szCs w:val="21"/>
                    </w:rPr>
                  </w:pPr>
                  <w:r>
                    <w:rPr>
                      <w:rFonts w:hint="eastAsia" w:eastAsia="附件"/>
                      <w:kern w:val="0"/>
                      <w:szCs w:val="21"/>
                    </w:rPr>
                    <w:t>11</w:t>
                  </w:r>
                </w:p>
              </w:tc>
              <w:tc>
                <w:tcPr>
                  <w:tcW w:w="1376" w:type="dxa"/>
                  <w:vAlign w:val="center"/>
                </w:tcPr>
                <w:p>
                  <w:pPr>
                    <w:widowControl/>
                    <w:spacing w:line="240" w:lineRule="exact"/>
                    <w:jc w:val="center"/>
                    <w:rPr>
                      <w:rFonts w:eastAsia="附件"/>
                      <w:szCs w:val="21"/>
                    </w:rPr>
                  </w:pPr>
                  <w:r>
                    <w:rPr>
                      <w:rFonts w:eastAsia="附件"/>
                      <w:szCs w:val="21"/>
                    </w:rPr>
                    <w:t>锌</w:t>
                  </w:r>
                </w:p>
              </w:tc>
              <w:tc>
                <w:tcPr>
                  <w:tcW w:w="1030" w:type="dxa"/>
                  <w:vAlign w:val="center"/>
                </w:tcPr>
                <w:p>
                  <w:pPr>
                    <w:widowControl/>
                    <w:adjustRightInd w:val="0"/>
                    <w:snapToGrid w:val="0"/>
                    <w:spacing w:line="240" w:lineRule="exact"/>
                    <w:jc w:val="center"/>
                    <w:textAlignment w:val="center"/>
                    <w:rPr>
                      <w:rFonts w:eastAsia="附件"/>
                      <w:kern w:val="0"/>
                      <w:szCs w:val="21"/>
                    </w:rPr>
                  </w:pPr>
                  <w:r>
                    <w:rPr>
                      <w:rFonts w:eastAsia="附件"/>
                      <w:kern w:val="0"/>
                      <w:szCs w:val="21"/>
                    </w:rPr>
                    <w:t>/</w:t>
                  </w:r>
                </w:p>
              </w:tc>
              <w:tc>
                <w:tcPr>
                  <w:tcW w:w="860" w:type="dxa"/>
                  <w:vAlign w:val="center"/>
                </w:tcPr>
                <w:p>
                  <w:pPr>
                    <w:widowControl/>
                    <w:adjustRightInd w:val="0"/>
                    <w:snapToGrid w:val="0"/>
                    <w:spacing w:line="240" w:lineRule="exact"/>
                    <w:jc w:val="center"/>
                    <w:textAlignment w:val="center"/>
                    <w:rPr>
                      <w:rFonts w:eastAsia="附件"/>
                      <w:kern w:val="0"/>
                      <w:szCs w:val="21"/>
                    </w:rPr>
                  </w:pPr>
                  <w:r>
                    <w:rPr>
                      <w:rFonts w:hint="eastAsia"/>
                      <w:sz w:val="18"/>
                      <w:szCs w:val="18"/>
                    </w:rPr>
                    <w:t>6.79</w:t>
                  </w:r>
                </w:p>
              </w:tc>
              <w:tc>
                <w:tcPr>
                  <w:tcW w:w="1490" w:type="dxa"/>
                  <w:vAlign w:val="center"/>
                </w:tcPr>
                <w:p>
                  <w:pPr>
                    <w:widowControl/>
                    <w:adjustRightInd w:val="0"/>
                    <w:snapToGrid w:val="0"/>
                    <w:spacing w:line="240" w:lineRule="exact"/>
                    <w:jc w:val="center"/>
                    <w:textAlignment w:val="center"/>
                    <w:rPr>
                      <w:rFonts w:eastAsia="附件"/>
                      <w:kern w:val="0"/>
                      <w:szCs w:val="21"/>
                    </w:rPr>
                  </w:pPr>
                  <w:r>
                    <w:rPr>
                      <w:rFonts w:eastAsia="附件"/>
                      <w:kern w:val="0"/>
                      <w:szCs w:val="21"/>
                    </w:rPr>
                    <w:t>250</w:t>
                  </w:r>
                </w:p>
              </w:tc>
              <w:tc>
                <w:tcPr>
                  <w:tcW w:w="841" w:type="dxa"/>
                  <w:vAlign w:val="center"/>
                </w:tcPr>
                <w:p>
                  <w:pPr>
                    <w:jc w:val="center"/>
                    <w:rPr>
                      <w:rFonts w:eastAsia="附件"/>
                      <w:kern w:val="0"/>
                      <w:szCs w:val="21"/>
                    </w:rPr>
                  </w:pPr>
                  <w:r>
                    <w:rPr>
                      <w:rFonts w:eastAsia="附件"/>
                      <w:kern w:val="0"/>
                      <w:szCs w:val="21"/>
                    </w:rPr>
                    <w:t>/</w:t>
                  </w:r>
                </w:p>
              </w:tc>
              <w:tc>
                <w:tcPr>
                  <w:tcW w:w="850" w:type="dxa"/>
                  <w:vAlign w:val="center"/>
                </w:tcPr>
                <w:p>
                  <w:pPr>
                    <w:jc w:val="center"/>
                    <w:rPr>
                      <w:rFonts w:eastAsia="等线"/>
                      <w:szCs w:val="21"/>
                    </w:rPr>
                  </w:pPr>
                </w:p>
              </w:tc>
              <w:tc>
                <w:tcPr>
                  <w:tcW w:w="1056" w:type="dxa"/>
                  <w:vAlign w:val="center"/>
                </w:tcPr>
                <w:p>
                  <w:pPr>
                    <w:widowControl/>
                    <w:adjustRightInd w:val="0"/>
                    <w:snapToGrid w:val="0"/>
                    <w:spacing w:line="240" w:lineRule="exact"/>
                    <w:jc w:val="center"/>
                    <w:textAlignment w:val="center"/>
                    <w:rPr>
                      <w:rFonts w:eastAsia="附件"/>
                      <w:kern w:val="0"/>
                      <w:szCs w:val="21"/>
                    </w:rPr>
                  </w:pPr>
                  <w:r>
                    <w:rPr>
                      <w:rFonts w:eastAsia="附件"/>
                      <w:kern w:val="0"/>
                      <w:szCs w:val="21"/>
                    </w:rPr>
                    <w:t>0</w:t>
                  </w:r>
                </w:p>
              </w:tc>
            </w:tr>
          </w:tbl>
          <w:p>
            <w:pPr>
              <w:spacing w:line="360" w:lineRule="auto"/>
              <w:ind w:firstLine="420" w:firstLineChars="200"/>
              <w:rPr>
                <w:rFonts w:eastAsia="附件"/>
                <w:szCs w:val="21"/>
              </w:rPr>
            </w:pPr>
          </w:p>
          <w:p>
            <w:pPr>
              <w:pStyle w:val="331"/>
              <w:numPr>
                <w:ilvl w:val="0"/>
                <w:numId w:val="6"/>
              </w:numPr>
              <w:adjustRightInd w:val="0"/>
              <w:snapToGrid w:val="0"/>
              <w:spacing w:line="360" w:lineRule="auto"/>
              <w:ind w:left="0" w:firstLine="0" w:firstLineChars="0"/>
              <w:jc w:val="center"/>
              <w:rPr>
                <w:b/>
                <w:bCs/>
                <w:kern w:val="0"/>
                <w:szCs w:val="21"/>
              </w:rPr>
            </w:pPr>
            <w:r>
              <w:rPr>
                <w:b/>
                <w:bCs/>
                <w:kern w:val="0"/>
                <w:szCs w:val="21"/>
              </w:rPr>
              <w:t>土壤环境现状监测及评价结果（单位：mg/kg，pH无量纲）</w:t>
            </w:r>
          </w:p>
          <w:tbl>
            <w:tblPr>
              <w:tblStyle w:val="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3"/>
              <w:gridCol w:w="1000"/>
              <w:gridCol w:w="2550"/>
              <w:gridCol w:w="993"/>
              <w:gridCol w:w="2410"/>
              <w:gridCol w:w="5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523" w:type="dxa"/>
                  <w:vMerge w:val="restart"/>
                  <w:vAlign w:val="center"/>
                </w:tcPr>
                <w:p>
                  <w:pPr>
                    <w:autoSpaceDE w:val="0"/>
                    <w:autoSpaceDN w:val="0"/>
                    <w:adjustRightInd w:val="0"/>
                    <w:snapToGrid w:val="0"/>
                    <w:spacing w:line="240" w:lineRule="exact"/>
                    <w:jc w:val="center"/>
                    <w:rPr>
                      <w:rFonts w:eastAsia="附件"/>
                      <w:kern w:val="0"/>
                      <w:szCs w:val="21"/>
                    </w:rPr>
                  </w:pPr>
                  <w:r>
                    <w:rPr>
                      <w:rFonts w:eastAsia="附件"/>
                      <w:kern w:val="0"/>
                      <w:szCs w:val="21"/>
                    </w:rPr>
                    <w:t>编号</w:t>
                  </w:r>
                </w:p>
              </w:tc>
              <w:tc>
                <w:tcPr>
                  <w:tcW w:w="1000" w:type="dxa"/>
                  <w:vMerge w:val="restart"/>
                  <w:vAlign w:val="center"/>
                </w:tcPr>
                <w:p>
                  <w:pPr>
                    <w:widowControl/>
                    <w:adjustRightInd w:val="0"/>
                    <w:snapToGrid w:val="0"/>
                    <w:spacing w:line="240" w:lineRule="exact"/>
                    <w:jc w:val="center"/>
                    <w:textAlignment w:val="center"/>
                    <w:rPr>
                      <w:rFonts w:eastAsia="附件"/>
                      <w:kern w:val="0"/>
                      <w:szCs w:val="21"/>
                    </w:rPr>
                  </w:pPr>
                  <w:r>
                    <w:rPr>
                      <w:rFonts w:eastAsia="附件"/>
                      <w:kern w:val="0"/>
                      <w:szCs w:val="21"/>
                    </w:rPr>
                    <w:t>因子</w:t>
                  </w:r>
                </w:p>
              </w:tc>
              <w:tc>
                <w:tcPr>
                  <w:tcW w:w="2550" w:type="dxa"/>
                  <w:vAlign w:val="center"/>
                </w:tcPr>
                <w:p>
                  <w:pPr>
                    <w:widowControl/>
                    <w:adjustRightInd w:val="0"/>
                    <w:snapToGrid w:val="0"/>
                    <w:spacing w:line="240" w:lineRule="exact"/>
                    <w:jc w:val="center"/>
                    <w:textAlignment w:val="center"/>
                    <w:rPr>
                      <w:rFonts w:eastAsia="附件"/>
                      <w:kern w:val="0"/>
                      <w:szCs w:val="21"/>
                    </w:rPr>
                  </w:pPr>
                  <w:r>
                    <w:rPr>
                      <w:rFonts w:eastAsia="附件"/>
                      <w:kern w:val="0"/>
                      <w:szCs w:val="21"/>
                    </w:rPr>
                    <w:t>S4</w:t>
                  </w:r>
                </w:p>
              </w:tc>
              <w:tc>
                <w:tcPr>
                  <w:tcW w:w="993" w:type="dxa"/>
                  <w:vMerge w:val="restart"/>
                  <w:vAlign w:val="center"/>
                </w:tcPr>
                <w:p>
                  <w:pPr>
                    <w:widowControl/>
                    <w:adjustRightInd w:val="0"/>
                    <w:snapToGrid w:val="0"/>
                    <w:spacing w:line="240" w:lineRule="exact"/>
                    <w:jc w:val="center"/>
                    <w:textAlignment w:val="center"/>
                    <w:rPr>
                      <w:rFonts w:eastAsia="附件"/>
                      <w:kern w:val="0"/>
                      <w:szCs w:val="21"/>
                    </w:rPr>
                  </w:pPr>
                  <w:r>
                    <w:rPr>
                      <w:rFonts w:eastAsia="附件"/>
                      <w:kern w:val="0"/>
                      <w:szCs w:val="21"/>
                    </w:rPr>
                    <w:t>标准值</w:t>
                  </w:r>
                  <w:r>
                    <w:rPr>
                      <w:rFonts w:hint="eastAsia" w:ascii="宋体" w:hAnsi="宋体" w:cs="宋体"/>
                      <w:kern w:val="0"/>
                      <w:szCs w:val="21"/>
                      <w:vertAlign w:val="superscript"/>
                    </w:rPr>
                    <w:t>①</w:t>
                  </w:r>
                </w:p>
              </w:tc>
              <w:tc>
                <w:tcPr>
                  <w:tcW w:w="2410" w:type="dxa"/>
                  <w:vAlign w:val="center"/>
                </w:tcPr>
                <w:p>
                  <w:pPr>
                    <w:widowControl/>
                    <w:adjustRightInd w:val="0"/>
                    <w:snapToGrid w:val="0"/>
                    <w:spacing w:line="240" w:lineRule="exact"/>
                    <w:jc w:val="center"/>
                    <w:textAlignment w:val="center"/>
                    <w:rPr>
                      <w:rFonts w:eastAsia="附件"/>
                      <w:kern w:val="0"/>
                      <w:szCs w:val="21"/>
                    </w:rPr>
                  </w:pPr>
                  <w:r>
                    <w:rPr>
                      <w:rFonts w:eastAsia="附件"/>
                      <w:kern w:val="0"/>
                      <w:szCs w:val="21"/>
                    </w:rPr>
                    <w:t>最大标准指数值</w:t>
                  </w:r>
                </w:p>
              </w:tc>
              <w:tc>
                <w:tcPr>
                  <w:tcW w:w="520" w:type="dxa"/>
                  <w:vMerge w:val="restart"/>
                  <w:vAlign w:val="center"/>
                </w:tcPr>
                <w:p>
                  <w:pPr>
                    <w:widowControl/>
                    <w:adjustRightInd w:val="0"/>
                    <w:snapToGrid w:val="0"/>
                    <w:spacing w:line="240" w:lineRule="exact"/>
                    <w:jc w:val="center"/>
                    <w:textAlignment w:val="center"/>
                    <w:rPr>
                      <w:rFonts w:eastAsia="附件"/>
                      <w:kern w:val="0"/>
                      <w:szCs w:val="21"/>
                    </w:rPr>
                  </w:pPr>
                  <w:r>
                    <w:rPr>
                      <w:rFonts w:eastAsia="附件"/>
                      <w:kern w:val="0"/>
                      <w:szCs w:val="21"/>
                    </w:rPr>
                    <w:t>超标率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523" w:type="dxa"/>
                  <w:vMerge w:val="continue"/>
                  <w:vAlign w:val="center"/>
                </w:tcPr>
                <w:p>
                  <w:pPr>
                    <w:autoSpaceDE w:val="0"/>
                    <w:autoSpaceDN w:val="0"/>
                    <w:adjustRightInd w:val="0"/>
                    <w:snapToGrid w:val="0"/>
                    <w:spacing w:line="240" w:lineRule="exact"/>
                    <w:jc w:val="center"/>
                    <w:rPr>
                      <w:rFonts w:eastAsia="附件"/>
                      <w:kern w:val="0"/>
                      <w:szCs w:val="21"/>
                    </w:rPr>
                  </w:pPr>
                </w:p>
              </w:tc>
              <w:tc>
                <w:tcPr>
                  <w:tcW w:w="1000" w:type="dxa"/>
                  <w:vMerge w:val="continue"/>
                  <w:vAlign w:val="center"/>
                </w:tcPr>
                <w:p>
                  <w:pPr>
                    <w:widowControl/>
                    <w:adjustRightInd w:val="0"/>
                    <w:snapToGrid w:val="0"/>
                    <w:spacing w:line="240" w:lineRule="exact"/>
                    <w:jc w:val="center"/>
                    <w:textAlignment w:val="center"/>
                    <w:rPr>
                      <w:rFonts w:eastAsia="附件"/>
                      <w:kern w:val="0"/>
                      <w:szCs w:val="21"/>
                    </w:rPr>
                  </w:pPr>
                </w:p>
              </w:tc>
              <w:tc>
                <w:tcPr>
                  <w:tcW w:w="2550" w:type="dxa"/>
                  <w:vAlign w:val="center"/>
                </w:tcPr>
                <w:p>
                  <w:pPr>
                    <w:widowControl/>
                    <w:adjustRightInd w:val="0"/>
                    <w:snapToGrid w:val="0"/>
                    <w:spacing w:line="240" w:lineRule="exact"/>
                    <w:jc w:val="center"/>
                    <w:textAlignment w:val="center"/>
                    <w:rPr>
                      <w:rFonts w:eastAsia="附件"/>
                      <w:kern w:val="0"/>
                      <w:szCs w:val="21"/>
                    </w:rPr>
                  </w:pPr>
                  <w:r>
                    <w:rPr>
                      <w:rFonts w:eastAsia="附件"/>
                      <w:kern w:val="0"/>
                      <w:szCs w:val="21"/>
                    </w:rPr>
                    <w:t>（0.2）</w:t>
                  </w:r>
                </w:p>
              </w:tc>
              <w:tc>
                <w:tcPr>
                  <w:tcW w:w="993" w:type="dxa"/>
                  <w:vMerge w:val="continue"/>
                  <w:vAlign w:val="center"/>
                </w:tcPr>
                <w:p>
                  <w:pPr>
                    <w:widowControl/>
                    <w:adjustRightInd w:val="0"/>
                    <w:snapToGrid w:val="0"/>
                    <w:spacing w:line="240" w:lineRule="exact"/>
                    <w:jc w:val="center"/>
                    <w:textAlignment w:val="center"/>
                    <w:rPr>
                      <w:rFonts w:eastAsia="附件"/>
                      <w:kern w:val="0"/>
                      <w:szCs w:val="21"/>
                    </w:rPr>
                  </w:pPr>
                </w:p>
              </w:tc>
              <w:tc>
                <w:tcPr>
                  <w:tcW w:w="2410" w:type="dxa"/>
                  <w:vAlign w:val="center"/>
                </w:tcPr>
                <w:p>
                  <w:pPr>
                    <w:widowControl/>
                    <w:adjustRightInd w:val="0"/>
                    <w:snapToGrid w:val="0"/>
                    <w:spacing w:line="240" w:lineRule="exact"/>
                    <w:jc w:val="center"/>
                    <w:textAlignment w:val="center"/>
                    <w:rPr>
                      <w:rFonts w:eastAsia="附件"/>
                      <w:kern w:val="0"/>
                      <w:szCs w:val="21"/>
                    </w:rPr>
                  </w:pPr>
                  <w:r>
                    <w:rPr>
                      <w:rFonts w:eastAsia="附件"/>
                      <w:kern w:val="0"/>
                      <w:szCs w:val="21"/>
                    </w:rPr>
                    <w:t>（0.2）</w:t>
                  </w:r>
                </w:p>
              </w:tc>
              <w:tc>
                <w:tcPr>
                  <w:tcW w:w="520" w:type="dxa"/>
                  <w:vMerge w:val="continue"/>
                  <w:vAlign w:val="center"/>
                </w:tcPr>
                <w:p>
                  <w:pPr>
                    <w:widowControl/>
                    <w:adjustRightInd w:val="0"/>
                    <w:snapToGrid w:val="0"/>
                    <w:spacing w:line="240" w:lineRule="exact"/>
                    <w:jc w:val="center"/>
                    <w:textAlignment w:val="center"/>
                    <w:rPr>
                      <w:rFonts w:eastAsia="附件"/>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523" w:type="dxa"/>
                  <w:vAlign w:val="center"/>
                </w:tcPr>
                <w:p>
                  <w:pPr>
                    <w:widowControl/>
                    <w:adjustRightInd w:val="0"/>
                    <w:snapToGrid w:val="0"/>
                    <w:spacing w:line="240" w:lineRule="exact"/>
                    <w:jc w:val="center"/>
                    <w:textAlignment w:val="center"/>
                    <w:rPr>
                      <w:rFonts w:eastAsia="附件"/>
                      <w:kern w:val="0"/>
                      <w:szCs w:val="21"/>
                    </w:rPr>
                  </w:pPr>
                  <w:r>
                    <w:rPr>
                      <w:rFonts w:eastAsia="附件"/>
                      <w:kern w:val="0"/>
                      <w:szCs w:val="21"/>
                    </w:rPr>
                    <w:t>1</w:t>
                  </w:r>
                </w:p>
              </w:tc>
              <w:tc>
                <w:tcPr>
                  <w:tcW w:w="1000" w:type="dxa"/>
                  <w:vAlign w:val="center"/>
                </w:tcPr>
                <w:p>
                  <w:pPr>
                    <w:widowControl/>
                    <w:spacing w:line="240" w:lineRule="exact"/>
                    <w:jc w:val="center"/>
                    <w:rPr>
                      <w:rFonts w:eastAsia="附件"/>
                      <w:szCs w:val="21"/>
                    </w:rPr>
                  </w:pPr>
                  <w:r>
                    <w:rPr>
                      <w:rFonts w:eastAsia="附件"/>
                      <w:szCs w:val="21"/>
                    </w:rPr>
                    <w:t>石油烃（C</w:t>
                  </w:r>
                  <w:r>
                    <w:rPr>
                      <w:rFonts w:eastAsia="附件"/>
                      <w:szCs w:val="21"/>
                      <w:vertAlign w:val="subscript"/>
                    </w:rPr>
                    <w:t>10</w:t>
                  </w:r>
                  <w:r>
                    <w:rPr>
                      <w:rFonts w:eastAsia="附件"/>
                      <w:szCs w:val="21"/>
                    </w:rPr>
                    <w:t>-C</w:t>
                  </w:r>
                  <w:r>
                    <w:rPr>
                      <w:rFonts w:eastAsia="附件"/>
                      <w:szCs w:val="21"/>
                      <w:vertAlign w:val="subscript"/>
                    </w:rPr>
                    <w:t>40</w:t>
                  </w:r>
                  <w:r>
                    <w:rPr>
                      <w:rFonts w:eastAsia="附件"/>
                      <w:szCs w:val="21"/>
                    </w:rPr>
                    <w:t>）</w:t>
                  </w:r>
                </w:p>
              </w:tc>
              <w:tc>
                <w:tcPr>
                  <w:tcW w:w="2550" w:type="dxa"/>
                  <w:vAlign w:val="center"/>
                </w:tcPr>
                <w:p>
                  <w:pPr>
                    <w:widowControl/>
                    <w:adjustRightInd w:val="0"/>
                    <w:snapToGrid w:val="0"/>
                    <w:spacing w:line="240" w:lineRule="exact"/>
                    <w:jc w:val="center"/>
                    <w:textAlignment w:val="center"/>
                    <w:rPr>
                      <w:rFonts w:eastAsia="附件"/>
                      <w:kern w:val="0"/>
                      <w:szCs w:val="21"/>
                    </w:rPr>
                  </w:pPr>
                  <w:r>
                    <w:rPr>
                      <w:rFonts w:eastAsia="附件"/>
                      <w:kern w:val="0"/>
                      <w:szCs w:val="21"/>
                    </w:rPr>
                    <w:t>42</w:t>
                  </w:r>
                </w:p>
              </w:tc>
              <w:tc>
                <w:tcPr>
                  <w:tcW w:w="993" w:type="dxa"/>
                  <w:vAlign w:val="center"/>
                </w:tcPr>
                <w:p>
                  <w:pPr>
                    <w:widowControl/>
                    <w:adjustRightInd w:val="0"/>
                    <w:snapToGrid w:val="0"/>
                    <w:spacing w:line="240" w:lineRule="exact"/>
                    <w:jc w:val="center"/>
                    <w:textAlignment w:val="center"/>
                    <w:rPr>
                      <w:rFonts w:eastAsia="附件"/>
                      <w:kern w:val="0"/>
                      <w:szCs w:val="21"/>
                    </w:rPr>
                  </w:pPr>
                  <w:r>
                    <w:rPr>
                      <w:rFonts w:eastAsia="附件"/>
                      <w:kern w:val="0"/>
                      <w:szCs w:val="21"/>
                    </w:rPr>
                    <w:t>4500</w:t>
                  </w:r>
                </w:p>
              </w:tc>
              <w:tc>
                <w:tcPr>
                  <w:tcW w:w="2410" w:type="dxa"/>
                  <w:vAlign w:val="center"/>
                </w:tcPr>
                <w:p>
                  <w:pPr>
                    <w:jc w:val="center"/>
                    <w:rPr>
                      <w:rFonts w:eastAsia="附件"/>
                      <w:kern w:val="0"/>
                      <w:szCs w:val="21"/>
                    </w:rPr>
                  </w:pPr>
                  <w:r>
                    <w:rPr>
                      <w:rFonts w:hint="eastAsia" w:eastAsia="附件"/>
                      <w:kern w:val="0"/>
                      <w:szCs w:val="21"/>
                    </w:rPr>
                    <w:t>0</w:t>
                  </w:r>
                  <w:r>
                    <w:rPr>
                      <w:rFonts w:eastAsia="附件"/>
                      <w:kern w:val="0"/>
                      <w:szCs w:val="21"/>
                    </w:rPr>
                    <w:t>.009</w:t>
                  </w:r>
                </w:p>
              </w:tc>
              <w:tc>
                <w:tcPr>
                  <w:tcW w:w="520" w:type="dxa"/>
                  <w:vAlign w:val="center"/>
                </w:tcPr>
                <w:p>
                  <w:pPr>
                    <w:widowControl/>
                    <w:adjustRightInd w:val="0"/>
                    <w:snapToGrid w:val="0"/>
                    <w:spacing w:line="240" w:lineRule="exact"/>
                    <w:jc w:val="center"/>
                    <w:textAlignment w:val="center"/>
                    <w:rPr>
                      <w:rFonts w:eastAsia="附件"/>
                      <w:kern w:val="0"/>
                      <w:szCs w:val="21"/>
                    </w:rPr>
                  </w:pPr>
                  <w:r>
                    <w:rPr>
                      <w:rFonts w:eastAsia="附件"/>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523" w:type="dxa"/>
                  <w:vAlign w:val="center"/>
                </w:tcPr>
                <w:p>
                  <w:pPr>
                    <w:adjustRightInd w:val="0"/>
                    <w:snapToGrid w:val="0"/>
                    <w:spacing w:line="240" w:lineRule="exact"/>
                    <w:jc w:val="center"/>
                    <w:rPr>
                      <w:rFonts w:eastAsia="附件"/>
                      <w:kern w:val="0"/>
                      <w:szCs w:val="21"/>
                    </w:rPr>
                  </w:pPr>
                  <w:r>
                    <w:rPr>
                      <w:rFonts w:eastAsia="附件"/>
                      <w:kern w:val="0"/>
                      <w:szCs w:val="21"/>
                    </w:rPr>
                    <w:t>2</w:t>
                  </w:r>
                </w:p>
              </w:tc>
              <w:tc>
                <w:tcPr>
                  <w:tcW w:w="1000" w:type="dxa"/>
                  <w:vAlign w:val="center"/>
                </w:tcPr>
                <w:p>
                  <w:pPr>
                    <w:widowControl/>
                    <w:spacing w:line="240" w:lineRule="exact"/>
                    <w:jc w:val="center"/>
                    <w:rPr>
                      <w:rFonts w:eastAsia="附件"/>
                      <w:szCs w:val="21"/>
                    </w:rPr>
                  </w:pPr>
                  <w:r>
                    <w:rPr>
                      <w:rFonts w:eastAsia="附件"/>
                      <w:szCs w:val="21"/>
                    </w:rPr>
                    <w:t>硫化物</w:t>
                  </w:r>
                </w:p>
              </w:tc>
              <w:tc>
                <w:tcPr>
                  <w:tcW w:w="2550" w:type="dxa"/>
                  <w:vAlign w:val="center"/>
                </w:tcPr>
                <w:p>
                  <w:pPr>
                    <w:widowControl/>
                    <w:adjustRightInd w:val="0"/>
                    <w:snapToGrid w:val="0"/>
                    <w:spacing w:line="240" w:lineRule="exact"/>
                    <w:jc w:val="center"/>
                    <w:textAlignment w:val="center"/>
                    <w:rPr>
                      <w:rFonts w:eastAsia="附件"/>
                      <w:kern w:val="0"/>
                      <w:szCs w:val="21"/>
                    </w:rPr>
                  </w:pPr>
                  <w:r>
                    <w:rPr>
                      <w:rFonts w:eastAsia="附件"/>
                      <w:kern w:val="0"/>
                      <w:szCs w:val="21"/>
                    </w:rPr>
                    <w:t>ND</w:t>
                  </w:r>
                </w:p>
              </w:tc>
              <w:tc>
                <w:tcPr>
                  <w:tcW w:w="993" w:type="dxa"/>
                  <w:vAlign w:val="center"/>
                </w:tcPr>
                <w:p>
                  <w:pPr>
                    <w:widowControl/>
                    <w:adjustRightInd w:val="0"/>
                    <w:snapToGrid w:val="0"/>
                    <w:spacing w:line="240" w:lineRule="exact"/>
                    <w:jc w:val="center"/>
                    <w:textAlignment w:val="center"/>
                    <w:rPr>
                      <w:rFonts w:eastAsia="附件"/>
                      <w:kern w:val="0"/>
                      <w:szCs w:val="21"/>
                    </w:rPr>
                  </w:pPr>
                  <w:r>
                    <w:rPr>
                      <w:rFonts w:eastAsia="附件"/>
                      <w:kern w:val="0"/>
                      <w:szCs w:val="21"/>
                    </w:rPr>
                    <w:t>/</w:t>
                  </w:r>
                </w:p>
              </w:tc>
              <w:tc>
                <w:tcPr>
                  <w:tcW w:w="2410" w:type="dxa"/>
                  <w:vAlign w:val="center"/>
                </w:tcPr>
                <w:p>
                  <w:pPr>
                    <w:jc w:val="center"/>
                    <w:rPr>
                      <w:rFonts w:eastAsia="附件"/>
                      <w:kern w:val="0"/>
                      <w:szCs w:val="21"/>
                    </w:rPr>
                  </w:pPr>
                  <w:r>
                    <w:rPr>
                      <w:rFonts w:eastAsia="附件"/>
                      <w:kern w:val="0"/>
                      <w:szCs w:val="21"/>
                    </w:rPr>
                    <w:t>/</w:t>
                  </w:r>
                </w:p>
              </w:tc>
              <w:tc>
                <w:tcPr>
                  <w:tcW w:w="520" w:type="dxa"/>
                  <w:vAlign w:val="center"/>
                </w:tcPr>
                <w:p>
                  <w:pPr>
                    <w:widowControl/>
                    <w:adjustRightInd w:val="0"/>
                    <w:snapToGrid w:val="0"/>
                    <w:spacing w:line="240" w:lineRule="exact"/>
                    <w:jc w:val="center"/>
                    <w:textAlignment w:val="center"/>
                    <w:rPr>
                      <w:rFonts w:eastAsia="附件"/>
                      <w:kern w:val="0"/>
                      <w:szCs w:val="21"/>
                    </w:rPr>
                  </w:pPr>
                  <w:r>
                    <w:rPr>
                      <w:rFonts w:eastAsia="附件"/>
                      <w:kern w:val="0"/>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523" w:type="dxa"/>
                  <w:vAlign w:val="center"/>
                </w:tcPr>
                <w:p>
                  <w:pPr>
                    <w:adjustRightInd w:val="0"/>
                    <w:snapToGrid w:val="0"/>
                    <w:spacing w:line="240" w:lineRule="exact"/>
                    <w:jc w:val="center"/>
                    <w:rPr>
                      <w:rFonts w:eastAsia="附件"/>
                      <w:kern w:val="0"/>
                      <w:szCs w:val="21"/>
                    </w:rPr>
                  </w:pPr>
                </w:p>
              </w:tc>
              <w:tc>
                <w:tcPr>
                  <w:tcW w:w="1000" w:type="dxa"/>
                  <w:vAlign w:val="center"/>
                </w:tcPr>
                <w:p>
                  <w:pPr>
                    <w:widowControl/>
                    <w:spacing w:line="240" w:lineRule="exact"/>
                    <w:jc w:val="center"/>
                    <w:rPr>
                      <w:rFonts w:eastAsia="附件"/>
                      <w:szCs w:val="21"/>
                    </w:rPr>
                  </w:pPr>
                  <w:r>
                    <w:rPr>
                      <w:rFonts w:hint="eastAsia" w:eastAsia="附件"/>
                      <w:szCs w:val="21"/>
                    </w:rPr>
                    <w:t>pH</w:t>
                  </w:r>
                </w:p>
              </w:tc>
              <w:tc>
                <w:tcPr>
                  <w:tcW w:w="2550" w:type="dxa"/>
                  <w:vAlign w:val="center"/>
                </w:tcPr>
                <w:p>
                  <w:pPr>
                    <w:widowControl/>
                    <w:adjustRightInd w:val="0"/>
                    <w:snapToGrid w:val="0"/>
                    <w:spacing w:line="240" w:lineRule="exact"/>
                    <w:jc w:val="center"/>
                    <w:textAlignment w:val="center"/>
                    <w:rPr>
                      <w:rFonts w:eastAsia="附件"/>
                      <w:kern w:val="0"/>
                      <w:szCs w:val="21"/>
                    </w:rPr>
                  </w:pPr>
                </w:p>
              </w:tc>
              <w:tc>
                <w:tcPr>
                  <w:tcW w:w="993" w:type="dxa"/>
                  <w:vAlign w:val="center"/>
                </w:tcPr>
                <w:p>
                  <w:pPr>
                    <w:widowControl/>
                    <w:adjustRightInd w:val="0"/>
                    <w:snapToGrid w:val="0"/>
                    <w:spacing w:line="240" w:lineRule="exact"/>
                    <w:jc w:val="center"/>
                    <w:textAlignment w:val="center"/>
                    <w:rPr>
                      <w:rFonts w:eastAsia="附件"/>
                      <w:kern w:val="0"/>
                      <w:szCs w:val="21"/>
                    </w:rPr>
                  </w:pPr>
                </w:p>
              </w:tc>
              <w:tc>
                <w:tcPr>
                  <w:tcW w:w="2410" w:type="dxa"/>
                  <w:vAlign w:val="center"/>
                </w:tcPr>
                <w:p>
                  <w:pPr>
                    <w:jc w:val="center"/>
                    <w:rPr>
                      <w:rFonts w:eastAsia="附件"/>
                      <w:kern w:val="0"/>
                      <w:szCs w:val="21"/>
                    </w:rPr>
                  </w:pPr>
                </w:p>
              </w:tc>
              <w:tc>
                <w:tcPr>
                  <w:tcW w:w="520" w:type="dxa"/>
                  <w:vAlign w:val="center"/>
                </w:tcPr>
                <w:p>
                  <w:pPr>
                    <w:widowControl/>
                    <w:adjustRightInd w:val="0"/>
                    <w:snapToGrid w:val="0"/>
                    <w:spacing w:line="240" w:lineRule="exact"/>
                    <w:jc w:val="center"/>
                    <w:textAlignment w:val="center"/>
                    <w:rPr>
                      <w:rFonts w:eastAsia="附件"/>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523" w:type="dxa"/>
                  <w:vAlign w:val="center"/>
                </w:tcPr>
                <w:p>
                  <w:pPr>
                    <w:adjustRightInd w:val="0"/>
                    <w:snapToGrid w:val="0"/>
                    <w:spacing w:line="240" w:lineRule="exact"/>
                    <w:jc w:val="center"/>
                    <w:rPr>
                      <w:rFonts w:eastAsia="附件"/>
                      <w:kern w:val="0"/>
                      <w:szCs w:val="21"/>
                    </w:rPr>
                  </w:pPr>
                  <w:r>
                    <w:rPr>
                      <w:rFonts w:eastAsia="附件"/>
                      <w:kern w:val="0"/>
                      <w:szCs w:val="21"/>
                    </w:rPr>
                    <w:t>3</w:t>
                  </w:r>
                </w:p>
              </w:tc>
              <w:tc>
                <w:tcPr>
                  <w:tcW w:w="1000" w:type="dxa"/>
                  <w:vAlign w:val="center"/>
                </w:tcPr>
                <w:p>
                  <w:pPr>
                    <w:widowControl/>
                    <w:spacing w:line="240" w:lineRule="exact"/>
                    <w:jc w:val="center"/>
                    <w:rPr>
                      <w:rFonts w:eastAsia="附件"/>
                      <w:szCs w:val="21"/>
                      <w:lang w:bidi="ar"/>
                    </w:rPr>
                  </w:pPr>
                  <w:r>
                    <w:rPr>
                      <w:rFonts w:eastAsia="附件"/>
                      <w:szCs w:val="21"/>
                    </w:rPr>
                    <w:t>砷</w:t>
                  </w:r>
                </w:p>
              </w:tc>
              <w:tc>
                <w:tcPr>
                  <w:tcW w:w="2550" w:type="dxa"/>
                  <w:vAlign w:val="center"/>
                </w:tcPr>
                <w:p>
                  <w:pPr>
                    <w:widowControl/>
                    <w:adjustRightInd w:val="0"/>
                    <w:snapToGrid w:val="0"/>
                    <w:spacing w:line="240" w:lineRule="exact"/>
                    <w:jc w:val="center"/>
                    <w:textAlignment w:val="center"/>
                    <w:rPr>
                      <w:rFonts w:eastAsia="附件"/>
                      <w:kern w:val="0"/>
                      <w:szCs w:val="21"/>
                    </w:rPr>
                  </w:pPr>
                  <w:r>
                    <w:rPr>
                      <w:rFonts w:eastAsia="附件"/>
                      <w:kern w:val="0"/>
                      <w:szCs w:val="21"/>
                    </w:rPr>
                    <w:t>4</w:t>
                  </w:r>
                </w:p>
              </w:tc>
              <w:tc>
                <w:tcPr>
                  <w:tcW w:w="993" w:type="dxa"/>
                  <w:vAlign w:val="center"/>
                </w:tcPr>
                <w:p>
                  <w:pPr>
                    <w:widowControl/>
                    <w:adjustRightInd w:val="0"/>
                    <w:snapToGrid w:val="0"/>
                    <w:spacing w:line="240" w:lineRule="exact"/>
                    <w:jc w:val="center"/>
                    <w:textAlignment w:val="center"/>
                    <w:rPr>
                      <w:rFonts w:eastAsia="附件"/>
                      <w:kern w:val="0"/>
                      <w:szCs w:val="21"/>
                    </w:rPr>
                  </w:pPr>
                  <w:r>
                    <w:rPr>
                      <w:rFonts w:eastAsia="附件"/>
                      <w:kern w:val="0"/>
                      <w:szCs w:val="21"/>
                    </w:rPr>
                    <w:t>20（47）</w:t>
                  </w:r>
                </w:p>
              </w:tc>
              <w:tc>
                <w:tcPr>
                  <w:tcW w:w="2410" w:type="dxa"/>
                  <w:vAlign w:val="center"/>
                </w:tcPr>
                <w:p>
                  <w:pPr>
                    <w:jc w:val="center"/>
                    <w:rPr>
                      <w:rFonts w:eastAsia="附件"/>
                      <w:kern w:val="0"/>
                      <w:szCs w:val="21"/>
                    </w:rPr>
                  </w:pPr>
                  <w:r>
                    <w:rPr>
                      <w:rFonts w:hint="eastAsia" w:eastAsia="附件"/>
                      <w:kern w:val="0"/>
                      <w:szCs w:val="21"/>
                    </w:rPr>
                    <w:t>0</w:t>
                  </w:r>
                  <w:r>
                    <w:rPr>
                      <w:rFonts w:eastAsia="附件"/>
                      <w:kern w:val="0"/>
                      <w:szCs w:val="21"/>
                    </w:rPr>
                    <w:t>.07</w:t>
                  </w:r>
                </w:p>
              </w:tc>
              <w:tc>
                <w:tcPr>
                  <w:tcW w:w="520" w:type="dxa"/>
                  <w:vAlign w:val="center"/>
                </w:tcPr>
                <w:p>
                  <w:pPr>
                    <w:widowControl/>
                    <w:adjustRightInd w:val="0"/>
                    <w:snapToGrid w:val="0"/>
                    <w:spacing w:line="240" w:lineRule="exact"/>
                    <w:jc w:val="center"/>
                    <w:textAlignment w:val="center"/>
                    <w:rPr>
                      <w:rFonts w:eastAsia="附件"/>
                      <w:kern w:val="0"/>
                      <w:szCs w:val="21"/>
                    </w:rPr>
                  </w:pPr>
                  <w:r>
                    <w:rPr>
                      <w:rFonts w:eastAsia="附件"/>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523" w:type="dxa"/>
                  <w:vAlign w:val="center"/>
                </w:tcPr>
                <w:p>
                  <w:pPr>
                    <w:adjustRightInd w:val="0"/>
                    <w:snapToGrid w:val="0"/>
                    <w:spacing w:line="240" w:lineRule="exact"/>
                    <w:jc w:val="center"/>
                    <w:rPr>
                      <w:rFonts w:eastAsia="附件"/>
                      <w:kern w:val="0"/>
                      <w:szCs w:val="21"/>
                    </w:rPr>
                  </w:pPr>
                  <w:r>
                    <w:rPr>
                      <w:rFonts w:eastAsia="附件"/>
                      <w:kern w:val="0"/>
                      <w:szCs w:val="21"/>
                    </w:rPr>
                    <w:t>4</w:t>
                  </w:r>
                </w:p>
              </w:tc>
              <w:tc>
                <w:tcPr>
                  <w:tcW w:w="1000" w:type="dxa"/>
                  <w:vAlign w:val="center"/>
                </w:tcPr>
                <w:p>
                  <w:pPr>
                    <w:widowControl/>
                    <w:spacing w:line="240" w:lineRule="exact"/>
                    <w:jc w:val="center"/>
                    <w:rPr>
                      <w:rFonts w:eastAsia="附件"/>
                      <w:szCs w:val="21"/>
                    </w:rPr>
                  </w:pPr>
                  <w:r>
                    <w:rPr>
                      <w:rFonts w:eastAsia="附件"/>
                      <w:szCs w:val="21"/>
                    </w:rPr>
                    <w:t>汞</w:t>
                  </w:r>
                </w:p>
              </w:tc>
              <w:tc>
                <w:tcPr>
                  <w:tcW w:w="2550" w:type="dxa"/>
                  <w:vAlign w:val="center"/>
                </w:tcPr>
                <w:p>
                  <w:pPr>
                    <w:widowControl/>
                    <w:adjustRightInd w:val="0"/>
                    <w:snapToGrid w:val="0"/>
                    <w:spacing w:line="240" w:lineRule="exact"/>
                    <w:jc w:val="center"/>
                    <w:textAlignment w:val="center"/>
                    <w:rPr>
                      <w:rFonts w:eastAsia="附件"/>
                      <w:kern w:val="0"/>
                      <w:szCs w:val="21"/>
                    </w:rPr>
                  </w:pPr>
                  <w:r>
                    <w:rPr>
                      <w:rFonts w:eastAsia="附件"/>
                      <w:kern w:val="0"/>
                      <w:szCs w:val="21"/>
                    </w:rPr>
                    <w:t>0.038</w:t>
                  </w:r>
                </w:p>
              </w:tc>
              <w:tc>
                <w:tcPr>
                  <w:tcW w:w="993" w:type="dxa"/>
                  <w:vAlign w:val="center"/>
                </w:tcPr>
                <w:p>
                  <w:pPr>
                    <w:widowControl/>
                    <w:adjustRightInd w:val="0"/>
                    <w:snapToGrid w:val="0"/>
                    <w:spacing w:line="240" w:lineRule="exact"/>
                    <w:jc w:val="center"/>
                    <w:textAlignment w:val="center"/>
                    <w:rPr>
                      <w:rFonts w:eastAsia="附件"/>
                      <w:kern w:val="0"/>
                      <w:szCs w:val="21"/>
                    </w:rPr>
                  </w:pPr>
                  <w:r>
                    <w:rPr>
                      <w:rFonts w:eastAsia="附件"/>
                      <w:kern w:val="0"/>
                      <w:szCs w:val="21"/>
                    </w:rPr>
                    <w:t>8（33）</w:t>
                  </w:r>
                </w:p>
              </w:tc>
              <w:tc>
                <w:tcPr>
                  <w:tcW w:w="2410" w:type="dxa"/>
                  <w:vAlign w:val="center"/>
                </w:tcPr>
                <w:p>
                  <w:pPr>
                    <w:jc w:val="center"/>
                    <w:rPr>
                      <w:rFonts w:eastAsia="附件"/>
                      <w:kern w:val="0"/>
                      <w:szCs w:val="21"/>
                    </w:rPr>
                  </w:pPr>
                  <w:r>
                    <w:rPr>
                      <w:rFonts w:hint="eastAsia" w:eastAsia="附件"/>
                      <w:kern w:val="0"/>
                      <w:szCs w:val="21"/>
                    </w:rPr>
                    <w:t>0</w:t>
                  </w:r>
                  <w:r>
                    <w:rPr>
                      <w:rFonts w:eastAsia="附件"/>
                      <w:kern w:val="0"/>
                      <w:szCs w:val="21"/>
                    </w:rPr>
                    <w:t>.018</w:t>
                  </w:r>
                </w:p>
              </w:tc>
              <w:tc>
                <w:tcPr>
                  <w:tcW w:w="520" w:type="dxa"/>
                  <w:vAlign w:val="center"/>
                </w:tcPr>
                <w:p>
                  <w:pPr>
                    <w:widowControl/>
                    <w:adjustRightInd w:val="0"/>
                    <w:snapToGrid w:val="0"/>
                    <w:spacing w:line="240" w:lineRule="exact"/>
                    <w:jc w:val="center"/>
                    <w:textAlignment w:val="center"/>
                    <w:rPr>
                      <w:rFonts w:eastAsia="附件"/>
                      <w:kern w:val="0"/>
                      <w:szCs w:val="21"/>
                    </w:rPr>
                  </w:pPr>
                  <w:r>
                    <w:rPr>
                      <w:rFonts w:eastAsia="附件"/>
                      <w:kern w:val="0"/>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523" w:type="dxa"/>
                  <w:vAlign w:val="center"/>
                </w:tcPr>
                <w:p>
                  <w:pPr>
                    <w:adjustRightInd w:val="0"/>
                    <w:snapToGrid w:val="0"/>
                    <w:spacing w:line="240" w:lineRule="exact"/>
                    <w:jc w:val="center"/>
                    <w:rPr>
                      <w:rFonts w:eastAsia="附件"/>
                      <w:kern w:val="0"/>
                      <w:szCs w:val="21"/>
                    </w:rPr>
                  </w:pPr>
                  <w:r>
                    <w:rPr>
                      <w:rFonts w:eastAsia="附件"/>
                      <w:kern w:val="0"/>
                      <w:szCs w:val="21"/>
                    </w:rPr>
                    <w:t>5</w:t>
                  </w:r>
                </w:p>
              </w:tc>
              <w:tc>
                <w:tcPr>
                  <w:tcW w:w="1000" w:type="dxa"/>
                  <w:vAlign w:val="center"/>
                </w:tcPr>
                <w:p>
                  <w:pPr>
                    <w:widowControl/>
                    <w:spacing w:line="240" w:lineRule="exact"/>
                    <w:jc w:val="center"/>
                    <w:rPr>
                      <w:rFonts w:eastAsia="附件"/>
                      <w:szCs w:val="21"/>
                    </w:rPr>
                  </w:pPr>
                  <w:r>
                    <w:rPr>
                      <w:rFonts w:eastAsia="附件"/>
                      <w:szCs w:val="21"/>
                    </w:rPr>
                    <w:t>铜</w:t>
                  </w:r>
                </w:p>
              </w:tc>
              <w:tc>
                <w:tcPr>
                  <w:tcW w:w="2550" w:type="dxa"/>
                  <w:vAlign w:val="center"/>
                </w:tcPr>
                <w:p>
                  <w:pPr>
                    <w:widowControl/>
                    <w:adjustRightInd w:val="0"/>
                    <w:snapToGrid w:val="0"/>
                    <w:spacing w:line="240" w:lineRule="exact"/>
                    <w:jc w:val="center"/>
                    <w:textAlignment w:val="center"/>
                    <w:rPr>
                      <w:rFonts w:eastAsia="附件"/>
                      <w:kern w:val="0"/>
                      <w:szCs w:val="21"/>
                    </w:rPr>
                  </w:pPr>
                  <w:r>
                    <w:rPr>
                      <w:rFonts w:eastAsia="附件"/>
                      <w:kern w:val="0"/>
                      <w:szCs w:val="21"/>
                    </w:rPr>
                    <w:t>18</w:t>
                  </w:r>
                </w:p>
              </w:tc>
              <w:tc>
                <w:tcPr>
                  <w:tcW w:w="993" w:type="dxa"/>
                  <w:vAlign w:val="center"/>
                </w:tcPr>
                <w:p>
                  <w:pPr>
                    <w:widowControl/>
                    <w:adjustRightInd w:val="0"/>
                    <w:snapToGrid w:val="0"/>
                    <w:spacing w:line="240" w:lineRule="exact"/>
                    <w:jc w:val="center"/>
                    <w:textAlignment w:val="center"/>
                    <w:rPr>
                      <w:rFonts w:eastAsia="附件"/>
                      <w:kern w:val="0"/>
                      <w:szCs w:val="21"/>
                    </w:rPr>
                  </w:pPr>
                  <w:r>
                    <w:rPr>
                      <w:rFonts w:eastAsia="附件"/>
                      <w:kern w:val="0"/>
                      <w:szCs w:val="21"/>
                    </w:rPr>
                    <w:t>120</w:t>
                  </w:r>
                </w:p>
              </w:tc>
              <w:tc>
                <w:tcPr>
                  <w:tcW w:w="2410" w:type="dxa"/>
                  <w:vAlign w:val="center"/>
                </w:tcPr>
                <w:p>
                  <w:pPr>
                    <w:jc w:val="center"/>
                    <w:rPr>
                      <w:rFonts w:eastAsia="附件"/>
                      <w:kern w:val="0"/>
                      <w:szCs w:val="21"/>
                    </w:rPr>
                  </w:pPr>
                  <w:r>
                    <w:rPr>
                      <w:rFonts w:hint="eastAsia" w:eastAsia="附件"/>
                      <w:kern w:val="0"/>
                      <w:szCs w:val="21"/>
                    </w:rPr>
                    <w:t>0</w:t>
                  </w:r>
                  <w:r>
                    <w:rPr>
                      <w:rFonts w:eastAsia="附件"/>
                      <w:kern w:val="0"/>
                      <w:szCs w:val="21"/>
                    </w:rPr>
                    <w:t>.39</w:t>
                  </w:r>
                </w:p>
              </w:tc>
              <w:tc>
                <w:tcPr>
                  <w:tcW w:w="520" w:type="dxa"/>
                  <w:vAlign w:val="center"/>
                </w:tcPr>
                <w:p>
                  <w:pPr>
                    <w:widowControl/>
                    <w:adjustRightInd w:val="0"/>
                    <w:snapToGrid w:val="0"/>
                    <w:spacing w:line="240" w:lineRule="exact"/>
                    <w:jc w:val="center"/>
                    <w:textAlignment w:val="center"/>
                    <w:rPr>
                      <w:rFonts w:eastAsia="附件"/>
                      <w:kern w:val="0"/>
                      <w:szCs w:val="21"/>
                    </w:rPr>
                  </w:pPr>
                  <w:r>
                    <w:rPr>
                      <w:rFonts w:eastAsia="附件"/>
                      <w:kern w:val="0"/>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523" w:type="dxa"/>
                  <w:vAlign w:val="center"/>
                </w:tcPr>
                <w:p>
                  <w:pPr>
                    <w:adjustRightInd w:val="0"/>
                    <w:snapToGrid w:val="0"/>
                    <w:spacing w:line="240" w:lineRule="exact"/>
                    <w:jc w:val="center"/>
                    <w:rPr>
                      <w:rFonts w:eastAsia="附件"/>
                      <w:kern w:val="0"/>
                      <w:szCs w:val="21"/>
                    </w:rPr>
                  </w:pPr>
                  <w:r>
                    <w:rPr>
                      <w:rFonts w:eastAsia="附件"/>
                      <w:kern w:val="0"/>
                      <w:szCs w:val="21"/>
                    </w:rPr>
                    <w:t>6</w:t>
                  </w:r>
                </w:p>
              </w:tc>
              <w:tc>
                <w:tcPr>
                  <w:tcW w:w="1000" w:type="dxa"/>
                  <w:vAlign w:val="center"/>
                </w:tcPr>
                <w:p>
                  <w:pPr>
                    <w:widowControl/>
                    <w:spacing w:line="240" w:lineRule="exact"/>
                    <w:jc w:val="center"/>
                    <w:rPr>
                      <w:rFonts w:eastAsia="附件"/>
                      <w:szCs w:val="21"/>
                    </w:rPr>
                  </w:pPr>
                  <w:r>
                    <w:rPr>
                      <w:rFonts w:eastAsia="附件"/>
                      <w:szCs w:val="21"/>
                    </w:rPr>
                    <w:t>镍</w:t>
                  </w:r>
                </w:p>
              </w:tc>
              <w:tc>
                <w:tcPr>
                  <w:tcW w:w="2550" w:type="dxa"/>
                  <w:vAlign w:val="center"/>
                </w:tcPr>
                <w:p>
                  <w:pPr>
                    <w:widowControl/>
                    <w:adjustRightInd w:val="0"/>
                    <w:snapToGrid w:val="0"/>
                    <w:spacing w:line="240" w:lineRule="exact"/>
                    <w:jc w:val="center"/>
                    <w:textAlignment w:val="center"/>
                    <w:rPr>
                      <w:rFonts w:eastAsia="附件"/>
                      <w:kern w:val="0"/>
                      <w:szCs w:val="21"/>
                    </w:rPr>
                  </w:pPr>
                  <w:r>
                    <w:rPr>
                      <w:rFonts w:eastAsia="附件"/>
                      <w:kern w:val="0"/>
                      <w:szCs w:val="21"/>
                    </w:rPr>
                    <w:t>25</w:t>
                  </w:r>
                </w:p>
              </w:tc>
              <w:tc>
                <w:tcPr>
                  <w:tcW w:w="993" w:type="dxa"/>
                  <w:vAlign w:val="center"/>
                </w:tcPr>
                <w:p>
                  <w:pPr>
                    <w:widowControl/>
                    <w:adjustRightInd w:val="0"/>
                    <w:snapToGrid w:val="0"/>
                    <w:spacing w:line="240" w:lineRule="exact"/>
                    <w:jc w:val="center"/>
                    <w:textAlignment w:val="center"/>
                    <w:rPr>
                      <w:rFonts w:eastAsia="附件"/>
                      <w:kern w:val="0"/>
                      <w:szCs w:val="21"/>
                    </w:rPr>
                  </w:pPr>
                  <w:r>
                    <w:rPr>
                      <w:rFonts w:eastAsia="附件"/>
                      <w:kern w:val="0"/>
                      <w:szCs w:val="21"/>
                    </w:rPr>
                    <w:t>400（800）</w:t>
                  </w:r>
                </w:p>
              </w:tc>
              <w:tc>
                <w:tcPr>
                  <w:tcW w:w="2410" w:type="dxa"/>
                  <w:vAlign w:val="center"/>
                </w:tcPr>
                <w:p>
                  <w:pPr>
                    <w:jc w:val="center"/>
                    <w:rPr>
                      <w:rFonts w:eastAsia="附件"/>
                      <w:kern w:val="0"/>
                      <w:szCs w:val="21"/>
                    </w:rPr>
                  </w:pPr>
                  <w:r>
                    <w:rPr>
                      <w:rFonts w:hint="eastAsia" w:eastAsia="附件"/>
                      <w:kern w:val="0"/>
                      <w:szCs w:val="21"/>
                    </w:rPr>
                    <w:t>0</w:t>
                  </w:r>
                  <w:r>
                    <w:rPr>
                      <w:rFonts w:eastAsia="附件"/>
                      <w:kern w:val="0"/>
                      <w:szCs w:val="21"/>
                    </w:rPr>
                    <w:t>.048</w:t>
                  </w:r>
                </w:p>
              </w:tc>
              <w:tc>
                <w:tcPr>
                  <w:tcW w:w="520" w:type="dxa"/>
                  <w:vAlign w:val="center"/>
                </w:tcPr>
                <w:p>
                  <w:pPr>
                    <w:widowControl/>
                    <w:adjustRightInd w:val="0"/>
                    <w:snapToGrid w:val="0"/>
                    <w:spacing w:line="240" w:lineRule="exact"/>
                    <w:jc w:val="center"/>
                    <w:textAlignment w:val="center"/>
                    <w:rPr>
                      <w:rFonts w:eastAsia="附件"/>
                      <w:kern w:val="0"/>
                      <w:szCs w:val="21"/>
                    </w:rPr>
                  </w:pPr>
                  <w:r>
                    <w:rPr>
                      <w:rFonts w:eastAsia="附件"/>
                      <w:kern w:val="0"/>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523" w:type="dxa"/>
                  <w:vAlign w:val="center"/>
                </w:tcPr>
                <w:p>
                  <w:pPr>
                    <w:adjustRightInd w:val="0"/>
                    <w:snapToGrid w:val="0"/>
                    <w:spacing w:line="240" w:lineRule="exact"/>
                    <w:jc w:val="center"/>
                    <w:rPr>
                      <w:rFonts w:eastAsia="附件"/>
                      <w:kern w:val="0"/>
                      <w:szCs w:val="21"/>
                    </w:rPr>
                  </w:pPr>
                  <w:r>
                    <w:rPr>
                      <w:rFonts w:eastAsia="附件"/>
                      <w:kern w:val="0"/>
                      <w:szCs w:val="21"/>
                    </w:rPr>
                    <w:t>7</w:t>
                  </w:r>
                </w:p>
              </w:tc>
              <w:tc>
                <w:tcPr>
                  <w:tcW w:w="1000" w:type="dxa"/>
                  <w:vAlign w:val="center"/>
                </w:tcPr>
                <w:p>
                  <w:pPr>
                    <w:widowControl/>
                    <w:spacing w:line="240" w:lineRule="exact"/>
                    <w:jc w:val="center"/>
                    <w:rPr>
                      <w:rFonts w:eastAsia="附件"/>
                      <w:szCs w:val="21"/>
                    </w:rPr>
                  </w:pPr>
                  <w:r>
                    <w:rPr>
                      <w:rFonts w:eastAsia="附件"/>
                      <w:szCs w:val="21"/>
                    </w:rPr>
                    <w:t>六价铬</w:t>
                  </w:r>
                </w:p>
              </w:tc>
              <w:tc>
                <w:tcPr>
                  <w:tcW w:w="2550" w:type="dxa"/>
                  <w:vAlign w:val="center"/>
                </w:tcPr>
                <w:p>
                  <w:pPr>
                    <w:widowControl/>
                    <w:adjustRightInd w:val="0"/>
                    <w:snapToGrid w:val="0"/>
                    <w:spacing w:line="240" w:lineRule="exact"/>
                    <w:jc w:val="center"/>
                    <w:textAlignment w:val="center"/>
                    <w:rPr>
                      <w:rFonts w:eastAsia="附件"/>
                      <w:kern w:val="0"/>
                      <w:szCs w:val="21"/>
                    </w:rPr>
                  </w:pPr>
                  <w:r>
                    <w:rPr>
                      <w:rFonts w:eastAsia="附件"/>
                      <w:kern w:val="0"/>
                      <w:szCs w:val="21"/>
                    </w:rPr>
                    <w:t>ND</w:t>
                  </w:r>
                </w:p>
              </w:tc>
              <w:tc>
                <w:tcPr>
                  <w:tcW w:w="993" w:type="dxa"/>
                  <w:vAlign w:val="center"/>
                </w:tcPr>
                <w:p>
                  <w:pPr>
                    <w:widowControl/>
                    <w:adjustRightInd w:val="0"/>
                    <w:snapToGrid w:val="0"/>
                    <w:spacing w:line="240" w:lineRule="exact"/>
                    <w:jc w:val="center"/>
                    <w:textAlignment w:val="center"/>
                    <w:rPr>
                      <w:rFonts w:eastAsia="附件"/>
                      <w:kern w:val="0"/>
                      <w:szCs w:val="21"/>
                    </w:rPr>
                  </w:pPr>
                  <w:r>
                    <w:rPr>
                      <w:rFonts w:eastAsia="附件"/>
                      <w:kern w:val="0"/>
                      <w:szCs w:val="21"/>
                    </w:rPr>
                    <w:t>3.0（5.7）</w:t>
                  </w:r>
                </w:p>
              </w:tc>
              <w:tc>
                <w:tcPr>
                  <w:tcW w:w="2410" w:type="dxa"/>
                  <w:vAlign w:val="center"/>
                </w:tcPr>
                <w:p>
                  <w:pPr>
                    <w:jc w:val="center"/>
                    <w:rPr>
                      <w:rFonts w:eastAsia="附件"/>
                      <w:kern w:val="0"/>
                      <w:szCs w:val="21"/>
                    </w:rPr>
                  </w:pPr>
                  <w:r>
                    <w:rPr>
                      <w:rFonts w:hint="eastAsia" w:eastAsia="附件"/>
                      <w:kern w:val="0"/>
                      <w:szCs w:val="21"/>
                    </w:rPr>
                    <w:t>/</w:t>
                  </w:r>
                </w:p>
              </w:tc>
              <w:tc>
                <w:tcPr>
                  <w:tcW w:w="520" w:type="dxa"/>
                  <w:vAlign w:val="center"/>
                </w:tcPr>
                <w:p>
                  <w:pPr>
                    <w:widowControl/>
                    <w:adjustRightInd w:val="0"/>
                    <w:snapToGrid w:val="0"/>
                    <w:spacing w:line="240" w:lineRule="exact"/>
                    <w:jc w:val="center"/>
                    <w:textAlignment w:val="center"/>
                    <w:rPr>
                      <w:rFonts w:eastAsia="附件"/>
                      <w:kern w:val="0"/>
                      <w:szCs w:val="21"/>
                    </w:rPr>
                  </w:pPr>
                  <w:r>
                    <w:rPr>
                      <w:rFonts w:eastAsia="附件"/>
                      <w:kern w:val="0"/>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523" w:type="dxa"/>
                  <w:vAlign w:val="center"/>
                </w:tcPr>
                <w:p>
                  <w:pPr>
                    <w:adjustRightInd w:val="0"/>
                    <w:snapToGrid w:val="0"/>
                    <w:spacing w:line="240" w:lineRule="exact"/>
                    <w:jc w:val="center"/>
                    <w:rPr>
                      <w:rFonts w:eastAsia="附件"/>
                      <w:kern w:val="0"/>
                      <w:szCs w:val="21"/>
                    </w:rPr>
                  </w:pPr>
                  <w:r>
                    <w:rPr>
                      <w:rFonts w:eastAsia="附件"/>
                      <w:kern w:val="0"/>
                      <w:szCs w:val="21"/>
                    </w:rPr>
                    <w:t>8</w:t>
                  </w:r>
                </w:p>
              </w:tc>
              <w:tc>
                <w:tcPr>
                  <w:tcW w:w="1000" w:type="dxa"/>
                  <w:vAlign w:val="center"/>
                </w:tcPr>
                <w:p>
                  <w:pPr>
                    <w:widowControl/>
                    <w:spacing w:line="240" w:lineRule="exact"/>
                    <w:jc w:val="center"/>
                    <w:rPr>
                      <w:rFonts w:eastAsia="附件"/>
                      <w:szCs w:val="21"/>
                    </w:rPr>
                  </w:pPr>
                  <w:r>
                    <w:rPr>
                      <w:rFonts w:eastAsia="附件"/>
                      <w:szCs w:val="21"/>
                    </w:rPr>
                    <w:t>铅</w:t>
                  </w:r>
                </w:p>
              </w:tc>
              <w:tc>
                <w:tcPr>
                  <w:tcW w:w="2550" w:type="dxa"/>
                  <w:vAlign w:val="center"/>
                </w:tcPr>
                <w:p>
                  <w:pPr>
                    <w:widowControl/>
                    <w:adjustRightInd w:val="0"/>
                    <w:snapToGrid w:val="0"/>
                    <w:spacing w:line="240" w:lineRule="exact"/>
                    <w:jc w:val="center"/>
                    <w:textAlignment w:val="center"/>
                    <w:rPr>
                      <w:rFonts w:eastAsia="附件"/>
                      <w:kern w:val="0"/>
                      <w:szCs w:val="21"/>
                    </w:rPr>
                  </w:pPr>
                  <w:r>
                    <w:rPr>
                      <w:rFonts w:eastAsia="附件"/>
                      <w:kern w:val="0"/>
                      <w:szCs w:val="21"/>
                    </w:rPr>
                    <w:t>22</w:t>
                  </w:r>
                </w:p>
              </w:tc>
              <w:tc>
                <w:tcPr>
                  <w:tcW w:w="993" w:type="dxa"/>
                  <w:vAlign w:val="center"/>
                </w:tcPr>
                <w:p>
                  <w:pPr>
                    <w:widowControl/>
                    <w:adjustRightInd w:val="0"/>
                    <w:snapToGrid w:val="0"/>
                    <w:spacing w:line="240" w:lineRule="exact"/>
                    <w:jc w:val="center"/>
                    <w:textAlignment w:val="center"/>
                    <w:rPr>
                      <w:rFonts w:eastAsia="附件"/>
                      <w:kern w:val="0"/>
                      <w:szCs w:val="21"/>
                    </w:rPr>
                  </w:pPr>
                  <w:r>
                    <w:rPr>
                      <w:rFonts w:eastAsia="附件"/>
                      <w:kern w:val="0"/>
                      <w:szCs w:val="21"/>
                    </w:rPr>
                    <w:t>2000（8000）</w:t>
                  </w:r>
                </w:p>
              </w:tc>
              <w:tc>
                <w:tcPr>
                  <w:tcW w:w="2410" w:type="dxa"/>
                  <w:vAlign w:val="center"/>
                </w:tcPr>
                <w:p>
                  <w:pPr>
                    <w:jc w:val="center"/>
                    <w:rPr>
                      <w:rFonts w:eastAsia="附件"/>
                      <w:kern w:val="0"/>
                      <w:szCs w:val="21"/>
                    </w:rPr>
                  </w:pPr>
                  <w:r>
                    <w:rPr>
                      <w:rFonts w:hint="eastAsia" w:eastAsia="附件"/>
                      <w:kern w:val="0"/>
                      <w:szCs w:val="21"/>
                    </w:rPr>
                    <w:t>0</w:t>
                  </w:r>
                  <w:r>
                    <w:rPr>
                      <w:rFonts w:eastAsia="附件"/>
                      <w:kern w:val="0"/>
                      <w:szCs w:val="21"/>
                    </w:rPr>
                    <w:t>.0065</w:t>
                  </w:r>
                </w:p>
              </w:tc>
              <w:tc>
                <w:tcPr>
                  <w:tcW w:w="520" w:type="dxa"/>
                  <w:vAlign w:val="center"/>
                </w:tcPr>
                <w:p>
                  <w:pPr>
                    <w:widowControl/>
                    <w:adjustRightInd w:val="0"/>
                    <w:snapToGrid w:val="0"/>
                    <w:spacing w:line="240" w:lineRule="exact"/>
                    <w:jc w:val="center"/>
                    <w:textAlignment w:val="center"/>
                    <w:rPr>
                      <w:rFonts w:eastAsia="附件"/>
                      <w:kern w:val="0"/>
                      <w:szCs w:val="21"/>
                    </w:rPr>
                  </w:pPr>
                  <w:r>
                    <w:rPr>
                      <w:rFonts w:eastAsia="附件"/>
                      <w:kern w:val="0"/>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523" w:type="dxa"/>
                  <w:vAlign w:val="center"/>
                </w:tcPr>
                <w:p>
                  <w:pPr>
                    <w:adjustRightInd w:val="0"/>
                    <w:snapToGrid w:val="0"/>
                    <w:spacing w:line="240" w:lineRule="exact"/>
                    <w:jc w:val="center"/>
                    <w:rPr>
                      <w:rFonts w:eastAsia="附件"/>
                      <w:kern w:val="0"/>
                      <w:szCs w:val="21"/>
                    </w:rPr>
                  </w:pPr>
                  <w:r>
                    <w:rPr>
                      <w:rFonts w:eastAsia="附件"/>
                      <w:kern w:val="0"/>
                      <w:szCs w:val="21"/>
                    </w:rPr>
                    <w:t>9</w:t>
                  </w:r>
                </w:p>
              </w:tc>
              <w:tc>
                <w:tcPr>
                  <w:tcW w:w="1000" w:type="dxa"/>
                  <w:vAlign w:val="center"/>
                </w:tcPr>
                <w:p>
                  <w:pPr>
                    <w:widowControl/>
                    <w:spacing w:line="240" w:lineRule="exact"/>
                    <w:jc w:val="center"/>
                    <w:rPr>
                      <w:rFonts w:eastAsia="附件"/>
                      <w:szCs w:val="21"/>
                    </w:rPr>
                  </w:pPr>
                  <w:r>
                    <w:rPr>
                      <w:rFonts w:eastAsia="附件"/>
                      <w:szCs w:val="21"/>
                    </w:rPr>
                    <w:t>镉</w:t>
                  </w:r>
                </w:p>
              </w:tc>
              <w:tc>
                <w:tcPr>
                  <w:tcW w:w="2550" w:type="dxa"/>
                  <w:vAlign w:val="center"/>
                </w:tcPr>
                <w:p>
                  <w:pPr>
                    <w:widowControl/>
                    <w:adjustRightInd w:val="0"/>
                    <w:snapToGrid w:val="0"/>
                    <w:spacing w:line="240" w:lineRule="exact"/>
                    <w:jc w:val="center"/>
                    <w:textAlignment w:val="center"/>
                    <w:rPr>
                      <w:rFonts w:eastAsia="附件"/>
                      <w:kern w:val="0"/>
                      <w:szCs w:val="21"/>
                    </w:rPr>
                  </w:pPr>
                  <w:r>
                    <w:rPr>
                      <w:rFonts w:eastAsia="附件"/>
                      <w:kern w:val="0"/>
                      <w:szCs w:val="21"/>
                    </w:rPr>
                    <w:t>0.08</w:t>
                  </w:r>
                </w:p>
              </w:tc>
              <w:tc>
                <w:tcPr>
                  <w:tcW w:w="993" w:type="dxa"/>
                  <w:vAlign w:val="center"/>
                </w:tcPr>
                <w:p>
                  <w:pPr>
                    <w:widowControl/>
                    <w:adjustRightInd w:val="0"/>
                    <w:snapToGrid w:val="0"/>
                    <w:spacing w:line="240" w:lineRule="exact"/>
                    <w:jc w:val="center"/>
                    <w:textAlignment w:val="center"/>
                    <w:rPr>
                      <w:rFonts w:eastAsia="附件"/>
                      <w:kern w:val="0"/>
                      <w:szCs w:val="21"/>
                    </w:rPr>
                  </w:pPr>
                  <w:r>
                    <w:rPr>
                      <w:rFonts w:eastAsia="附件"/>
                      <w:kern w:val="0"/>
                      <w:szCs w:val="21"/>
                    </w:rPr>
                    <w:t>150（600）</w:t>
                  </w:r>
                </w:p>
              </w:tc>
              <w:tc>
                <w:tcPr>
                  <w:tcW w:w="2410" w:type="dxa"/>
                  <w:vAlign w:val="center"/>
                </w:tcPr>
                <w:p>
                  <w:pPr>
                    <w:jc w:val="center"/>
                    <w:rPr>
                      <w:rFonts w:eastAsia="附件"/>
                      <w:kern w:val="0"/>
                      <w:szCs w:val="21"/>
                    </w:rPr>
                  </w:pPr>
                  <w:r>
                    <w:rPr>
                      <w:rFonts w:hint="eastAsia" w:eastAsia="附件"/>
                      <w:kern w:val="0"/>
                      <w:szCs w:val="21"/>
                    </w:rPr>
                    <w:t>0</w:t>
                  </w:r>
                  <w:r>
                    <w:rPr>
                      <w:rFonts w:eastAsia="附件"/>
                      <w:kern w:val="0"/>
                      <w:szCs w:val="21"/>
                    </w:rPr>
                    <w:t>.0019</w:t>
                  </w:r>
                </w:p>
              </w:tc>
              <w:tc>
                <w:tcPr>
                  <w:tcW w:w="520" w:type="dxa"/>
                  <w:vAlign w:val="center"/>
                </w:tcPr>
                <w:p>
                  <w:pPr>
                    <w:widowControl/>
                    <w:adjustRightInd w:val="0"/>
                    <w:snapToGrid w:val="0"/>
                    <w:spacing w:line="240" w:lineRule="exact"/>
                    <w:jc w:val="center"/>
                    <w:textAlignment w:val="center"/>
                    <w:rPr>
                      <w:rFonts w:eastAsia="附件"/>
                      <w:kern w:val="0"/>
                      <w:szCs w:val="21"/>
                    </w:rPr>
                  </w:pPr>
                  <w:r>
                    <w:rPr>
                      <w:rFonts w:eastAsia="附件"/>
                      <w:kern w:val="0"/>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523" w:type="dxa"/>
                  <w:vAlign w:val="center"/>
                </w:tcPr>
                <w:p>
                  <w:pPr>
                    <w:adjustRightInd w:val="0"/>
                    <w:snapToGrid w:val="0"/>
                    <w:spacing w:line="240" w:lineRule="exact"/>
                    <w:jc w:val="center"/>
                    <w:rPr>
                      <w:rFonts w:eastAsia="附件"/>
                      <w:kern w:val="0"/>
                      <w:szCs w:val="21"/>
                    </w:rPr>
                  </w:pPr>
                  <w:r>
                    <w:rPr>
                      <w:rFonts w:eastAsia="附件"/>
                      <w:kern w:val="0"/>
                      <w:szCs w:val="21"/>
                    </w:rPr>
                    <w:t>10</w:t>
                  </w:r>
                </w:p>
              </w:tc>
              <w:tc>
                <w:tcPr>
                  <w:tcW w:w="1000" w:type="dxa"/>
                  <w:vAlign w:val="center"/>
                </w:tcPr>
                <w:p>
                  <w:pPr>
                    <w:widowControl/>
                    <w:spacing w:line="240" w:lineRule="exact"/>
                    <w:jc w:val="center"/>
                    <w:rPr>
                      <w:rFonts w:eastAsia="附件"/>
                      <w:szCs w:val="21"/>
                    </w:rPr>
                  </w:pPr>
                  <w:r>
                    <w:rPr>
                      <w:szCs w:val="21"/>
                    </w:rPr>
                    <w:t>氯甲烷</w:t>
                  </w:r>
                </w:p>
              </w:tc>
              <w:tc>
                <w:tcPr>
                  <w:tcW w:w="2550" w:type="dxa"/>
                  <w:vAlign w:val="center"/>
                </w:tcPr>
                <w:p>
                  <w:pPr>
                    <w:widowControl/>
                    <w:adjustRightInd w:val="0"/>
                    <w:snapToGrid w:val="0"/>
                    <w:spacing w:line="240" w:lineRule="exact"/>
                    <w:jc w:val="center"/>
                    <w:textAlignment w:val="center"/>
                    <w:rPr>
                      <w:rFonts w:eastAsia="附件"/>
                      <w:kern w:val="0"/>
                      <w:szCs w:val="21"/>
                    </w:rPr>
                  </w:pPr>
                  <w:r>
                    <w:rPr>
                      <w:rFonts w:hint="eastAsia" w:eastAsia="附件"/>
                      <w:kern w:val="0"/>
                      <w:szCs w:val="21"/>
                    </w:rPr>
                    <w:t>ND</w:t>
                  </w:r>
                </w:p>
              </w:tc>
              <w:tc>
                <w:tcPr>
                  <w:tcW w:w="993" w:type="dxa"/>
                  <w:vAlign w:val="center"/>
                </w:tcPr>
                <w:p>
                  <w:pPr>
                    <w:widowControl/>
                    <w:adjustRightInd w:val="0"/>
                    <w:snapToGrid w:val="0"/>
                    <w:spacing w:line="240" w:lineRule="exact"/>
                    <w:jc w:val="center"/>
                    <w:textAlignment w:val="center"/>
                    <w:rPr>
                      <w:rFonts w:eastAsia="附件"/>
                      <w:kern w:val="0"/>
                      <w:szCs w:val="21"/>
                    </w:rPr>
                  </w:pPr>
                  <w:r>
                    <w:rPr>
                      <w:rFonts w:eastAsia="附件"/>
                      <w:kern w:val="0"/>
                      <w:szCs w:val="21"/>
                    </w:rPr>
                    <w:t>12（21）</w:t>
                  </w:r>
                </w:p>
              </w:tc>
              <w:tc>
                <w:tcPr>
                  <w:tcW w:w="2410" w:type="dxa"/>
                  <w:vAlign w:val="center"/>
                </w:tcPr>
                <w:p>
                  <w:pPr>
                    <w:jc w:val="center"/>
                    <w:rPr>
                      <w:rFonts w:eastAsia="附件"/>
                      <w:kern w:val="0"/>
                      <w:szCs w:val="21"/>
                    </w:rPr>
                  </w:pPr>
                  <w:r>
                    <w:rPr>
                      <w:rFonts w:eastAsia="附件"/>
                      <w:kern w:val="0"/>
                      <w:szCs w:val="21"/>
                    </w:rPr>
                    <w:t>/</w:t>
                  </w:r>
                </w:p>
              </w:tc>
              <w:tc>
                <w:tcPr>
                  <w:tcW w:w="520" w:type="dxa"/>
                  <w:vAlign w:val="center"/>
                </w:tcPr>
                <w:p>
                  <w:pPr>
                    <w:widowControl/>
                    <w:adjustRightInd w:val="0"/>
                    <w:snapToGrid w:val="0"/>
                    <w:spacing w:line="240" w:lineRule="exact"/>
                    <w:jc w:val="center"/>
                    <w:textAlignment w:val="center"/>
                    <w:rPr>
                      <w:rFonts w:eastAsia="附件"/>
                      <w:kern w:val="0"/>
                      <w:szCs w:val="21"/>
                    </w:rPr>
                  </w:pPr>
                  <w:r>
                    <w:rPr>
                      <w:rFonts w:eastAsia="附件"/>
                      <w:kern w:val="0"/>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523" w:type="dxa"/>
                  <w:vAlign w:val="center"/>
                </w:tcPr>
                <w:p>
                  <w:pPr>
                    <w:adjustRightInd w:val="0"/>
                    <w:snapToGrid w:val="0"/>
                    <w:spacing w:line="240" w:lineRule="exact"/>
                    <w:jc w:val="center"/>
                    <w:rPr>
                      <w:rFonts w:eastAsia="附件"/>
                      <w:kern w:val="0"/>
                      <w:szCs w:val="21"/>
                    </w:rPr>
                  </w:pPr>
                  <w:r>
                    <w:rPr>
                      <w:rFonts w:eastAsia="附件"/>
                      <w:kern w:val="0"/>
                      <w:szCs w:val="21"/>
                    </w:rPr>
                    <w:t>11</w:t>
                  </w:r>
                </w:p>
              </w:tc>
              <w:tc>
                <w:tcPr>
                  <w:tcW w:w="1000" w:type="dxa"/>
                  <w:vAlign w:val="center"/>
                </w:tcPr>
                <w:p>
                  <w:pPr>
                    <w:widowControl/>
                    <w:spacing w:line="240" w:lineRule="exact"/>
                    <w:jc w:val="center"/>
                    <w:rPr>
                      <w:rFonts w:eastAsia="附件"/>
                      <w:szCs w:val="21"/>
                    </w:rPr>
                  </w:pPr>
                  <w:r>
                    <w:rPr>
                      <w:szCs w:val="21"/>
                    </w:rPr>
                    <w:t>氯乙烯</w:t>
                  </w:r>
                </w:p>
              </w:tc>
              <w:tc>
                <w:tcPr>
                  <w:tcW w:w="2550" w:type="dxa"/>
                </w:tcPr>
                <w:p>
                  <w:pPr>
                    <w:widowControl/>
                    <w:adjustRightInd w:val="0"/>
                    <w:snapToGrid w:val="0"/>
                    <w:spacing w:line="240" w:lineRule="exact"/>
                    <w:jc w:val="center"/>
                    <w:textAlignment w:val="center"/>
                    <w:rPr>
                      <w:rFonts w:eastAsia="附件"/>
                      <w:kern w:val="0"/>
                      <w:szCs w:val="21"/>
                    </w:rPr>
                  </w:pPr>
                  <w:r>
                    <w:rPr>
                      <w:rFonts w:hint="eastAsia" w:eastAsia="附件"/>
                      <w:kern w:val="0"/>
                      <w:szCs w:val="21"/>
                    </w:rPr>
                    <w:t>ND</w:t>
                  </w:r>
                </w:p>
              </w:tc>
              <w:tc>
                <w:tcPr>
                  <w:tcW w:w="993" w:type="dxa"/>
                  <w:vAlign w:val="center"/>
                </w:tcPr>
                <w:p>
                  <w:pPr>
                    <w:widowControl/>
                    <w:adjustRightInd w:val="0"/>
                    <w:snapToGrid w:val="0"/>
                    <w:spacing w:line="240" w:lineRule="exact"/>
                    <w:jc w:val="center"/>
                    <w:textAlignment w:val="center"/>
                    <w:rPr>
                      <w:rFonts w:eastAsia="附件"/>
                      <w:kern w:val="0"/>
                      <w:szCs w:val="21"/>
                    </w:rPr>
                  </w:pPr>
                  <w:r>
                    <w:rPr>
                      <w:rFonts w:eastAsia="附件"/>
                      <w:kern w:val="0"/>
                      <w:szCs w:val="21"/>
                    </w:rPr>
                    <w:t>0.12（1.2）</w:t>
                  </w:r>
                </w:p>
              </w:tc>
              <w:tc>
                <w:tcPr>
                  <w:tcW w:w="2410" w:type="dxa"/>
                  <w:vAlign w:val="center"/>
                </w:tcPr>
                <w:p>
                  <w:pPr>
                    <w:jc w:val="center"/>
                    <w:rPr>
                      <w:rFonts w:eastAsia="附件"/>
                      <w:kern w:val="0"/>
                      <w:szCs w:val="21"/>
                    </w:rPr>
                  </w:pPr>
                  <w:r>
                    <w:rPr>
                      <w:rFonts w:eastAsia="附件"/>
                      <w:kern w:val="0"/>
                      <w:szCs w:val="21"/>
                    </w:rPr>
                    <w:t>/</w:t>
                  </w:r>
                </w:p>
              </w:tc>
              <w:tc>
                <w:tcPr>
                  <w:tcW w:w="520" w:type="dxa"/>
                  <w:vAlign w:val="center"/>
                </w:tcPr>
                <w:p>
                  <w:pPr>
                    <w:widowControl/>
                    <w:adjustRightInd w:val="0"/>
                    <w:snapToGrid w:val="0"/>
                    <w:spacing w:line="240" w:lineRule="exact"/>
                    <w:jc w:val="center"/>
                    <w:textAlignment w:val="center"/>
                    <w:rPr>
                      <w:rFonts w:eastAsia="附件"/>
                      <w:kern w:val="0"/>
                      <w:szCs w:val="21"/>
                    </w:rPr>
                  </w:pPr>
                  <w:r>
                    <w:rPr>
                      <w:rFonts w:eastAsia="附件"/>
                      <w:kern w:val="0"/>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523" w:type="dxa"/>
                  <w:vAlign w:val="center"/>
                </w:tcPr>
                <w:p>
                  <w:pPr>
                    <w:adjustRightInd w:val="0"/>
                    <w:snapToGrid w:val="0"/>
                    <w:spacing w:line="240" w:lineRule="exact"/>
                    <w:jc w:val="center"/>
                    <w:rPr>
                      <w:rFonts w:eastAsia="附件"/>
                      <w:kern w:val="0"/>
                      <w:szCs w:val="21"/>
                    </w:rPr>
                  </w:pPr>
                  <w:r>
                    <w:rPr>
                      <w:rFonts w:eastAsia="附件"/>
                      <w:kern w:val="0"/>
                      <w:szCs w:val="21"/>
                    </w:rPr>
                    <w:t>12</w:t>
                  </w:r>
                </w:p>
              </w:tc>
              <w:tc>
                <w:tcPr>
                  <w:tcW w:w="1000" w:type="dxa"/>
                  <w:vAlign w:val="center"/>
                </w:tcPr>
                <w:p>
                  <w:pPr>
                    <w:widowControl/>
                    <w:spacing w:line="240" w:lineRule="exact"/>
                    <w:jc w:val="center"/>
                    <w:rPr>
                      <w:rFonts w:eastAsia="附件"/>
                      <w:szCs w:val="21"/>
                    </w:rPr>
                  </w:pPr>
                  <w:r>
                    <w:rPr>
                      <w:szCs w:val="21"/>
                    </w:rPr>
                    <w:t>1,1-二氯乙烯</w:t>
                  </w:r>
                </w:p>
              </w:tc>
              <w:tc>
                <w:tcPr>
                  <w:tcW w:w="2550" w:type="dxa"/>
                </w:tcPr>
                <w:p>
                  <w:pPr>
                    <w:jc w:val="center"/>
                    <w:rPr>
                      <w:szCs w:val="21"/>
                    </w:rPr>
                  </w:pPr>
                  <w:r>
                    <w:rPr>
                      <w:rFonts w:hint="eastAsia" w:eastAsia="附件"/>
                      <w:kern w:val="0"/>
                      <w:szCs w:val="21"/>
                    </w:rPr>
                    <w:t>ND</w:t>
                  </w:r>
                </w:p>
              </w:tc>
              <w:tc>
                <w:tcPr>
                  <w:tcW w:w="993" w:type="dxa"/>
                  <w:vAlign w:val="center"/>
                </w:tcPr>
                <w:p>
                  <w:pPr>
                    <w:widowControl/>
                    <w:adjustRightInd w:val="0"/>
                    <w:snapToGrid w:val="0"/>
                    <w:spacing w:line="240" w:lineRule="exact"/>
                    <w:jc w:val="center"/>
                    <w:textAlignment w:val="center"/>
                    <w:rPr>
                      <w:rFonts w:eastAsia="附件"/>
                      <w:kern w:val="0"/>
                      <w:szCs w:val="21"/>
                    </w:rPr>
                  </w:pPr>
                  <w:r>
                    <w:rPr>
                      <w:rFonts w:eastAsia="附件"/>
                      <w:kern w:val="0"/>
                      <w:szCs w:val="21"/>
                    </w:rPr>
                    <w:t>12（40）</w:t>
                  </w:r>
                </w:p>
              </w:tc>
              <w:tc>
                <w:tcPr>
                  <w:tcW w:w="2410" w:type="dxa"/>
                  <w:vAlign w:val="center"/>
                </w:tcPr>
                <w:p>
                  <w:pPr>
                    <w:jc w:val="center"/>
                    <w:rPr>
                      <w:rFonts w:eastAsia="附件"/>
                      <w:kern w:val="0"/>
                      <w:szCs w:val="21"/>
                    </w:rPr>
                  </w:pPr>
                  <w:r>
                    <w:rPr>
                      <w:rFonts w:eastAsia="附件"/>
                      <w:kern w:val="0"/>
                      <w:szCs w:val="21"/>
                    </w:rPr>
                    <w:t>/</w:t>
                  </w:r>
                </w:p>
              </w:tc>
              <w:tc>
                <w:tcPr>
                  <w:tcW w:w="520" w:type="dxa"/>
                  <w:vAlign w:val="center"/>
                </w:tcPr>
                <w:p>
                  <w:pPr>
                    <w:widowControl/>
                    <w:adjustRightInd w:val="0"/>
                    <w:snapToGrid w:val="0"/>
                    <w:spacing w:line="240" w:lineRule="exact"/>
                    <w:jc w:val="center"/>
                    <w:textAlignment w:val="center"/>
                    <w:rPr>
                      <w:rFonts w:eastAsia="附件"/>
                      <w:kern w:val="0"/>
                      <w:szCs w:val="21"/>
                    </w:rPr>
                  </w:pPr>
                  <w:r>
                    <w:rPr>
                      <w:rFonts w:eastAsia="附件"/>
                      <w:kern w:val="0"/>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523" w:type="dxa"/>
                  <w:vAlign w:val="center"/>
                </w:tcPr>
                <w:p>
                  <w:pPr>
                    <w:adjustRightInd w:val="0"/>
                    <w:snapToGrid w:val="0"/>
                    <w:spacing w:line="240" w:lineRule="exact"/>
                    <w:jc w:val="center"/>
                    <w:rPr>
                      <w:rFonts w:eastAsia="附件"/>
                      <w:kern w:val="0"/>
                      <w:szCs w:val="21"/>
                    </w:rPr>
                  </w:pPr>
                  <w:r>
                    <w:rPr>
                      <w:rFonts w:eastAsia="附件"/>
                      <w:kern w:val="0"/>
                      <w:szCs w:val="21"/>
                    </w:rPr>
                    <w:t>13</w:t>
                  </w:r>
                </w:p>
              </w:tc>
              <w:tc>
                <w:tcPr>
                  <w:tcW w:w="1000" w:type="dxa"/>
                  <w:vAlign w:val="center"/>
                </w:tcPr>
                <w:p>
                  <w:pPr>
                    <w:widowControl/>
                    <w:spacing w:line="240" w:lineRule="exact"/>
                    <w:jc w:val="center"/>
                    <w:rPr>
                      <w:rFonts w:eastAsia="附件"/>
                      <w:szCs w:val="21"/>
                    </w:rPr>
                  </w:pPr>
                  <w:r>
                    <w:rPr>
                      <w:szCs w:val="21"/>
                    </w:rPr>
                    <w:t>二氯甲烷</w:t>
                  </w:r>
                </w:p>
              </w:tc>
              <w:tc>
                <w:tcPr>
                  <w:tcW w:w="2550" w:type="dxa"/>
                </w:tcPr>
                <w:p>
                  <w:pPr>
                    <w:jc w:val="center"/>
                    <w:rPr>
                      <w:szCs w:val="21"/>
                    </w:rPr>
                  </w:pPr>
                  <w:r>
                    <w:rPr>
                      <w:rFonts w:hint="eastAsia" w:eastAsia="附件"/>
                      <w:kern w:val="0"/>
                      <w:szCs w:val="21"/>
                    </w:rPr>
                    <w:t>ND</w:t>
                  </w:r>
                </w:p>
              </w:tc>
              <w:tc>
                <w:tcPr>
                  <w:tcW w:w="993" w:type="dxa"/>
                  <w:vAlign w:val="center"/>
                </w:tcPr>
                <w:p>
                  <w:pPr>
                    <w:widowControl/>
                    <w:adjustRightInd w:val="0"/>
                    <w:snapToGrid w:val="0"/>
                    <w:spacing w:line="240" w:lineRule="exact"/>
                    <w:jc w:val="center"/>
                    <w:textAlignment w:val="center"/>
                    <w:rPr>
                      <w:rFonts w:eastAsia="附件"/>
                      <w:kern w:val="0"/>
                      <w:szCs w:val="21"/>
                    </w:rPr>
                  </w:pPr>
                  <w:r>
                    <w:rPr>
                      <w:rFonts w:eastAsia="附件"/>
                      <w:kern w:val="0"/>
                      <w:szCs w:val="21"/>
                    </w:rPr>
                    <w:t>94（300）</w:t>
                  </w:r>
                </w:p>
              </w:tc>
              <w:tc>
                <w:tcPr>
                  <w:tcW w:w="2410" w:type="dxa"/>
                  <w:vAlign w:val="center"/>
                </w:tcPr>
                <w:p>
                  <w:pPr>
                    <w:jc w:val="center"/>
                    <w:rPr>
                      <w:szCs w:val="21"/>
                    </w:rPr>
                  </w:pPr>
                  <w:r>
                    <w:rPr>
                      <w:rFonts w:eastAsia="附件"/>
                      <w:kern w:val="0"/>
                      <w:szCs w:val="21"/>
                    </w:rPr>
                    <w:t>/</w:t>
                  </w:r>
                </w:p>
              </w:tc>
              <w:tc>
                <w:tcPr>
                  <w:tcW w:w="520" w:type="dxa"/>
                  <w:vAlign w:val="center"/>
                </w:tcPr>
                <w:p>
                  <w:pPr>
                    <w:widowControl/>
                    <w:adjustRightInd w:val="0"/>
                    <w:snapToGrid w:val="0"/>
                    <w:spacing w:line="240" w:lineRule="exact"/>
                    <w:jc w:val="center"/>
                    <w:textAlignment w:val="center"/>
                    <w:rPr>
                      <w:rFonts w:eastAsia="附件"/>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523" w:type="dxa"/>
                  <w:vAlign w:val="center"/>
                </w:tcPr>
                <w:p>
                  <w:pPr>
                    <w:adjustRightInd w:val="0"/>
                    <w:snapToGrid w:val="0"/>
                    <w:spacing w:line="240" w:lineRule="exact"/>
                    <w:jc w:val="center"/>
                    <w:rPr>
                      <w:rFonts w:eastAsia="附件"/>
                      <w:kern w:val="0"/>
                      <w:szCs w:val="21"/>
                    </w:rPr>
                  </w:pPr>
                  <w:r>
                    <w:rPr>
                      <w:rFonts w:eastAsia="附件"/>
                      <w:kern w:val="0"/>
                      <w:szCs w:val="21"/>
                    </w:rPr>
                    <w:t>14</w:t>
                  </w:r>
                </w:p>
              </w:tc>
              <w:tc>
                <w:tcPr>
                  <w:tcW w:w="1000" w:type="dxa"/>
                  <w:vAlign w:val="center"/>
                </w:tcPr>
                <w:p>
                  <w:pPr>
                    <w:widowControl/>
                    <w:spacing w:line="240" w:lineRule="exact"/>
                    <w:jc w:val="center"/>
                    <w:rPr>
                      <w:rFonts w:eastAsia="附件"/>
                      <w:szCs w:val="21"/>
                    </w:rPr>
                  </w:pPr>
                  <w:r>
                    <w:rPr>
                      <w:szCs w:val="21"/>
                    </w:rPr>
                    <w:t>反式-1,2-二氯乙烯</w:t>
                  </w:r>
                </w:p>
              </w:tc>
              <w:tc>
                <w:tcPr>
                  <w:tcW w:w="2550" w:type="dxa"/>
                </w:tcPr>
                <w:p>
                  <w:pPr>
                    <w:jc w:val="center"/>
                    <w:rPr>
                      <w:szCs w:val="21"/>
                    </w:rPr>
                  </w:pPr>
                  <w:r>
                    <w:rPr>
                      <w:rFonts w:hint="eastAsia" w:eastAsia="附件"/>
                      <w:kern w:val="0"/>
                      <w:szCs w:val="21"/>
                    </w:rPr>
                    <w:t>ND</w:t>
                  </w:r>
                </w:p>
              </w:tc>
              <w:tc>
                <w:tcPr>
                  <w:tcW w:w="993" w:type="dxa"/>
                  <w:vAlign w:val="center"/>
                </w:tcPr>
                <w:p>
                  <w:pPr>
                    <w:widowControl/>
                    <w:adjustRightInd w:val="0"/>
                    <w:snapToGrid w:val="0"/>
                    <w:spacing w:line="240" w:lineRule="exact"/>
                    <w:jc w:val="center"/>
                    <w:textAlignment w:val="center"/>
                    <w:rPr>
                      <w:rFonts w:eastAsia="附件"/>
                      <w:kern w:val="0"/>
                      <w:szCs w:val="21"/>
                    </w:rPr>
                  </w:pPr>
                  <w:r>
                    <w:rPr>
                      <w:rFonts w:eastAsia="附件"/>
                      <w:kern w:val="0"/>
                      <w:szCs w:val="21"/>
                    </w:rPr>
                    <w:t>10（31）</w:t>
                  </w:r>
                </w:p>
              </w:tc>
              <w:tc>
                <w:tcPr>
                  <w:tcW w:w="2410" w:type="dxa"/>
                  <w:vAlign w:val="center"/>
                </w:tcPr>
                <w:p>
                  <w:pPr>
                    <w:jc w:val="center"/>
                    <w:rPr>
                      <w:szCs w:val="21"/>
                    </w:rPr>
                  </w:pPr>
                  <w:r>
                    <w:rPr>
                      <w:rFonts w:eastAsia="附件"/>
                      <w:kern w:val="0"/>
                      <w:szCs w:val="21"/>
                    </w:rPr>
                    <w:t>/</w:t>
                  </w:r>
                </w:p>
              </w:tc>
              <w:tc>
                <w:tcPr>
                  <w:tcW w:w="520" w:type="dxa"/>
                  <w:vAlign w:val="center"/>
                </w:tcPr>
                <w:p>
                  <w:pPr>
                    <w:widowControl/>
                    <w:adjustRightInd w:val="0"/>
                    <w:snapToGrid w:val="0"/>
                    <w:spacing w:line="240" w:lineRule="exact"/>
                    <w:jc w:val="center"/>
                    <w:textAlignment w:val="center"/>
                    <w:rPr>
                      <w:rFonts w:eastAsia="附件"/>
                      <w:kern w:val="0"/>
                      <w:szCs w:val="21"/>
                    </w:rPr>
                  </w:pPr>
                  <w:r>
                    <w:rPr>
                      <w:rFonts w:eastAsia="附件"/>
                      <w:kern w:val="0"/>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523" w:type="dxa"/>
                  <w:vAlign w:val="center"/>
                </w:tcPr>
                <w:p>
                  <w:pPr>
                    <w:adjustRightInd w:val="0"/>
                    <w:snapToGrid w:val="0"/>
                    <w:spacing w:line="240" w:lineRule="exact"/>
                    <w:jc w:val="center"/>
                    <w:rPr>
                      <w:rFonts w:eastAsia="附件"/>
                      <w:kern w:val="0"/>
                      <w:szCs w:val="21"/>
                    </w:rPr>
                  </w:pPr>
                  <w:r>
                    <w:rPr>
                      <w:rFonts w:eastAsia="附件"/>
                      <w:kern w:val="0"/>
                      <w:szCs w:val="21"/>
                    </w:rPr>
                    <w:t>15</w:t>
                  </w:r>
                </w:p>
              </w:tc>
              <w:tc>
                <w:tcPr>
                  <w:tcW w:w="1000" w:type="dxa"/>
                  <w:vAlign w:val="center"/>
                </w:tcPr>
                <w:p>
                  <w:pPr>
                    <w:widowControl/>
                    <w:spacing w:line="240" w:lineRule="exact"/>
                    <w:jc w:val="center"/>
                    <w:rPr>
                      <w:rFonts w:eastAsia="附件"/>
                      <w:szCs w:val="21"/>
                    </w:rPr>
                  </w:pPr>
                  <w:r>
                    <w:rPr>
                      <w:szCs w:val="21"/>
                    </w:rPr>
                    <w:t>1,1-二氯乙烷</w:t>
                  </w:r>
                </w:p>
              </w:tc>
              <w:tc>
                <w:tcPr>
                  <w:tcW w:w="2550" w:type="dxa"/>
                </w:tcPr>
                <w:p>
                  <w:pPr>
                    <w:jc w:val="center"/>
                    <w:rPr>
                      <w:szCs w:val="21"/>
                    </w:rPr>
                  </w:pPr>
                  <w:r>
                    <w:rPr>
                      <w:rFonts w:hint="eastAsia" w:eastAsia="附件"/>
                      <w:kern w:val="0"/>
                      <w:szCs w:val="21"/>
                    </w:rPr>
                    <w:t>ND</w:t>
                  </w:r>
                </w:p>
              </w:tc>
              <w:tc>
                <w:tcPr>
                  <w:tcW w:w="993" w:type="dxa"/>
                  <w:vAlign w:val="center"/>
                </w:tcPr>
                <w:p>
                  <w:pPr>
                    <w:widowControl/>
                    <w:adjustRightInd w:val="0"/>
                    <w:snapToGrid w:val="0"/>
                    <w:spacing w:line="240" w:lineRule="exact"/>
                    <w:jc w:val="center"/>
                    <w:textAlignment w:val="center"/>
                    <w:rPr>
                      <w:rFonts w:eastAsia="附件"/>
                      <w:kern w:val="0"/>
                      <w:szCs w:val="21"/>
                    </w:rPr>
                  </w:pPr>
                  <w:r>
                    <w:rPr>
                      <w:rFonts w:eastAsia="附件"/>
                      <w:kern w:val="0"/>
                      <w:szCs w:val="21"/>
                    </w:rPr>
                    <w:t>3（20）</w:t>
                  </w:r>
                </w:p>
              </w:tc>
              <w:tc>
                <w:tcPr>
                  <w:tcW w:w="2410" w:type="dxa"/>
                  <w:vAlign w:val="center"/>
                </w:tcPr>
                <w:p>
                  <w:pPr>
                    <w:jc w:val="center"/>
                    <w:rPr>
                      <w:szCs w:val="21"/>
                    </w:rPr>
                  </w:pPr>
                  <w:r>
                    <w:rPr>
                      <w:rFonts w:eastAsia="附件"/>
                      <w:kern w:val="0"/>
                      <w:szCs w:val="21"/>
                    </w:rPr>
                    <w:t>/</w:t>
                  </w:r>
                </w:p>
              </w:tc>
              <w:tc>
                <w:tcPr>
                  <w:tcW w:w="520" w:type="dxa"/>
                  <w:vAlign w:val="center"/>
                </w:tcPr>
                <w:p>
                  <w:pPr>
                    <w:widowControl/>
                    <w:adjustRightInd w:val="0"/>
                    <w:snapToGrid w:val="0"/>
                    <w:spacing w:line="240" w:lineRule="exact"/>
                    <w:jc w:val="center"/>
                    <w:textAlignment w:val="center"/>
                    <w:rPr>
                      <w:rFonts w:eastAsia="附件"/>
                      <w:kern w:val="0"/>
                      <w:szCs w:val="21"/>
                    </w:rPr>
                  </w:pPr>
                  <w:r>
                    <w:rPr>
                      <w:rFonts w:eastAsia="附件"/>
                      <w:kern w:val="0"/>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523" w:type="dxa"/>
                  <w:vAlign w:val="center"/>
                </w:tcPr>
                <w:p>
                  <w:pPr>
                    <w:adjustRightInd w:val="0"/>
                    <w:snapToGrid w:val="0"/>
                    <w:spacing w:line="240" w:lineRule="exact"/>
                    <w:jc w:val="center"/>
                    <w:rPr>
                      <w:rFonts w:eastAsia="附件"/>
                      <w:kern w:val="0"/>
                      <w:szCs w:val="21"/>
                    </w:rPr>
                  </w:pPr>
                  <w:r>
                    <w:rPr>
                      <w:rFonts w:eastAsia="附件"/>
                      <w:kern w:val="0"/>
                      <w:szCs w:val="21"/>
                    </w:rPr>
                    <w:t>16</w:t>
                  </w:r>
                </w:p>
              </w:tc>
              <w:tc>
                <w:tcPr>
                  <w:tcW w:w="1000" w:type="dxa"/>
                  <w:vAlign w:val="center"/>
                </w:tcPr>
                <w:p>
                  <w:pPr>
                    <w:widowControl/>
                    <w:spacing w:line="240" w:lineRule="exact"/>
                    <w:jc w:val="center"/>
                    <w:rPr>
                      <w:rFonts w:eastAsia="附件"/>
                      <w:szCs w:val="21"/>
                    </w:rPr>
                  </w:pPr>
                  <w:r>
                    <w:rPr>
                      <w:szCs w:val="21"/>
                    </w:rPr>
                    <w:t>顺式-1,2-二氯乙烯</w:t>
                  </w:r>
                </w:p>
              </w:tc>
              <w:tc>
                <w:tcPr>
                  <w:tcW w:w="2550" w:type="dxa"/>
                </w:tcPr>
                <w:p>
                  <w:pPr>
                    <w:jc w:val="center"/>
                    <w:rPr>
                      <w:szCs w:val="21"/>
                    </w:rPr>
                  </w:pPr>
                  <w:r>
                    <w:rPr>
                      <w:rFonts w:hint="eastAsia" w:eastAsia="附件"/>
                      <w:kern w:val="0"/>
                      <w:szCs w:val="21"/>
                    </w:rPr>
                    <w:t>ND</w:t>
                  </w:r>
                </w:p>
              </w:tc>
              <w:tc>
                <w:tcPr>
                  <w:tcW w:w="993" w:type="dxa"/>
                  <w:vAlign w:val="center"/>
                </w:tcPr>
                <w:p>
                  <w:pPr>
                    <w:widowControl/>
                    <w:adjustRightInd w:val="0"/>
                    <w:snapToGrid w:val="0"/>
                    <w:spacing w:line="240" w:lineRule="exact"/>
                    <w:jc w:val="center"/>
                    <w:textAlignment w:val="center"/>
                    <w:rPr>
                      <w:rFonts w:eastAsia="附件"/>
                      <w:kern w:val="0"/>
                      <w:szCs w:val="21"/>
                    </w:rPr>
                  </w:pPr>
                  <w:r>
                    <w:rPr>
                      <w:rFonts w:eastAsia="附件"/>
                      <w:kern w:val="0"/>
                      <w:szCs w:val="21"/>
                    </w:rPr>
                    <w:t>66（200）</w:t>
                  </w:r>
                </w:p>
              </w:tc>
              <w:tc>
                <w:tcPr>
                  <w:tcW w:w="2410" w:type="dxa"/>
                  <w:vAlign w:val="center"/>
                </w:tcPr>
                <w:p>
                  <w:pPr>
                    <w:jc w:val="center"/>
                    <w:rPr>
                      <w:szCs w:val="21"/>
                    </w:rPr>
                  </w:pPr>
                  <w:r>
                    <w:rPr>
                      <w:rFonts w:eastAsia="附件"/>
                      <w:kern w:val="0"/>
                      <w:szCs w:val="21"/>
                    </w:rPr>
                    <w:t>/</w:t>
                  </w:r>
                </w:p>
              </w:tc>
              <w:tc>
                <w:tcPr>
                  <w:tcW w:w="520" w:type="dxa"/>
                  <w:vAlign w:val="center"/>
                </w:tcPr>
                <w:p>
                  <w:pPr>
                    <w:widowControl/>
                    <w:adjustRightInd w:val="0"/>
                    <w:snapToGrid w:val="0"/>
                    <w:spacing w:line="240" w:lineRule="exact"/>
                    <w:jc w:val="center"/>
                    <w:textAlignment w:val="center"/>
                    <w:rPr>
                      <w:rFonts w:eastAsia="附件"/>
                      <w:kern w:val="0"/>
                      <w:szCs w:val="21"/>
                    </w:rPr>
                  </w:pPr>
                  <w:r>
                    <w:rPr>
                      <w:rFonts w:eastAsia="附件"/>
                      <w:kern w:val="0"/>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523" w:type="dxa"/>
                  <w:vAlign w:val="center"/>
                </w:tcPr>
                <w:p>
                  <w:pPr>
                    <w:adjustRightInd w:val="0"/>
                    <w:snapToGrid w:val="0"/>
                    <w:spacing w:line="240" w:lineRule="exact"/>
                    <w:jc w:val="center"/>
                    <w:rPr>
                      <w:rFonts w:eastAsia="附件"/>
                      <w:kern w:val="0"/>
                      <w:szCs w:val="21"/>
                    </w:rPr>
                  </w:pPr>
                  <w:r>
                    <w:rPr>
                      <w:rFonts w:eastAsia="附件"/>
                      <w:kern w:val="0"/>
                      <w:szCs w:val="21"/>
                    </w:rPr>
                    <w:t>17</w:t>
                  </w:r>
                </w:p>
              </w:tc>
              <w:tc>
                <w:tcPr>
                  <w:tcW w:w="1000" w:type="dxa"/>
                  <w:vAlign w:val="center"/>
                </w:tcPr>
                <w:p>
                  <w:pPr>
                    <w:widowControl/>
                    <w:spacing w:line="240" w:lineRule="exact"/>
                    <w:jc w:val="center"/>
                    <w:rPr>
                      <w:rFonts w:eastAsia="附件"/>
                      <w:szCs w:val="21"/>
                    </w:rPr>
                  </w:pPr>
                  <w:r>
                    <w:rPr>
                      <w:szCs w:val="21"/>
                    </w:rPr>
                    <w:t>氯仿</w:t>
                  </w:r>
                </w:p>
              </w:tc>
              <w:tc>
                <w:tcPr>
                  <w:tcW w:w="2550" w:type="dxa"/>
                </w:tcPr>
                <w:p>
                  <w:pPr>
                    <w:jc w:val="center"/>
                    <w:rPr>
                      <w:szCs w:val="21"/>
                    </w:rPr>
                  </w:pPr>
                  <w:r>
                    <w:rPr>
                      <w:rFonts w:hint="eastAsia" w:eastAsia="附件"/>
                      <w:kern w:val="0"/>
                      <w:szCs w:val="21"/>
                    </w:rPr>
                    <w:t>ND</w:t>
                  </w:r>
                </w:p>
              </w:tc>
              <w:tc>
                <w:tcPr>
                  <w:tcW w:w="993" w:type="dxa"/>
                  <w:vAlign w:val="center"/>
                </w:tcPr>
                <w:p>
                  <w:pPr>
                    <w:widowControl/>
                    <w:adjustRightInd w:val="0"/>
                    <w:snapToGrid w:val="0"/>
                    <w:spacing w:line="240" w:lineRule="exact"/>
                    <w:jc w:val="center"/>
                    <w:textAlignment w:val="center"/>
                    <w:rPr>
                      <w:rFonts w:eastAsia="附件"/>
                      <w:kern w:val="0"/>
                      <w:szCs w:val="21"/>
                    </w:rPr>
                  </w:pPr>
                  <w:r>
                    <w:rPr>
                      <w:rFonts w:eastAsia="附件"/>
                      <w:kern w:val="0"/>
                      <w:szCs w:val="21"/>
                    </w:rPr>
                    <w:t>0.3（5）</w:t>
                  </w:r>
                </w:p>
              </w:tc>
              <w:tc>
                <w:tcPr>
                  <w:tcW w:w="2410" w:type="dxa"/>
                  <w:vAlign w:val="center"/>
                </w:tcPr>
                <w:p>
                  <w:pPr>
                    <w:jc w:val="center"/>
                    <w:rPr>
                      <w:szCs w:val="21"/>
                    </w:rPr>
                  </w:pPr>
                  <w:r>
                    <w:rPr>
                      <w:rFonts w:eastAsia="附件"/>
                      <w:kern w:val="0"/>
                      <w:szCs w:val="21"/>
                    </w:rPr>
                    <w:t>/</w:t>
                  </w:r>
                </w:p>
              </w:tc>
              <w:tc>
                <w:tcPr>
                  <w:tcW w:w="520" w:type="dxa"/>
                  <w:vAlign w:val="center"/>
                </w:tcPr>
                <w:p>
                  <w:pPr>
                    <w:widowControl/>
                    <w:adjustRightInd w:val="0"/>
                    <w:snapToGrid w:val="0"/>
                    <w:spacing w:line="240" w:lineRule="exact"/>
                    <w:jc w:val="center"/>
                    <w:textAlignment w:val="center"/>
                    <w:rPr>
                      <w:rFonts w:eastAsia="附件"/>
                      <w:kern w:val="0"/>
                      <w:szCs w:val="21"/>
                    </w:rPr>
                  </w:pPr>
                  <w:r>
                    <w:rPr>
                      <w:rFonts w:eastAsia="附件"/>
                      <w:kern w:val="0"/>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523" w:type="dxa"/>
                  <w:vAlign w:val="center"/>
                </w:tcPr>
                <w:p>
                  <w:pPr>
                    <w:adjustRightInd w:val="0"/>
                    <w:snapToGrid w:val="0"/>
                    <w:spacing w:line="240" w:lineRule="exact"/>
                    <w:jc w:val="center"/>
                    <w:rPr>
                      <w:rFonts w:eastAsia="附件"/>
                      <w:kern w:val="0"/>
                      <w:szCs w:val="21"/>
                    </w:rPr>
                  </w:pPr>
                  <w:r>
                    <w:rPr>
                      <w:rFonts w:eastAsia="附件"/>
                      <w:kern w:val="0"/>
                      <w:szCs w:val="21"/>
                    </w:rPr>
                    <w:t>18</w:t>
                  </w:r>
                </w:p>
              </w:tc>
              <w:tc>
                <w:tcPr>
                  <w:tcW w:w="1000" w:type="dxa"/>
                  <w:vAlign w:val="center"/>
                </w:tcPr>
                <w:p>
                  <w:pPr>
                    <w:widowControl/>
                    <w:spacing w:line="240" w:lineRule="exact"/>
                    <w:jc w:val="center"/>
                    <w:rPr>
                      <w:rFonts w:eastAsia="附件"/>
                      <w:szCs w:val="21"/>
                    </w:rPr>
                  </w:pPr>
                  <w:r>
                    <w:rPr>
                      <w:szCs w:val="21"/>
                    </w:rPr>
                    <w:t>1,1,1-三氯乙烷</w:t>
                  </w:r>
                </w:p>
              </w:tc>
              <w:tc>
                <w:tcPr>
                  <w:tcW w:w="2550" w:type="dxa"/>
                </w:tcPr>
                <w:p>
                  <w:pPr>
                    <w:jc w:val="center"/>
                    <w:rPr>
                      <w:szCs w:val="21"/>
                    </w:rPr>
                  </w:pPr>
                  <w:r>
                    <w:rPr>
                      <w:rFonts w:hint="eastAsia" w:eastAsia="附件"/>
                      <w:kern w:val="0"/>
                      <w:szCs w:val="21"/>
                    </w:rPr>
                    <w:t>ND</w:t>
                  </w:r>
                </w:p>
              </w:tc>
              <w:tc>
                <w:tcPr>
                  <w:tcW w:w="993" w:type="dxa"/>
                  <w:vAlign w:val="center"/>
                </w:tcPr>
                <w:p>
                  <w:pPr>
                    <w:widowControl/>
                    <w:adjustRightInd w:val="0"/>
                    <w:snapToGrid w:val="0"/>
                    <w:spacing w:line="240" w:lineRule="exact"/>
                    <w:jc w:val="center"/>
                    <w:textAlignment w:val="center"/>
                    <w:rPr>
                      <w:rFonts w:eastAsia="附件"/>
                      <w:kern w:val="0"/>
                      <w:szCs w:val="21"/>
                    </w:rPr>
                  </w:pPr>
                  <w:r>
                    <w:rPr>
                      <w:rFonts w:eastAsia="附件"/>
                      <w:kern w:val="0"/>
                      <w:szCs w:val="21"/>
                    </w:rPr>
                    <w:t>701（840）</w:t>
                  </w:r>
                </w:p>
              </w:tc>
              <w:tc>
                <w:tcPr>
                  <w:tcW w:w="2410" w:type="dxa"/>
                  <w:vAlign w:val="center"/>
                </w:tcPr>
                <w:p>
                  <w:pPr>
                    <w:jc w:val="center"/>
                    <w:rPr>
                      <w:szCs w:val="21"/>
                    </w:rPr>
                  </w:pPr>
                  <w:r>
                    <w:rPr>
                      <w:rFonts w:eastAsia="附件"/>
                      <w:kern w:val="0"/>
                      <w:szCs w:val="21"/>
                    </w:rPr>
                    <w:t>/</w:t>
                  </w:r>
                </w:p>
              </w:tc>
              <w:tc>
                <w:tcPr>
                  <w:tcW w:w="520" w:type="dxa"/>
                  <w:vAlign w:val="center"/>
                </w:tcPr>
                <w:p>
                  <w:pPr>
                    <w:widowControl/>
                    <w:adjustRightInd w:val="0"/>
                    <w:snapToGrid w:val="0"/>
                    <w:spacing w:line="240" w:lineRule="exact"/>
                    <w:jc w:val="center"/>
                    <w:textAlignment w:val="center"/>
                    <w:rPr>
                      <w:rFonts w:eastAsia="附件"/>
                      <w:kern w:val="0"/>
                      <w:szCs w:val="21"/>
                    </w:rPr>
                  </w:pPr>
                  <w:r>
                    <w:rPr>
                      <w:rFonts w:eastAsia="附件"/>
                      <w:kern w:val="0"/>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523" w:type="dxa"/>
                  <w:vAlign w:val="center"/>
                </w:tcPr>
                <w:p>
                  <w:pPr>
                    <w:adjustRightInd w:val="0"/>
                    <w:snapToGrid w:val="0"/>
                    <w:spacing w:line="240" w:lineRule="exact"/>
                    <w:jc w:val="center"/>
                    <w:rPr>
                      <w:rFonts w:eastAsia="附件"/>
                      <w:kern w:val="0"/>
                      <w:szCs w:val="21"/>
                    </w:rPr>
                  </w:pPr>
                  <w:r>
                    <w:rPr>
                      <w:rFonts w:eastAsia="附件"/>
                      <w:kern w:val="0"/>
                      <w:szCs w:val="21"/>
                    </w:rPr>
                    <w:t>19</w:t>
                  </w:r>
                </w:p>
              </w:tc>
              <w:tc>
                <w:tcPr>
                  <w:tcW w:w="1000" w:type="dxa"/>
                  <w:vAlign w:val="center"/>
                </w:tcPr>
                <w:p>
                  <w:pPr>
                    <w:widowControl/>
                    <w:spacing w:line="240" w:lineRule="exact"/>
                    <w:jc w:val="center"/>
                    <w:rPr>
                      <w:rFonts w:eastAsia="附件"/>
                      <w:szCs w:val="21"/>
                    </w:rPr>
                  </w:pPr>
                  <w:r>
                    <w:rPr>
                      <w:szCs w:val="21"/>
                    </w:rPr>
                    <w:t>四氯化碳</w:t>
                  </w:r>
                </w:p>
              </w:tc>
              <w:tc>
                <w:tcPr>
                  <w:tcW w:w="2550" w:type="dxa"/>
                </w:tcPr>
                <w:p>
                  <w:pPr>
                    <w:jc w:val="center"/>
                    <w:rPr>
                      <w:szCs w:val="21"/>
                    </w:rPr>
                  </w:pPr>
                  <w:r>
                    <w:rPr>
                      <w:rFonts w:hint="eastAsia" w:eastAsia="附件"/>
                      <w:kern w:val="0"/>
                      <w:szCs w:val="21"/>
                    </w:rPr>
                    <w:t>ND</w:t>
                  </w:r>
                </w:p>
              </w:tc>
              <w:tc>
                <w:tcPr>
                  <w:tcW w:w="993" w:type="dxa"/>
                  <w:vAlign w:val="center"/>
                </w:tcPr>
                <w:p>
                  <w:pPr>
                    <w:widowControl/>
                    <w:adjustRightInd w:val="0"/>
                    <w:snapToGrid w:val="0"/>
                    <w:spacing w:line="240" w:lineRule="exact"/>
                    <w:jc w:val="center"/>
                    <w:textAlignment w:val="center"/>
                    <w:rPr>
                      <w:rFonts w:eastAsia="附件"/>
                      <w:kern w:val="0"/>
                      <w:szCs w:val="21"/>
                    </w:rPr>
                  </w:pPr>
                  <w:r>
                    <w:rPr>
                      <w:rFonts w:eastAsia="附件"/>
                      <w:kern w:val="0"/>
                      <w:szCs w:val="21"/>
                    </w:rPr>
                    <w:t>0.9（9）</w:t>
                  </w:r>
                </w:p>
              </w:tc>
              <w:tc>
                <w:tcPr>
                  <w:tcW w:w="2410" w:type="dxa"/>
                  <w:vAlign w:val="center"/>
                </w:tcPr>
                <w:p>
                  <w:pPr>
                    <w:jc w:val="center"/>
                    <w:rPr>
                      <w:szCs w:val="21"/>
                    </w:rPr>
                  </w:pPr>
                  <w:r>
                    <w:rPr>
                      <w:rFonts w:eastAsia="附件"/>
                      <w:kern w:val="0"/>
                      <w:szCs w:val="21"/>
                    </w:rPr>
                    <w:t>/</w:t>
                  </w:r>
                </w:p>
              </w:tc>
              <w:tc>
                <w:tcPr>
                  <w:tcW w:w="520" w:type="dxa"/>
                  <w:vAlign w:val="center"/>
                </w:tcPr>
                <w:p>
                  <w:pPr>
                    <w:widowControl/>
                    <w:adjustRightInd w:val="0"/>
                    <w:snapToGrid w:val="0"/>
                    <w:spacing w:line="240" w:lineRule="exact"/>
                    <w:jc w:val="center"/>
                    <w:textAlignment w:val="center"/>
                    <w:rPr>
                      <w:rFonts w:eastAsia="附件"/>
                      <w:kern w:val="0"/>
                      <w:szCs w:val="21"/>
                    </w:rPr>
                  </w:pPr>
                  <w:r>
                    <w:rPr>
                      <w:rFonts w:eastAsia="附件"/>
                      <w:kern w:val="0"/>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523" w:type="dxa"/>
                  <w:vAlign w:val="center"/>
                </w:tcPr>
                <w:p>
                  <w:pPr>
                    <w:adjustRightInd w:val="0"/>
                    <w:snapToGrid w:val="0"/>
                    <w:spacing w:line="240" w:lineRule="exact"/>
                    <w:jc w:val="center"/>
                    <w:rPr>
                      <w:rFonts w:eastAsia="附件"/>
                      <w:kern w:val="0"/>
                      <w:szCs w:val="21"/>
                    </w:rPr>
                  </w:pPr>
                  <w:r>
                    <w:rPr>
                      <w:rFonts w:eastAsia="附件"/>
                      <w:kern w:val="0"/>
                      <w:szCs w:val="21"/>
                    </w:rPr>
                    <w:t>20</w:t>
                  </w:r>
                </w:p>
              </w:tc>
              <w:tc>
                <w:tcPr>
                  <w:tcW w:w="1000" w:type="dxa"/>
                  <w:vAlign w:val="center"/>
                </w:tcPr>
                <w:p>
                  <w:pPr>
                    <w:widowControl/>
                    <w:spacing w:line="240" w:lineRule="exact"/>
                    <w:jc w:val="center"/>
                    <w:rPr>
                      <w:rFonts w:eastAsia="附件"/>
                      <w:szCs w:val="21"/>
                    </w:rPr>
                  </w:pPr>
                  <w:r>
                    <w:rPr>
                      <w:szCs w:val="21"/>
                    </w:rPr>
                    <w:t>苯</w:t>
                  </w:r>
                </w:p>
              </w:tc>
              <w:tc>
                <w:tcPr>
                  <w:tcW w:w="2550" w:type="dxa"/>
                </w:tcPr>
                <w:p>
                  <w:pPr>
                    <w:jc w:val="center"/>
                    <w:rPr>
                      <w:szCs w:val="21"/>
                    </w:rPr>
                  </w:pPr>
                  <w:r>
                    <w:rPr>
                      <w:rFonts w:hint="eastAsia" w:eastAsia="附件"/>
                      <w:kern w:val="0"/>
                      <w:szCs w:val="21"/>
                    </w:rPr>
                    <w:t>ND</w:t>
                  </w:r>
                </w:p>
              </w:tc>
              <w:tc>
                <w:tcPr>
                  <w:tcW w:w="993" w:type="dxa"/>
                  <w:vAlign w:val="center"/>
                </w:tcPr>
                <w:p>
                  <w:pPr>
                    <w:widowControl/>
                    <w:adjustRightInd w:val="0"/>
                    <w:snapToGrid w:val="0"/>
                    <w:spacing w:line="240" w:lineRule="exact"/>
                    <w:jc w:val="center"/>
                    <w:textAlignment w:val="center"/>
                    <w:rPr>
                      <w:rFonts w:eastAsia="附件"/>
                      <w:kern w:val="0"/>
                      <w:szCs w:val="21"/>
                    </w:rPr>
                  </w:pPr>
                  <w:r>
                    <w:rPr>
                      <w:rFonts w:eastAsia="附件"/>
                      <w:kern w:val="0"/>
                      <w:szCs w:val="21"/>
                    </w:rPr>
                    <w:t>1（10）</w:t>
                  </w:r>
                </w:p>
              </w:tc>
              <w:tc>
                <w:tcPr>
                  <w:tcW w:w="2410" w:type="dxa"/>
                  <w:vAlign w:val="center"/>
                </w:tcPr>
                <w:p>
                  <w:pPr>
                    <w:jc w:val="center"/>
                    <w:rPr>
                      <w:szCs w:val="21"/>
                    </w:rPr>
                  </w:pPr>
                  <w:r>
                    <w:rPr>
                      <w:rFonts w:eastAsia="附件"/>
                      <w:kern w:val="0"/>
                      <w:szCs w:val="21"/>
                    </w:rPr>
                    <w:t>/</w:t>
                  </w:r>
                </w:p>
              </w:tc>
              <w:tc>
                <w:tcPr>
                  <w:tcW w:w="520" w:type="dxa"/>
                  <w:vAlign w:val="center"/>
                </w:tcPr>
                <w:p>
                  <w:pPr>
                    <w:widowControl/>
                    <w:adjustRightInd w:val="0"/>
                    <w:snapToGrid w:val="0"/>
                    <w:spacing w:line="240" w:lineRule="exact"/>
                    <w:jc w:val="center"/>
                    <w:textAlignment w:val="center"/>
                    <w:rPr>
                      <w:rFonts w:eastAsia="附件"/>
                      <w:kern w:val="0"/>
                      <w:szCs w:val="21"/>
                    </w:rPr>
                  </w:pPr>
                  <w:r>
                    <w:rPr>
                      <w:rFonts w:eastAsia="附件"/>
                      <w:kern w:val="0"/>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523" w:type="dxa"/>
                  <w:vAlign w:val="center"/>
                </w:tcPr>
                <w:p>
                  <w:pPr>
                    <w:adjustRightInd w:val="0"/>
                    <w:snapToGrid w:val="0"/>
                    <w:spacing w:line="240" w:lineRule="exact"/>
                    <w:jc w:val="center"/>
                    <w:rPr>
                      <w:rFonts w:eastAsia="附件"/>
                      <w:kern w:val="0"/>
                      <w:szCs w:val="21"/>
                    </w:rPr>
                  </w:pPr>
                  <w:r>
                    <w:rPr>
                      <w:rFonts w:eastAsia="附件"/>
                      <w:kern w:val="0"/>
                      <w:szCs w:val="21"/>
                    </w:rPr>
                    <w:t>21</w:t>
                  </w:r>
                </w:p>
              </w:tc>
              <w:tc>
                <w:tcPr>
                  <w:tcW w:w="1000" w:type="dxa"/>
                  <w:vAlign w:val="center"/>
                </w:tcPr>
                <w:p>
                  <w:pPr>
                    <w:widowControl/>
                    <w:spacing w:line="240" w:lineRule="exact"/>
                    <w:jc w:val="center"/>
                    <w:rPr>
                      <w:rFonts w:eastAsia="附件"/>
                      <w:szCs w:val="21"/>
                    </w:rPr>
                  </w:pPr>
                  <w:r>
                    <w:rPr>
                      <w:szCs w:val="21"/>
                    </w:rPr>
                    <w:t>1,2-二氯乙烷</w:t>
                  </w:r>
                </w:p>
              </w:tc>
              <w:tc>
                <w:tcPr>
                  <w:tcW w:w="2550" w:type="dxa"/>
                </w:tcPr>
                <w:p>
                  <w:pPr>
                    <w:jc w:val="center"/>
                    <w:rPr>
                      <w:szCs w:val="21"/>
                    </w:rPr>
                  </w:pPr>
                  <w:r>
                    <w:rPr>
                      <w:rFonts w:hint="eastAsia" w:eastAsia="附件"/>
                      <w:kern w:val="0"/>
                      <w:szCs w:val="21"/>
                    </w:rPr>
                    <w:t>ND</w:t>
                  </w:r>
                </w:p>
              </w:tc>
              <w:tc>
                <w:tcPr>
                  <w:tcW w:w="993" w:type="dxa"/>
                  <w:vAlign w:val="center"/>
                </w:tcPr>
                <w:p>
                  <w:pPr>
                    <w:widowControl/>
                    <w:adjustRightInd w:val="0"/>
                    <w:snapToGrid w:val="0"/>
                    <w:spacing w:line="240" w:lineRule="exact"/>
                    <w:jc w:val="center"/>
                    <w:textAlignment w:val="center"/>
                    <w:rPr>
                      <w:rFonts w:eastAsia="附件"/>
                      <w:kern w:val="0"/>
                      <w:szCs w:val="21"/>
                    </w:rPr>
                  </w:pPr>
                  <w:r>
                    <w:rPr>
                      <w:rFonts w:eastAsia="附件"/>
                      <w:kern w:val="0"/>
                      <w:szCs w:val="21"/>
                    </w:rPr>
                    <w:t>0.52（6）</w:t>
                  </w:r>
                </w:p>
              </w:tc>
              <w:tc>
                <w:tcPr>
                  <w:tcW w:w="2410" w:type="dxa"/>
                  <w:vAlign w:val="center"/>
                </w:tcPr>
                <w:p>
                  <w:pPr>
                    <w:jc w:val="center"/>
                    <w:rPr>
                      <w:szCs w:val="21"/>
                    </w:rPr>
                  </w:pPr>
                  <w:r>
                    <w:rPr>
                      <w:rFonts w:eastAsia="附件"/>
                      <w:kern w:val="0"/>
                      <w:szCs w:val="21"/>
                    </w:rPr>
                    <w:t>/</w:t>
                  </w:r>
                </w:p>
              </w:tc>
              <w:tc>
                <w:tcPr>
                  <w:tcW w:w="520" w:type="dxa"/>
                  <w:vAlign w:val="center"/>
                </w:tcPr>
                <w:p>
                  <w:pPr>
                    <w:widowControl/>
                    <w:adjustRightInd w:val="0"/>
                    <w:snapToGrid w:val="0"/>
                    <w:spacing w:line="240" w:lineRule="exact"/>
                    <w:jc w:val="center"/>
                    <w:textAlignment w:val="center"/>
                    <w:rPr>
                      <w:rFonts w:eastAsia="附件"/>
                      <w:kern w:val="0"/>
                      <w:szCs w:val="21"/>
                    </w:rPr>
                  </w:pPr>
                  <w:r>
                    <w:rPr>
                      <w:rFonts w:eastAsia="附件"/>
                      <w:kern w:val="0"/>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523" w:type="dxa"/>
                  <w:vAlign w:val="center"/>
                </w:tcPr>
                <w:p>
                  <w:pPr>
                    <w:adjustRightInd w:val="0"/>
                    <w:snapToGrid w:val="0"/>
                    <w:spacing w:line="240" w:lineRule="exact"/>
                    <w:jc w:val="center"/>
                    <w:rPr>
                      <w:rFonts w:eastAsia="附件"/>
                      <w:kern w:val="0"/>
                      <w:szCs w:val="21"/>
                    </w:rPr>
                  </w:pPr>
                  <w:r>
                    <w:rPr>
                      <w:rFonts w:eastAsia="附件"/>
                      <w:kern w:val="0"/>
                      <w:szCs w:val="21"/>
                    </w:rPr>
                    <w:t>22</w:t>
                  </w:r>
                </w:p>
              </w:tc>
              <w:tc>
                <w:tcPr>
                  <w:tcW w:w="1000" w:type="dxa"/>
                  <w:vAlign w:val="center"/>
                </w:tcPr>
                <w:p>
                  <w:pPr>
                    <w:widowControl/>
                    <w:spacing w:line="240" w:lineRule="exact"/>
                    <w:jc w:val="center"/>
                    <w:rPr>
                      <w:rFonts w:eastAsia="附件"/>
                      <w:szCs w:val="21"/>
                    </w:rPr>
                  </w:pPr>
                  <w:r>
                    <w:rPr>
                      <w:szCs w:val="21"/>
                    </w:rPr>
                    <w:t>三氯乙烯</w:t>
                  </w:r>
                </w:p>
              </w:tc>
              <w:tc>
                <w:tcPr>
                  <w:tcW w:w="2550" w:type="dxa"/>
                </w:tcPr>
                <w:p>
                  <w:pPr>
                    <w:jc w:val="center"/>
                    <w:rPr>
                      <w:szCs w:val="21"/>
                    </w:rPr>
                  </w:pPr>
                  <w:r>
                    <w:rPr>
                      <w:rFonts w:hint="eastAsia" w:eastAsia="附件"/>
                      <w:kern w:val="0"/>
                      <w:szCs w:val="21"/>
                    </w:rPr>
                    <w:t>ND</w:t>
                  </w:r>
                </w:p>
              </w:tc>
              <w:tc>
                <w:tcPr>
                  <w:tcW w:w="993" w:type="dxa"/>
                  <w:vAlign w:val="center"/>
                </w:tcPr>
                <w:p>
                  <w:pPr>
                    <w:widowControl/>
                    <w:adjustRightInd w:val="0"/>
                    <w:snapToGrid w:val="0"/>
                    <w:spacing w:line="240" w:lineRule="exact"/>
                    <w:jc w:val="center"/>
                    <w:textAlignment w:val="center"/>
                    <w:rPr>
                      <w:rFonts w:eastAsia="附件"/>
                      <w:kern w:val="0"/>
                      <w:szCs w:val="21"/>
                    </w:rPr>
                  </w:pPr>
                  <w:r>
                    <w:rPr>
                      <w:rFonts w:eastAsia="附件"/>
                      <w:kern w:val="0"/>
                      <w:szCs w:val="21"/>
                    </w:rPr>
                    <w:t>0.7（7）</w:t>
                  </w:r>
                </w:p>
              </w:tc>
              <w:tc>
                <w:tcPr>
                  <w:tcW w:w="2410" w:type="dxa"/>
                  <w:vAlign w:val="center"/>
                </w:tcPr>
                <w:p>
                  <w:pPr>
                    <w:jc w:val="center"/>
                    <w:rPr>
                      <w:szCs w:val="21"/>
                    </w:rPr>
                  </w:pPr>
                  <w:r>
                    <w:rPr>
                      <w:rFonts w:eastAsia="附件"/>
                      <w:kern w:val="0"/>
                      <w:szCs w:val="21"/>
                    </w:rPr>
                    <w:t>/</w:t>
                  </w:r>
                </w:p>
              </w:tc>
              <w:tc>
                <w:tcPr>
                  <w:tcW w:w="520" w:type="dxa"/>
                  <w:vAlign w:val="center"/>
                </w:tcPr>
                <w:p>
                  <w:pPr>
                    <w:widowControl/>
                    <w:adjustRightInd w:val="0"/>
                    <w:snapToGrid w:val="0"/>
                    <w:spacing w:line="240" w:lineRule="exact"/>
                    <w:jc w:val="center"/>
                    <w:textAlignment w:val="center"/>
                    <w:rPr>
                      <w:rFonts w:eastAsia="附件"/>
                      <w:kern w:val="0"/>
                      <w:szCs w:val="21"/>
                    </w:rPr>
                  </w:pPr>
                  <w:r>
                    <w:rPr>
                      <w:rFonts w:eastAsia="附件"/>
                      <w:kern w:val="0"/>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523" w:type="dxa"/>
                  <w:vAlign w:val="center"/>
                </w:tcPr>
                <w:p>
                  <w:pPr>
                    <w:adjustRightInd w:val="0"/>
                    <w:snapToGrid w:val="0"/>
                    <w:spacing w:line="240" w:lineRule="exact"/>
                    <w:jc w:val="center"/>
                    <w:rPr>
                      <w:rFonts w:eastAsia="附件"/>
                      <w:kern w:val="0"/>
                      <w:szCs w:val="21"/>
                    </w:rPr>
                  </w:pPr>
                  <w:r>
                    <w:rPr>
                      <w:rFonts w:eastAsia="附件"/>
                      <w:kern w:val="0"/>
                      <w:szCs w:val="21"/>
                    </w:rPr>
                    <w:t>23</w:t>
                  </w:r>
                </w:p>
              </w:tc>
              <w:tc>
                <w:tcPr>
                  <w:tcW w:w="1000" w:type="dxa"/>
                  <w:vAlign w:val="center"/>
                </w:tcPr>
                <w:p>
                  <w:pPr>
                    <w:widowControl/>
                    <w:spacing w:line="240" w:lineRule="exact"/>
                    <w:jc w:val="center"/>
                    <w:rPr>
                      <w:rFonts w:eastAsia="附件"/>
                      <w:szCs w:val="21"/>
                    </w:rPr>
                  </w:pPr>
                  <w:r>
                    <w:rPr>
                      <w:szCs w:val="21"/>
                    </w:rPr>
                    <w:t>1,2-二氯丙烷</w:t>
                  </w:r>
                </w:p>
              </w:tc>
              <w:tc>
                <w:tcPr>
                  <w:tcW w:w="2550" w:type="dxa"/>
                </w:tcPr>
                <w:p>
                  <w:pPr>
                    <w:jc w:val="center"/>
                    <w:rPr>
                      <w:szCs w:val="21"/>
                    </w:rPr>
                  </w:pPr>
                  <w:r>
                    <w:rPr>
                      <w:rFonts w:hint="eastAsia" w:eastAsia="附件"/>
                      <w:kern w:val="0"/>
                      <w:szCs w:val="21"/>
                    </w:rPr>
                    <w:t>ND</w:t>
                  </w:r>
                </w:p>
              </w:tc>
              <w:tc>
                <w:tcPr>
                  <w:tcW w:w="993" w:type="dxa"/>
                  <w:vAlign w:val="center"/>
                </w:tcPr>
                <w:p>
                  <w:pPr>
                    <w:widowControl/>
                    <w:adjustRightInd w:val="0"/>
                    <w:snapToGrid w:val="0"/>
                    <w:spacing w:line="240" w:lineRule="exact"/>
                    <w:jc w:val="center"/>
                    <w:textAlignment w:val="center"/>
                    <w:rPr>
                      <w:rFonts w:eastAsia="附件"/>
                      <w:kern w:val="0"/>
                      <w:szCs w:val="21"/>
                    </w:rPr>
                  </w:pPr>
                  <w:r>
                    <w:rPr>
                      <w:rFonts w:eastAsia="附件"/>
                      <w:kern w:val="0"/>
                      <w:szCs w:val="21"/>
                    </w:rPr>
                    <w:t>1（5）</w:t>
                  </w:r>
                </w:p>
              </w:tc>
              <w:tc>
                <w:tcPr>
                  <w:tcW w:w="2410" w:type="dxa"/>
                  <w:vAlign w:val="center"/>
                </w:tcPr>
                <w:p>
                  <w:pPr>
                    <w:jc w:val="center"/>
                    <w:rPr>
                      <w:szCs w:val="21"/>
                    </w:rPr>
                  </w:pPr>
                  <w:r>
                    <w:rPr>
                      <w:rFonts w:eastAsia="附件"/>
                      <w:kern w:val="0"/>
                      <w:szCs w:val="21"/>
                    </w:rPr>
                    <w:t>/</w:t>
                  </w:r>
                </w:p>
              </w:tc>
              <w:tc>
                <w:tcPr>
                  <w:tcW w:w="520" w:type="dxa"/>
                  <w:vAlign w:val="center"/>
                </w:tcPr>
                <w:p>
                  <w:pPr>
                    <w:widowControl/>
                    <w:adjustRightInd w:val="0"/>
                    <w:snapToGrid w:val="0"/>
                    <w:spacing w:line="240" w:lineRule="exact"/>
                    <w:jc w:val="center"/>
                    <w:textAlignment w:val="center"/>
                    <w:rPr>
                      <w:rFonts w:eastAsia="附件"/>
                      <w:kern w:val="0"/>
                      <w:szCs w:val="21"/>
                    </w:rPr>
                  </w:pPr>
                  <w:r>
                    <w:rPr>
                      <w:rFonts w:eastAsia="附件"/>
                      <w:kern w:val="0"/>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523" w:type="dxa"/>
                  <w:vAlign w:val="center"/>
                </w:tcPr>
                <w:p>
                  <w:pPr>
                    <w:adjustRightInd w:val="0"/>
                    <w:snapToGrid w:val="0"/>
                    <w:spacing w:line="240" w:lineRule="exact"/>
                    <w:jc w:val="center"/>
                    <w:rPr>
                      <w:rFonts w:eastAsia="附件"/>
                      <w:kern w:val="0"/>
                      <w:szCs w:val="21"/>
                    </w:rPr>
                  </w:pPr>
                  <w:r>
                    <w:rPr>
                      <w:rFonts w:eastAsia="附件"/>
                      <w:kern w:val="0"/>
                      <w:szCs w:val="21"/>
                    </w:rPr>
                    <w:t>24</w:t>
                  </w:r>
                </w:p>
              </w:tc>
              <w:tc>
                <w:tcPr>
                  <w:tcW w:w="1000" w:type="dxa"/>
                  <w:vAlign w:val="center"/>
                </w:tcPr>
                <w:p>
                  <w:pPr>
                    <w:widowControl/>
                    <w:spacing w:line="240" w:lineRule="exact"/>
                    <w:jc w:val="center"/>
                    <w:rPr>
                      <w:rFonts w:eastAsia="附件"/>
                      <w:szCs w:val="21"/>
                    </w:rPr>
                  </w:pPr>
                  <w:r>
                    <w:rPr>
                      <w:szCs w:val="21"/>
                    </w:rPr>
                    <w:t>甲苯</w:t>
                  </w:r>
                </w:p>
              </w:tc>
              <w:tc>
                <w:tcPr>
                  <w:tcW w:w="2550" w:type="dxa"/>
                </w:tcPr>
                <w:p>
                  <w:pPr>
                    <w:jc w:val="center"/>
                    <w:rPr>
                      <w:szCs w:val="21"/>
                    </w:rPr>
                  </w:pPr>
                  <w:r>
                    <w:rPr>
                      <w:rFonts w:hint="eastAsia" w:eastAsia="附件"/>
                      <w:kern w:val="0"/>
                      <w:szCs w:val="21"/>
                    </w:rPr>
                    <w:t>ND</w:t>
                  </w:r>
                </w:p>
              </w:tc>
              <w:tc>
                <w:tcPr>
                  <w:tcW w:w="993" w:type="dxa"/>
                  <w:vAlign w:val="center"/>
                </w:tcPr>
                <w:p>
                  <w:pPr>
                    <w:widowControl/>
                    <w:adjustRightInd w:val="0"/>
                    <w:snapToGrid w:val="0"/>
                    <w:spacing w:line="240" w:lineRule="exact"/>
                    <w:jc w:val="center"/>
                    <w:textAlignment w:val="center"/>
                    <w:rPr>
                      <w:rFonts w:eastAsia="附件"/>
                      <w:kern w:val="0"/>
                      <w:szCs w:val="21"/>
                    </w:rPr>
                  </w:pPr>
                  <w:r>
                    <w:rPr>
                      <w:rFonts w:eastAsia="附件"/>
                      <w:kern w:val="0"/>
                      <w:szCs w:val="21"/>
                    </w:rPr>
                    <w:t>1200（1200）</w:t>
                  </w:r>
                </w:p>
              </w:tc>
              <w:tc>
                <w:tcPr>
                  <w:tcW w:w="2410" w:type="dxa"/>
                  <w:vAlign w:val="center"/>
                </w:tcPr>
                <w:p>
                  <w:pPr>
                    <w:jc w:val="center"/>
                    <w:rPr>
                      <w:szCs w:val="21"/>
                    </w:rPr>
                  </w:pPr>
                  <w:r>
                    <w:rPr>
                      <w:rFonts w:eastAsia="附件"/>
                      <w:kern w:val="0"/>
                      <w:szCs w:val="21"/>
                    </w:rPr>
                    <w:t>/</w:t>
                  </w:r>
                </w:p>
              </w:tc>
              <w:tc>
                <w:tcPr>
                  <w:tcW w:w="520" w:type="dxa"/>
                  <w:vAlign w:val="center"/>
                </w:tcPr>
                <w:p>
                  <w:pPr>
                    <w:widowControl/>
                    <w:adjustRightInd w:val="0"/>
                    <w:snapToGrid w:val="0"/>
                    <w:spacing w:line="240" w:lineRule="exact"/>
                    <w:jc w:val="center"/>
                    <w:textAlignment w:val="center"/>
                    <w:rPr>
                      <w:rFonts w:eastAsia="附件"/>
                      <w:kern w:val="0"/>
                      <w:szCs w:val="21"/>
                    </w:rPr>
                  </w:pPr>
                  <w:r>
                    <w:rPr>
                      <w:rFonts w:eastAsia="附件"/>
                      <w:kern w:val="0"/>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523" w:type="dxa"/>
                  <w:vAlign w:val="center"/>
                </w:tcPr>
                <w:p>
                  <w:pPr>
                    <w:adjustRightInd w:val="0"/>
                    <w:snapToGrid w:val="0"/>
                    <w:spacing w:line="240" w:lineRule="exact"/>
                    <w:jc w:val="center"/>
                    <w:rPr>
                      <w:rFonts w:eastAsia="附件"/>
                      <w:kern w:val="0"/>
                      <w:szCs w:val="21"/>
                    </w:rPr>
                  </w:pPr>
                  <w:r>
                    <w:rPr>
                      <w:rFonts w:eastAsia="附件"/>
                      <w:kern w:val="0"/>
                      <w:szCs w:val="21"/>
                    </w:rPr>
                    <w:t>25</w:t>
                  </w:r>
                </w:p>
              </w:tc>
              <w:tc>
                <w:tcPr>
                  <w:tcW w:w="1000" w:type="dxa"/>
                  <w:vAlign w:val="center"/>
                </w:tcPr>
                <w:p>
                  <w:pPr>
                    <w:widowControl/>
                    <w:spacing w:line="240" w:lineRule="exact"/>
                    <w:jc w:val="center"/>
                    <w:rPr>
                      <w:rFonts w:eastAsia="附件"/>
                      <w:szCs w:val="21"/>
                    </w:rPr>
                  </w:pPr>
                  <w:r>
                    <w:rPr>
                      <w:szCs w:val="21"/>
                    </w:rPr>
                    <w:t>1,1,2-三氯乙烷</w:t>
                  </w:r>
                </w:p>
              </w:tc>
              <w:tc>
                <w:tcPr>
                  <w:tcW w:w="2550" w:type="dxa"/>
                </w:tcPr>
                <w:p>
                  <w:pPr>
                    <w:jc w:val="center"/>
                    <w:rPr>
                      <w:szCs w:val="21"/>
                    </w:rPr>
                  </w:pPr>
                  <w:r>
                    <w:rPr>
                      <w:rFonts w:hint="eastAsia" w:eastAsia="附件"/>
                      <w:kern w:val="0"/>
                      <w:szCs w:val="21"/>
                    </w:rPr>
                    <w:t>ND</w:t>
                  </w:r>
                </w:p>
              </w:tc>
              <w:tc>
                <w:tcPr>
                  <w:tcW w:w="993" w:type="dxa"/>
                  <w:vAlign w:val="center"/>
                </w:tcPr>
                <w:p>
                  <w:pPr>
                    <w:widowControl/>
                    <w:adjustRightInd w:val="0"/>
                    <w:snapToGrid w:val="0"/>
                    <w:spacing w:line="240" w:lineRule="exact"/>
                    <w:jc w:val="center"/>
                    <w:textAlignment w:val="center"/>
                    <w:rPr>
                      <w:rFonts w:eastAsia="附件"/>
                      <w:kern w:val="0"/>
                      <w:szCs w:val="21"/>
                    </w:rPr>
                  </w:pPr>
                  <w:r>
                    <w:rPr>
                      <w:rFonts w:eastAsia="附件"/>
                      <w:kern w:val="0"/>
                      <w:szCs w:val="21"/>
                    </w:rPr>
                    <w:t>0.6（5）</w:t>
                  </w:r>
                </w:p>
              </w:tc>
              <w:tc>
                <w:tcPr>
                  <w:tcW w:w="2410" w:type="dxa"/>
                  <w:vAlign w:val="center"/>
                </w:tcPr>
                <w:p>
                  <w:pPr>
                    <w:jc w:val="center"/>
                    <w:rPr>
                      <w:szCs w:val="21"/>
                    </w:rPr>
                  </w:pPr>
                  <w:r>
                    <w:rPr>
                      <w:rFonts w:eastAsia="附件"/>
                      <w:kern w:val="0"/>
                      <w:szCs w:val="21"/>
                    </w:rPr>
                    <w:t>/</w:t>
                  </w:r>
                </w:p>
              </w:tc>
              <w:tc>
                <w:tcPr>
                  <w:tcW w:w="520" w:type="dxa"/>
                  <w:vAlign w:val="center"/>
                </w:tcPr>
                <w:p>
                  <w:pPr>
                    <w:widowControl/>
                    <w:adjustRightInd w:val="0"/>
                    <w:snapToGrid w:val="0"/>
                    <w:spacing w:line="240" w:lineRule="exact"/>
                    <w:jc w:val="center"/>
                    <w:textAlignment w:val="center"/>
                    <w:rPr>
                      <w:rFonts w:eastAsia="附件"/>
                      <w:kern w:val="0"/>
                      <w:szCs w:val="21"/>
                    </w:rPr>
                  </w:pPr>
                  <w:r>
                    <w:rPr>
                      <w:rFonts w:eastAsia="附件"/>
                      <w:kern w:val="0"/>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523" w:type="dxa"/>
                  <w:vAlign w:val="center"/>
                </w:tcPr>
                <w:p>
                  <w:pPr>
                    <w:adjustRightInd w:val="0"/>
                    <w:snapToGrid w:val="0"/>
                    <w:spacing w:line="240" w:lineRule="exact"/>
                    <w:jc w:val="center"/>
                    <w:rPr>
                      <w:rFonts w:eastAsia="附件"/>
                      <w:kern w:val="0"/>
                      <w:szCs w:val="21"/>
                    </w:rPr>
                  </w:pPr>
                  <w:r>
                    <w:rPr>
                      <w:rFonts w:eastAsia="附件"/>
                      <w:kern w:val="0"/>
                      <w:szCs w:val="21"/>
                    </w:rPr>
                    <w:t>26</w:t>
                  </w:r>
                </w:p>
              </w:tc>
              <w:tc>
                <w:tcPr>
                  <w:tcW w:w="1000" w:type="dxa"/>
                  <w:vAlign w:val="center"/>
                </w:tcPr>
                <w:p>
                  <w:pPr>
                    <w:widowControl/>
                    <w:spacing w:line="240" w:lineRule="exact"/>
                    <w:jc w:val="center"/>
                    <w:rPr>
                      <w:rFonts w:eastAsia="附件"/>
                      <w:szCs w:val="21"/>
                    </w:rPr>
                  </w:pPr>
                  <w:r>
                    <w:rPr>
                      <w:szCs w:val="21"/>
                    </w:rPr>
                    <w:t>四氯乙烯</w:t>
                  </w:r>
                </w:p>
              </w:tc>
              <w:tc>
                <w:tcPr>
                  <w:tcW w:w="2550" w:type="dxa"/>
                </w:tcPr>
                <w:p>
                  <w:pPr>
                    <w:jc w:val="center"/>
                    <w:rPr>
                      <w:szCs w:val="21"/>
                    </w:rPr>
                  </w:pPr>
                  <w:r>
                    <w:rPr>
                      <w:rFonts w:hint="eastAsia" w:eastAsia="附件"/>
                      <w:kern w:val="0"/>
                      <w:szCs w:val="21"/>
                    </w:rPr>
                    <w:t>ND</w:t>
                  </w:r>
                </w:p>
              </w:tc>
              <w:tc>
                <w:tcPr>
                  <w:tcW w:w="993" w:type="dxa"/>
                  <w:vAlign w:val="center"/>
                </w:tcPr>
                <w:p>
                  <w:pPr>
                    <w:widowControl/>
                    <w:adjustRightInd w:val="0"/>
                    <w:snapToGrid w:val="0"/>
                    <w:spacing w:line="240" w:lineRule="exact"/>
                    <w:jc w:val="center"/>
                    <w:textAlignment w:val="center"/>
                    <w:rPr>
                      <w:rFonts w:eastAsia="附件"/>
                      <w:kern w:val="0"/>
                      <w:szCs w:val="21"/>
                    </w:rPr>
                  </w:pPr>
                  <w:r>
                    <w:rPr>
                      <w:rFonts w:eastAsia="附件"/>
                      <w:kern w:val="0"/>
                      <w:szCs w:val="21"/>
                    </w:rPr>
                    <w:t>11（34）</w:t>
                  </w:r>
                </w:p>
              </w:tc>
              <w:tc>
                <w:tcPr>
                  <w:tcW w:w="2410" w:type="dxa"/>
                  <w:vAlign w:val="center"/>
                </w:tcPr>
                <w:p>
                  <w:pPr>
                    <w:jc w:val="center"/>
                    <w:rPr>
                      <w:szCs w:val="21"/>
                    </w:rPr>
                  </w:pPr>
                  <w:r>
                    <w:rPr>
                      <w:rFonts w:eastAsia="附件"/>
                      <w:kern w:val="0"/>
                      <w:szCs w:val="21"/>
                    </w:rPr>
                    <w:t>/</w:t>
                  </w:r>
                </w:p>
              </w:tc>
              <w:tc>
                <w:tcPr>
                  <w:tcW w:w="520" w:type="dxa"/>
                  <w:vAlign w:val="center"/>
                </w:tcPr>
                <w:p>
                  <w:pPr>
                    <w:widowControl/>
                    <w:adjustRightInd w:val="0"/>
                    <w:snapToGrid w:val="0"/>
                    <w:spacing w:line="240" w:lineRule="exact"/>
                    <w:jc w:val="center"/>
                    <w:textAlignment w:val="center"/>
                    <w:rPr>
                      <w:rFonts w:eastAsia="附件"/>
                      <w:kern w:val="0"/>
                      <w:szCs w:val="21"/>
                    </w:rPr>
                  </w:pPr>
                  <w:r>
                    <w:rPr>
                      <w:rFonts w:eastAsia="附件"/>
                      <w:kern w:val="0"/>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523" w:type="dxa"/>
                  <w:vAlign w:val="center"/>
                </w:tcPr>
                <w:p>
                  <w:pPr>
                    <w:adjustRightInd w:val="0"/>
                    <w:snapToGrid w:val="0"/>
                    <w:spacing w:line="240" w:lineRule="exact"/>
                    <w:jc w:val="center"/>
                    <w:rPr>
                      <w:rFonts w:eastAsia="附件"/>
                      <w:kern w:val="0"/>
                      <w:szCs w:val="21"/>
                    </w:rPr>
                  </w:pPr>
                  <w:r>
                    <w:rPr>
                      <w:rFonts w:eastAsia="附件"/>
                      <w:kern w:val="0"/>
                      <w:szCs w:val="21"/>
                    </w:rPr>
                    <w:t>27</w:t>
                  </w:r>
                </w:p>
              </w:tc>
              <w:tc>
                <w:tcPr>
                  <w:tcW w:w="1000" w:type="dxa"/>
                  <w:vAlign w:val="center"/>
                </w:tcPr>
                <w:p>
                  <w:pPr>
                    <w:widowControl/>
                    <w:spacing w:line="240" w:lineRule="exact"/>
                    <w:jc w:val="center"/>
                    <w:rPr>
                      <w:rFonts w:eastAsia="附件"/>
                      <w:szCs w:val="21"/>
                    </w:rPr>
                  </w:pPr>
                  <w:r>
                    <w:rPr>
                      <w:szCs w:val="21"/>
                    </w:rPr>
                    <w:t>氯苯</w:t>
                  </w:r>
                </w:p>
              </w:tc>
              <w:tc>
                <w:tcPr>
                  <w:tcW w:w="2550" w:type="dxa"/>
                </w:tcPr>
                <w:p>
                  <w:pPr>
                    <w:jc w:val="center"/>
                    <w:rPr>
                      <w:szCs w:val="21"/>
                    </w:rPr>
                  </w:pPr>
                  <w:r>
                    <w:rPr>
                      <w:rFonts w:hint="eastAsia" w:eastAsia="附件"/>
                      <w:kern w:val="0"/>
                      <w:szCs w:val="21"/>
                    </w:rPr>
                    <w:t>ND</w:t>
                  </w:r>
                </w:p>
              </w:tc>
              <w:tc>
                <w:tcPr>
                  <w:tcW w:w="993" w:type="dxa"/>
                  <w:vAlign w:val="center"/>
                </w:tcPr>
                <w:p>
                  <w:pPr>
                    <w:widowControl/>
                    <w:adjustRightInd w:val="0"/>
                    <w:snapToGrid w:val="0"/>
                    <w:spacing w:line="240" w:lineRule="exact"/>
                    <w:jc w:val="center"/>
                    <w:textAlignment w:val="center"/>
                    <w:rPr>
                      <w:rFonts w:eastAsia="附件"/>
                      <w:kern w:val="0"/>
                      <w:szCs w:val="21"/>
                    </w:rPr>
                  </w:pPr>
                  <w:r>
                    <w:rPr>
                      <w:rFonts w:eastAsia="附件"/>
                      <w:kern w:val="0"/>
                      <w:szCs w:val="21"/>
                    </w:rPr>
                    <w:t>68（200）</w:t>
                  </w:r>
                </w:p>
              </w:tc>
              <w:tc>
                <w:tcPr>
                  <w:tcW w:w="2410" w:type="dxa"/>
                  <w:vAlign w:val="center"/>
                </w:tcPr>
                <w:p>
                  <w:pPr>
                    <w:jc w:val="center"/>
                    <w:rPr>
                      <w:szCs w:val="21"/>
                    </w:rPr>
                  </w:pPr>
                </w:p>
              </w:tc>
              <w:tc>
                <w:tcPr>
                  <w:tcW w:w="520" w:type="dxa"/>
                  <w:vAlign w:val="center"/>
                </w:tcPr>
                <w:p>
                  <w:pPr>
                    <w:widowControl/>
                    <w:adjustRightInd w:val="0"/>
                    <w:snapToGrid w:val="0"/>
                    <w:spacing w:line="240" w:lineRule="exact"/>
                    <w:jc w:val="center"/>
                    <w:textAlignment w:val="center"/>
                    <w:rPr>
                      <w:rFonts w:eastAsia="附件"/>
                      <w:kern w:val="0"/>
                      <w:szCs w:val="21"/>
                    </w:rPr>
                  </w:pPr>
                  <w:r>
                    <w:rPr>
                      <w:rFonts w:eastAsia="附件"/>
                      <w:kern w:val="0"/>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523" w:type="dxa"/>
                  <w:vAlign w:val="center"/>
                </w:tcPr>
                <w:p>
                  <w:pPr>
                    <w:adjustRightInd w:val="0"/>
                    <w:snapToGrid w:val="0"/>
                    <w:spacing w:line="240" w:lineRule="exact"/>
                    <w:jc w:val="center"/>
                    <w:rPr>
                      <w:rFonts w:eastAsia="附件"/>
                      <w:kern w:val="0"/>
                      <w:szCs w:val="21"/>
                    </w:rPr>
                  </w:pPr>
                  <w:r>
                    <w:rPr>
                      <w:rFonts w:eastAsia="附件"/>
                      <w:kern w:val="0"/>
                      <w:szCs w:val="21"/>
                    </w:rPr>
                    <w:t>28</w:t>
                  </w:r>
                </w:p>
              </w:tc>
              <w:tc>
                <w:tcPr>
                  <w:tcW w:w="1000" w:type="dxa"/>
                  <w:vAlign w:val="center"/>
                </w:tcPr>
                <w:p>
                  <w:pPr>
                    <w:widowControl/>
                    <w:spacing w:line="240" w:lineRule="exact"/>
                    <w:jc w:val="center"/>
                    <w:rPr>
                      <w:rFonts w:eastAsia="附件"/>
                      <w:szCs w:val="21"/>
                    </w:rPr>
                  </w:pPr>
                  <w:r>
                    <w:rPr>
                      <w:szCs w:val="21"/>
                    </w:rPr>
                    <w:t>乙苯</w:t>
                  </w:r>
                </w:p>
              </w:tc>
              <w:tc>
                <w:tcPr>
                  <w:tcW w:w="2550" w:type="dxa"/>
                </w:tcPr>
                <w:p>
                  <w:pPr>
                    <w:jc w:val="center"/>
                    <w:rPr>
                      <w:szCs w:val="21"/>
                    </w:rPr>
                  </w:pPr>
                  <w:r>
                    <w:rPr>
                      <w:rFonts w:hint="eastAsia" w:eastAsia="附件"/>
                      <w:kern w:val="0"/>
                      <w:szCs w:val="21"/>
                    </w:rPr>
                    <w:t>ND</w:t>
                  </w:r>
                </w:p>
              </w:tc>
              <w:tc>
                <w:tcPr>
                  <w:tcW w:w="993" w:type="dxa"/>
                  <w:vAlign w:val="center"/>
                </w:tcPr>
                <w:p>
                  <w:pPr>
                    <w:widowControl/>
                    <w:adjustRightInd w:val="0"/>
                    <w:snapToGrid w:val="0"/>
                    <w:spacing w:line="240" w:lineRule="exact"/>
                    <w:jc w:val="center"/>
                    <w:textAlignment w:val="center"/>
                    <w:rPr>
                      <w:rFonts w:eastAsia="附件"/>
                      <w:kern w:val="0"/>
                      <w:szCs w:val="21"/>
                    </w:rPr>
                  </w:pPr>
                  <w:r>
                    <w:rPr>
                      <w:rFonts w:eastAsia="附件"/>
                      <w:kern w:val="0"/>
                      <w:szCs w:val="21"/>
                    </w:rPr>
                    <w:t>7.2（72）</w:t>
                  </w:r>
                </w:p>
              </w:tc>
              <w:tc>
                <w:tcPr>
                  <w:tcW w:w="2410" w:type="dxa"/>
                  <w:vAlign w:val="center"/>
                </w:tcPr>
                <w:p>
                  <w:pPr>
                    <w:jc w:val="center"/>
                    <w:rPr>
                      <w:szCs w:val="21"/>
                    </w:rPr>
                  </w:pPr>
                  <w:r>
                    <w:rPr>
                      <w:rFonts w:eastAsia="附件"/>
                      <w:kern w:val="0"/>
                      <w:szCs w:val="21"/>
                    </w:rPr>
                    <w:t>/</w:t>
                  </w:r>
                </w:p>
              </w:tc>
              <w:tc>
                <w:tcPr>
                  <w:tcW w:w="520" w:type="dxa"/>
                  <w:vAlign w:val="center"/>
                </w:tcPr>
                <w:p>
                  <w:pPr>
                    <w:widowControl/>
                    <w:adjustRightInd w:val="0"/>
                    <w:snapToGrid w:val="0"/>
                    <w:spacing w:line="240" w:lineRule="exact"/>
                    <w:jc w:val="center"/>
                    <w:textAlignment w:val="center"/>
                    <w:rPr>
                      <w:rFonts w:eastAsia="附件"/>
                      <w:kern w:val="0"/>
                      <w:szCs w:val="21"/>
                    </w:rPr>
                  </w:pPr>
                  <w:r>
                    <w:rPr>
                      <w:rFonts w:eastAsia="附件"/>
                      <w:kern w:val="0"/>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523" w:type="dxa"/>
                  <w:vAlign w:val="center"/>
                </w:tcPr>
                <w:p>
                  <w:pPr>
                    <w:adjustRightInd w:val="0"/>
                    <w:snapToGrid w:val="0"/>
                    <w:spacing w:line="240" w:lineRule="exact"/>
                    <w:jc w:val="center"/>
                    <w:rPr>
                      <w:rFonts w:eastAsia="附件"/>
                      <w:kern w:val="0"/>
                      <w:szCs w:val="21"/>
                    </w:rPr>
                  </w:pPr>
                  <w:r>
                    <w:rPr>
                      <w:rFonts w:eastAsia="附件"/>
                      <w:kern w:val="0"/>
                      <w:szCs w:val="21"/>
                    </w:rPr>
                    <w:t>29</w:t>
                  </w:r>
                </w:p>
              </w:tc>
              <w:tc>
                <w:tcPr>
                  <w:tcW w:w="1000" w:type="dxa"/>
                  <w:vAlign w:val="center"/>
                </w:tcPr>
                <w:p>
                  <w:pPr>
                    <w:widowControl/>
                    <w:spacing w:line="240" w:lineRule="exact"/>
                    <w:jc w:val="center"/>
                    <w:rPr>
                      <w:rFonts w:eastAsia="附件"/>
                      <w:szCs w:val="21"/>
                    </w:rPr>
                  </w:pPr>
                  <w:r>
                    <w:rPr>
                      <w:szCs w:val="21"/>
                    </w:rPr>
                    <w:t>1,1,1,2-四氯乙烷</w:t>
                  </w:r>
                </w:p>
              </w:tc>
              <w:tc>
                <w:tcPr>
                  <w:tcW w:w="2550" w:type="dxa"/>
                </w:tcPr>
                <w:p>
                  <w:pPr>
                    <w:jc w:val="center"/>
                    <w:rPr>
                      <w:szCs w:val="21"/>
                    </w:rPr>
                  </w:pPr>
                  <w:r>
                    <w:rPr>
                      <w:rFonts w:hint="eastAsia" w:eastAsia="附件"/>
                      <w:kern w:val="0"/>
                      <w:szCs w:val="21"/>
                    </w:rPr>
                    <w:t>ND</w:t>
                  </w:r>
                </w:p>
              </w:tc>
              <w:tc>
                <w:tcPr>
                  <w:tcW w:w="993" w:type="dxa"/>
                  <w:vAlign w:val="center"/>
                </w:tcPr>
                <w:p>
                  <w:pPr>
                    <w:widowControl/>
                    <w:adjustRightInd w:val="0"/>
                    <w:snapToGrid w:val="0"/>
                    <w:spacing w:line="240" w:lineRule="exact"/>
                    <w:jc w:val="center"/>
                    <w:textAlignment w:val="center"/>
                    <w:rPr>
                      <w:rFonts w:eastAsia="附件"/>
                      <w:kern w:val="0"/>
                      <w:szCs w:val="21"/>
                    </w:rPr>
                  </w:pPr>
                  <w:r>
                    <w:rPr>
                      <w:rFonts w:eastAsia="附件"/>
                      <w:kern w:val="0"/>
                      <w:szCs w:val="21"/>
                    </w:rPr>
                    <w:t>2.6（26）</w:t>
                  </w:r>
                </w:p>
              </w:tc>
              <w:tc>
                <w:tcPr>
                  <w:tcW w:w="2410" w:type="dxa"/>
                  <w:vAlign w:val="center"/>
                </w:tcPr>
                <w:p>
                  <w:pPr>
                    <w:jc w:val="center"/>
                    <w:rPr>
                      <w:szCs w:val="21"/>
                    </w:rPr>
                  </w:pPr>
                  <w:r>
                    <w:rPr>
                      <w:rFonts w:eastAsia="附件"/>
                      <w:kern w:val="0"/>
                      <w:szCs w:val="21"/>
                    </w:rPr>
                    <w:t>/</w:t>
                  </w:r>
                </w:p>
              </w:tc>
              <w:tc>
                <w:tcPr>
                  <w:tcW w:w="520" w:type="dxa"/>
                  <w:vAlign w:val="center"/>
                </w:tcPr>
                <w:p>
                  <w:pPr>
                    <w:widowControl/>
                    <w:adjustRightInd w:val="0"/>
                    <w:snapToGrid w:val="0"/>
                    <w:spacing w:line="240" w:lineRule="exact"/>
                    <w:jc w:val="center"/>
                    <w:textAlignment w:val="center"/>
                    <w:rPr>
                      <w:rFonts w:eastAsia="附件"/>
                      <w:kern w:val="0"/>
                      <w:szCs w:val="21"/>
                    </w:rPr>
                  </w:pPr>
                  <w:r>
                    <w:rPr>
                      <w:rFonts w:eastAsia="附件"/>
                      <w:kern w:val="0"/>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523" w:type="dxa"/>
                  <w:vAlign w:val="center"/>
                </w:tcPr>
                <w:p>
                  <w:pPr>
                    <w:adjustRightInd w:val="0"/>
                    <w:snapToGrid w:val="0"/>
                    <w:spacing w:line="240" w:lineRule="exact"/>
                    <w:jc w:val="center"/>
                    <w:rPr>
                      <w:rFonts w:eastAsia="附件"/>
                      <w:kern w:val="0"/>
                      <w:szCs w:val="21"/>
                    </w:rPr>
                  </w:pPr>
                  <w:r>
                    <w:rPr>
                      <w:rFonts w:eastAsia="附件"/>
                      <w:kern w:val="0"/>
                      <w:szCs w:val="21"/>
                    </w:rPr>
                    <w:t>30</w:t>
                  </w:r>
                </w:p>
              </w:tc>
              <w:tc>
                <w:tcPr>
                  <w:tcW w:w="1000" w:type="dxa"/>
                  <w:vAlign w:val="center"/>
                </w:tcPr>
                <w:p>
                  <w:pPr>
                    <w:widowControl/>
                    <w:spacing w:line="240" w:lineRule="exact"/>
                    <w:jc w:val="center"/>
                    <w:rPr>
                      <w:rFonts w:eastAsia="附件"/>
                      <w:szCs w:val="21"/>
                    </w:rPr>
                  </w:pPr>
                  <w:r>
                    <w:rPr>
                      <w:szCs w:val="21"/>
                    </w:rPr>
                    <w:t>间，对-二甲苯</w:t>
                  </w:r>
                </w:p>
              </w:tc>
              <w:tc>
                <w:tcPr>
                  <w:tcW w:w="2550" w:type="dxa"/>
                </w:tcPr>
                <w:p>
                  <w:pPr>
                    <w:jc w:val="center"/>
                    <w:rPr>
                      <w:szCs w:val="21"/>
                    </w:rPr>
                  </w:pPr>
                  <w:r>
                    <w:rPr>
                      <w:rFonts w:hint="eastAsia" w:eastAsia="附件"/>
                      <w:kern w:val="0"/>
                      <w:szCs w:val="21"/>
                    </w:rPr>
                    <w:t>ND</w:t>
                  </w:r>
                </w:p>
              </w:tc>
              <w:tc>
                <w:tcPr>
                  <w:tcW w:w="993" w:type="dxa"/>
                  <w:vAlign w:val="center"/>
                </w:tcPr>
                <w:p>
                  <w:pPr>
                    <w:widowControl/>
                    <w:adjustRightInd w:val="0"/>
                    <w:snapToGrid w:val="0"/>
                    <w:spacing w:line="240" w:lineRule="exact"/>
                    <w:jc w:val="center"/>
                    <w:textAlignment w:val="center"/>
                    <w:rPr>
                      <w:rFonts w:eastAsia="附件"/>
                      <w:kern w:val="0"/>
                      <w:szCs w:val="21"/>
                    </w:rPr>
                  </w:pPr>
                  <w:r>
                    <w:rPr>
                      <w:rFonts w:eastAsia="附件"/>
                      <w:kern w:val="0"/>
                      <w:szCs w:val="21"/>
                    </w:rPr>
                    <w:t>163（500）</w:t>
                  </w:r>
                </w:p>
              </w:tc>
              <w:tc>
                <w:tcPr>
                  <w:tcW w:w="2410" w:type="dxa"/>
                  <w:vAlign w:val="center"/>
                </w:tcPr>
                <w:p>
                  <w:pPr>
                    <w:jc w:val="center"/>
                    <w:rPr>
                      <w:szCs w:val="21"/>
                    </w:rPr>
                  </w:pPr>
                  <w:r>
                    <w:rPr>
                      <w:rFonts w:eastAsia="附件"/>
                      <w:kern w:val="0"/>
                      <w:szCs w:val="21"/>
                    </w:rPr>
                    <w:t>/</w:t>
                  </w:r>
                </w:p>
              </w:tc>
              <w:tc>
                <w:tcPr>
                  <w:tcW w:w="520" w:type="dxa"/>
                  <w:vAlign w:val="center"/>
                </w:tcPr>
                <w:p>
                  <w:pPr>
                    <w:widowControl/>
                    <w:adjustRightInd w:val="0"/>
                    <w:snapToGrid w:val="0"/>
                    <w:spacing w:line="240" w:lineRule="exact"/>
                    <w:jc w:val="center"/>
                    <w:textAlignment w:val="center"/>
                    <w:rPr>
                      <w:rFonts w:eastAsia="附件"/>
                      <w:kern w:val="0"/>
                      <w:szCs w:val="21"/>
                    </w:rPr>
                  </w:pPr>
                  <w:r>
                    <w:rPr>
                      <w:rFonts w:eastAsia="附件"/>
                      <w:kern w:val="0"/>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523" w:type="dxa"/>
                  <w:vAlign w:val="center"/>
                </w:tcPr>
                <w:p>
                  <w:pPr>
                    <w:adjustRightInd w:val="0"/>
                    <w:snapToGrid w:val="0"/>
                    <w:spacing w:line="240" w:lineRule="exact"/>
                    <w:jc w:val="center"/>
                    <w:rPr>
                      <w:rFonts w:eastAsia="附件"/>
                      <w:kern w:val="0"/>
                      <w:szCs w:val="21"/>
                    </w:rPr>
                  </w:pPr>
                  <w:r>
                    <w:rPr>
                      <w:rFonts w:eastAsia="附件"/>
                      <w:kern w:val="0"/>
                      <w:szCs w:val="21"/>
                    </w:rPr>
                    <w:t>31</w:t>
                  </w:r>
                </w:p>
              </w:tc>
              <w:tc>
                <w:tcPr>
                  <w:tcW w:w="1000" w:type="dxa"/>
                  <w:vAlign w:val="center"/>
                </w:tcPr>
                <w:p>
                  <w:pPr>
                    <w:widowControl/>
                    <w:spacing w:line="240" w:lineRule="exact"/>
                    <w:jc w:val="center"/>
                    <w:rPr>
                      <w:rFonts w:eastAsia="附件"/>
                      <w:szCs w:val="21"/>
                    </w:rPr>
                  </w:pPr>
                  <w:r>
                    <w:rPr>
                      <w:szCs w:val="21"/>
                    </w:rPr>
                    <w:t>邻-二甲苯</w:t>
                  </w:r>
                </w:p>
              </w:tc>
              <w:tc>
                <w:tcPr>
                  <w:tcW w:w="2550" w:type="dxa"/>
                </w:tcPr>
                <w:p>
                  <w:pPr>
                    <w:jc w:val="center"/>
                    <w:rPr>
                      <w:szCs w:val="21"/>
                    </w:rPr>
                  </w:pPr>
                  <w:r>
                    <w:rPr>
                      <w:rFonts w:hint="eastAsia" w:eastAsia="附件"/>
                      <w:kern w:val="0"/>
                      <w:szCs w:val="21"/>
                    </w:rPr>
                    <w:t>ND</w:t>
                  </w:r>
                </w:p>
              </w:tc>
              <w:tc>
                <w:tcPr>
                  <w:tcW w:w="993" w:type="dxa"/>
                  <w:vAlign w:val="center"/>
                </w:tcPr>
                <w:p>
                  <w:pPr>
                    <w:widowControl/>
                    <w:adjustRightInd w:val="0"/>
                    <w:snapToGrid w:val="0"/>
                    <w:spacing w:line="240" w:lineRule="exact"/>
                    <w:jc w:val="center"/>
                    <w:textAlignment w:val="center"/>
                    <w:rPr>
                      <w:rFonts w:eastAsia="附件"/>
                      <w:kern w:val="0"/>
                      <w:szCs w:val="21"/>
                    </w:rPr>
                  </w:pPr>
                  <w:r>
                    <w:rPr>
                      <w:rFonts w:eastAsia="附件"/>
                      <w:kern w:val="0"/>
                      <w:szCs w:val="21"/>
                    </w:rPr>
                    <w:t>222（640）</w:t>
                  </w:r>
                </w:p>
              </w:tc>
              <w:tc>
                <w:tcPr>
                  <w:tcW w:w="2410" w:type="dxa"/>
                  <w:vAlign w:val="center"/>
                </w:tcPr>
                <w:p>
                  <w:pPr>
                    <w:jc w:val="center"/>
                    <w:rPr>
                      <w:szCs w:val="21"/>
                    </w:rPr>
                  </w:pPr>
                  <w:r>
                    <w:rPr>
                      <w:rFonts w:eastAsia="附件"/>
                      <w:kern w:val="0"/>
                      <w:szCs w:val="21"/>
                    </w:rPr>
                    <w:t>/</w:t>
                  </w:r>
                </w:p>
              </w:tc>
              <w:tc>
                <w:tcPr>
                  <w:tcW w:w="520" w:type="dxa"/>
                  <w:vAlign w:val="center"/>
                </w:tcPr>
                <w:p>
                  <w:pPr>
                    <w:widowControl/>
                    <w:adjustRightInd w:val="0"/>
                    <w:snapToGrid w:val="0"/>
                    <w:spacing w:line="240" w:lineRule="exact"/>
                    <w:jc w:val="center"/>
                    <w:textAlignment w:val="center"/>
                    <w:rPr>
                      <w:rFonts w:eastAsia="附件"/>
                      <w:kern w:val="0"/>
                      <w:szCs w:val="21"/>
                    </w:rPr>
                  </w:pPr>
                  <w:r>
                    <w:rPr>
                      <w:rFonts w:eastAsia="附件"/>
                      <w:kern w:val="0"/>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523" w:type="dxa"/>
                  <w:vAlign w:val="center"/>
                </w:tcPr>
                <w:p>
                  <w:pPr>
                    <w:adjustRightInd w:val="0"/>
                    <w:snapToGrid w:val="0"/>
                    <w:spacing w:line="240" w:lineRule="exact"/>
                    <w:jc w:val="center"/>
                    <w:rPr>
                      <w:rFonts w:eastAsia="附件"/>
                      <w:kern w:val="0"/>
                      <w:szCs w:val="21"/>
                    </w:rPr>
                  </w:pPr>
                  <w:r>
                    <w:rPr>
                      <w:rFonts w:eastAsia="附件"/>
                      <w:kern w:val="0"/>
                      <w:szCs w:val="21"/>
                    </w:rPr>
                    <w:t>32</w:t>
                  </w:r>
                </w:p>
              </w:tc>
              <w:tc>
                <w:tcPr>
                  <w:tcW w:w="1000" w:type="dxa"/>
                  <w:vAlign w:val="center"/>
                </w:tcPr>
                <w:p>
                  <w:pPr>
                    <w:widowControl/>
                    <w:spacing w:line="240" w:lineRule="exact"/>
                    <w:jc w:val="center"/>
                    <w:rPr>
                      <w:rFonts w:eastAsia="附件"/>
                      <w:szCs w:val="21"/>
                    </w:rPr>
                  </w:pPr>
                  <w:r>
                    <w:rPr>
                      <w:szCs w:val="21"/>
                    </w:rPr>
                    <w:t>苯乙烯</w:t>
                  </w:r>
                </w:p>
              </w:tc>
              <w:tc>
                <w:tcPr>
                  <w:tcW w:w="2550" w:type="dxa"/>
                </w:tcPr>
                <w:p>
                  <w:pPr>
                    <w:jc w:val="center"/>
                    <w:rPr>
                      <w:szCs w:val="21"/>
                    </w:rPr>
                  </w:pPr>
                  <w:r>
                    <w:rPr>
                      <w:rFonts w:hint="eastAsia" w:eastAsia="附件"/>
                      <w:kern w:val="0"/>
                      <w:szCs w:val="21"/>
                    </w:rPr>
                    <w:t>ND</w:t>
                  </w:r>
                </w:p>
              </w:tc>
              <w:tc>
                <w:tcPr>
                  <w:tcW w:w="993" w:type="dxa"/>
                  <w:vAlign w:val="center"/>
                </w:tcPr>
                <w:p>
                  <w:pPr>
                    <w:widowControl/>
                    <w:adjustRightInd w:val="0"/>
                    <w:snapToGrid w:val="0"/>
                    <w:spacing w:line="240" w:lineRule="exact"/>
                    <w:jc w:val="center"/>
                    <w:textAlignment w:val="center"/>
                    <w:rPr>
                      <w:rFonts w:eastAsia="附件"/>
                      <w:kern w:val="0"/>
                      <w:szCs w:val="21"/>
                    </w:rPr>
                  </w:pPr>
                  <w:r>
                    <w:rPr>
                      <w:rFonts w:eastAsia="附件"/>
                      <w:kern w:val="0"/>
                      <w:szCs w:val="21"/>
                    </w:rPr>
                    <w:t>1290（1290）</w:t>
                  </w:r>
                </w:p>
              </w:tc>
              <w:tc>
                <w:tcPr>
                  <w:tcW w:w="2410" w:type="dxa"/>
                  <w:vAlign w:val="center"/>
                </w:tcPr>
                <w:p>
                  <w:pPr>
                    <w:jc w:val="center"/>
                    <w:rPr>
                      <w:szCs w:val="21"/>
                    </w:rPr>
                  </w:pPr>
                  <w:r>
                    <w:rPr>
                      <w:rFonts w:eastAsia="附件"/>
                      <w:kern w:val="0"/>
                      <w:szCs w:val="21"/>
                    </w:rPr>
                    <w:t>/</w:t>
                  </w:r>
                </w:p>
              </w:tc>
              <w:tc>
                <w:tcPr>
                  <w:tcW w:w="520" w:type="dxa"/>
                  <w:vAlign w:val="center"/>
                </w:tcPr>
                <w:p>
                  <w:pPr>
                    <w:widowControl/>
                    <w:adjustRightInd w:val="0"/>
                    <w:snapToGrid w:val="0"/>
                    <w:spacing w:line="240" w:lineRule="exact"/>
                    <w:jc w:val="center"/>
                    <w:textAlignment w:val="center"/>
                    <w:rPr>
                      <w:rFonts w:eastAsia="附件"/>
                      <w:kern w:val="0"/>
                      <w:szCs w:val="21"/>
                    </w:rPr>
                  </w:pPr>
                  <w:r>
                    <w:rPr>
                      <w:rFonts w:eastAsia="附件"/>
                      <w:kern w:val="0"/>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523" w:type="dxa"/>
                  <w:vAlign w:val="center"/>
                </w:tcPr>
                <w:p>
                  <w:pPr>
                    <w:adjustRightInd w:val="0"/>
                    <w:snapToGrid w:val="0"/>
                    <w:spacing w:line="240" w:lineRule="exact"/>
                    <w:jc w:val="center"/>
                    <w:rPr>
                      <w:rFonts w:eastAsia="附件"/>
                      <w:kern w:val="0"/>
                      <w:szCs w:val="21"/>
                    </w:rPr>
                  </w:pPr>
                  <w:r>
                    <w:rPr>
                      <w:rFonts w:eastAsia="附件"/>
                      <w:kern w:val="0"/>
                      <w:szCs w:val="21"/>
                    </w:rPr>
                    <w:t>33</w:t>
                  </w:r>
                </w:p>
              </w:tc>
              <w:tc>
                <w:tcPr>
                  <w:tcW w:w="1000" w:type="dxa"/>
                  <w:vAlign w:val="center"/>
                </w:tcPr>
                <w:p>
                  <w:pPr>
                    <w:widowControl/>
                    <w:spacing w:line="240" w:lineRule="exact"/>
                    <w:jc w:val="center"/>
                    <w:rPr>
                      <w:rFonts w:eastAsia="附件"/>
                      <w:szCs w:val="21"/>
                    </w:rPr>
                  </w:pPr>
                  <w:r>
                    <w:rPr>
                      <w:szCs w:val="21"/>
                    </w:rPr>
                    <w:t>1,1,2,2-四氯乙烷</w:t>
                  </w:r>
                </w:p>
              </w:tc>
              <w:tc>
                <w:tcPr>
                  <w:tcW w:w="2550" w:type="dxa"/>
                </w:tcPr>
                <w:p>
                  <w:pPr>
                    <w:jc w:val="center"/>
                    <w:rPr>
                      <w:szCs w:val="21"/>
                    </w:rPr>
                  </w:pPr>
                  <w:r>
                    <w:rPr>
                      <w:rFonts w:hint="eastAsia" w:eastAsia="附件"/>
                      <w:kern w:val="0"/>
                      <w:szCs w:val="21"/>
                    </w:rPr>
                    <w:t>ND</w:t>
                  </w:r>
                </w:p>
              </w:tc>
              <w:tc>
                <w:tcPr>
                  <w:tcW w:w="993" w:type="dxa"/>
                  <w:vAlign w:val="center"/>
                </w:tcPr>
                <w:p>
                  <w:pPr>
                    <w:widowControl/>
                    <w:adjustRightInd w:val="0"/>
                    <w:snapToGrid w:val="0"/>
                    <w:spacing w:line="240" w:lineRule="exact"/>
                    <w:jc w:val="center"/>
                    <w:textAlignment w:val="center"/>
                    <w:rPr>
                      <w:rFonts w:eastAsia="附件"/>
                      <w:kern w:val="0"/>
                      <w:szCs w:val="21"/>
                    </w:rPr>
                  </w:pPr>
                  <w:r>
                    <w:rPr>
                      <w:rFonts w:eastAsia="附件"/>
                      <w:kern w:val="0"/>
                      <w:szCs w:val="21"/>
                    </w:rPr>
                    <w:t>1.6（14）</w:t>
                  </w:r>
                </w:p>
              </w:tc>
              <w:tc>
                <w:tcPr>
                  <w:tcW w:w="2410" w:type="dxa"/>
                  <w:vAlign w:val="center"/>
                </w:tcPr>
                <w:p>
                  <w:pPr>
                    <w:jc w:val="center"/>
                    <w:rPr>
                      <w:szCs w:val="21"/>
                    </w:rPr>
                  </w:pPr>
                  <w:r>
                    <w:rPr>
                      <w:rFonts w:eastAsia="附件"/>
                      <w:kern w:val="0"/>
                      <w:szCs w:val="21"/>
                    </w:rPr>
                    <w:t>/</w:t>
                  </w:r>
                </w:p>
              </w:tc>
              <w:tc>
                <w:tcPr>
                  <w:tcW w:w="520" w:type="dxa"/>
                  <w:vAlign w:val="center"/>
                </w:tcPr>
                <w:p>
                  <w:pPr>
                    <w:widowControl/>
                    <w:adjustRightInd w:val="0"/>
                    <w:snapToGrid w:val="0"/>
                    <w:spacing w:line="240" w:lineRule="exact"/>
                    <w:jc w:val="center"/>
                    <w:textAlignment w:val="center"/>
                    <w:rPr>
                      <w:rFonts w:eastAsia="附件"/>
                      <w:kern w:val="0"/>
                      <w:szCs w:val="21"/>
                    </w:rPr>
                  </w:pPr>
                  <w:r>
                    <w:rPr>
                      <w:rFonts w:eastAsia="附件"/>
                      <w:kern w:val="0"/>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523" w:type="dxa"/>
                  <w:vAlign w:val="center"/>
                </w:tcPr>
                <w:p>
                  <w:pPr>
                    <w:adjustRightInd w:val="0"/>
                    <w:snapToGrid w:val="0"/>
                    <w:spacing w:line="240" w:lineRule="exact"/>
                    <w:jc w:val="center"/>
                    <w:rPr>
                      <w:rFonts w:eastAsia="附件"/>
                      <w:kern w:val="0"/>
                      <w:szCs w:val="21"/>
                    </w:rPr>
                  </w:pPr>
                  <w:r>
                    <w:rPr>
                      <w:rFonts w:eastAsia="附件"/>
                      <w:kern w:val="0"/>
                      <w:szCs w:val="21"/>
                    </w:rPr>
                    <w:t>34</w:t>
                  </w:r>
                </w:p>
              </w:tc>
              <w:tc>
                <w:tcPr>
                  <w:tcW w:w="1000" w:type="dxa"/>
                  <w:vAlign w:val="center"/>
                </w:tcPr>
                <w:p>
                  <w:pPr>
                    <w:widowControl/>
                    <w:spacing w:line="240" w:lineRule="exact"/>
                    <w:jc w:val="center"/>
                    <w:rPr>
                      <w:rFonts w:eastAsia="附件"/>
                      <w:szCs w:val="21"/>
                    </w:rPr>
                  </w:pPr>
                  <w:r>
                    <w:rPr>
                      <w:szCs w:val="21"/>
                    </w:rPr>
                    <w:t>1,2,3-三氯丙烷</w:t>
                  </w:r>
                </w:p>
              </w:tc>
              <w:tc>
                <w:tcPr>
                  <w:tcW w:w="2550" w:type="dxa"/>
                </w:tcPr>
                <w:p>
                  <w:pPr>
                    <w:jc w:val="center"/>
                    <w:rPr>
                      <w:szCs w:val="21"/>
                    </w:rPr>
                  </w:pPr>
                  <w:r>
                    <w:rPr>
                      <w:rFonts w:hint="eastAsia" w:eastAsia="附件"/>
                      <w:kern w:val="0"/>
                      <w:szCs w:val="21"/>
                    </w:rPr>
                    <w:t>ND</w:t>
                  </w:r>
                </w:p>
              </w:tc>
              <w:tc>
                <w:tcPr>
                  <w:tcW w:w="993" w:type="dxa"/>
                  <w:vAlign w:val="center"/>
                </w:tcPr>
                <w:p>
                  <w:pPr>
                    <w:widowControl/>
                    <w:adjustRightInd w:val="0"/>
                    <w:snapToGrid w:val="0"/>
                    <w:spacing w:line="240" w:lineRule="exact"/>
                    <w:jc w:val="center"/>
                    <w:textAlignment w:val="center"/>
                    <w:rPr>
                      <w:rFonts w:eastAsia="附件"/>
                      <w:kern w:val="0"/>
                      <w:szCs w:val="21"/>
                    </w:rPr>
                  </w:pPr>
                  <w:r>
                    <w:rPr>
                      <w:rFonts w:eastAsia="附件"/>
                      <w:kern w:val="0"/>
                      <w:szCs w:val="21"/>
                    </w:rPr>
                    <w:t>0.05（0.5）</w:t>
                  </w:r>
                </w:p>
              </w:tc>
              <w:tc>
                <w:tcPr>
                  <w:tcW w:w="2410" w:type="dxa"/>
                  <w:vAlign w:val="center"/>
                </w:tcPr>
                <w:p>
                  <w:pPr>
                    <w:jc w:val="center"/>
                    <w:rPr>
                      <w:szCs w:val="21"/>
                    </w:rPr>
                  </w:pPr>
                  <w:r>
                    <w:rPr>
                      <w:rFonts w:eastAsia="附件"/>
                      <w:kern w:val="0"/>
                      <w:szCs w:val="21"/>
                    </w:rPr>
                    <w:t>/</w:t>
                  </w:r>
                </w:p>
              </w:tc>
              <w:tc>
                <w:tcPr>
                  <w:tcW w:w="520" w:type="dxa"/>
                  <w:vAlign w:val="center"/>
                </w:tcPr>
                <w:p>
                  <w:pPr>
                    <w:widowControl/>
                    <w:adjustRightInd w:val="0"/>
                    <w:snapToGrid w:val="0"/>
                    <w:spacing w:line="240" w:lineRule="exact"/>
                    <w:jc w:val="center"/>
                    <w:textAlignment w:val="center"/>
                    <w:rPr>
                      <w:rFonts w:eastAsia="附件"/>
                      <w:kern w:val="0"/>
                      <w:szCs w:val="21"/>
                    </w:rPr>
                  </w:pPr>
                  <w:r>
                    <w:rPr>
                      <w:rFonts w:eastAsia="附件"/>
                      <w:kern w:val="0"/>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523" w:type="dxa"/>
                  <w:vAlign w:val="center"/>
                </w:tcPr>
                <w:p>
                  <w:pPr>
                    <w:adjustRightInd w:val="0"/>
                    <w:snapToGrid w:val="0"/>
                    <w:spacing w:line="240" w:lineRule="exact"/>
                    <w:jc w:val="center"/>
                    <w:rPr>
                      <w:rFonts w:eastAsia="附件"/>
                      <w:kern w:val="0"/>
                      <w:szCs w:val="21"/>
                    </w:rPr>
                  </w:pPr>
                  <w:r>
                    <w:rPr>
                      <w:rFonts w:eastAsia="附件"/>
                      <w:kern w:val="0"/>
                      <w:szCs w:val="21"/>
                    </w:rPr>
                    <w:t>35</w:t>
                  </w:r>
                </w:p>
              </w:tc>
              <w:tc>
                <w:tcPr>
                  <w:tcW w:w="1000" w:type="dxa"/>
                  <w:vAlign w:val="center"/>
                </w:tcPr>
                <w:p>
                  <w:pPr>
                    <w:widowControl/>
                    <w:spacing w:line="240" w:lineRule="exact"/>
                    <w:jc w:val="center"/>
                    <w:rPr>
                      <w:rFonts w:eastAsia="附件"/>
                      <w:szCs w:val="21"/>
                    </w:rPr>
                  </w:pPr>
                  <w:r>
                    <w:rPr>
                      <w:szCs w:val="21"/>
                    </w:rPr>
                    <w:t>1,4-二氯苯</w:t>
                  </w:r>
                </w:p>
              </w:tc>
              <w:tc>
                <w:tcPr>
                  <w:tcW w:w="2550" w:type="dxa"/>
                </w:tcPr>
                <w:p>
                  <w:pPr>
                    <w:jc w:val="center"/>
                    <w:rPr>
                      <w:szCs w:val="21"/>
                    </w:rPr>
                  </w:pPr>
                  <w:r>
                    <w:rPr>
                      <w:rFonts w:hint="eastAsia" w:eastAsia="附件"/>
                      <w:kern w:val="0"/>
                      <w:szCs w:val="21"/>
                    </w:rPr>
                    <w:t>ND</w:t>
                  </w:r>
                </w:p>
              </w:tc>
              <w:tc>
                <w:tcPr>
                  <w:tcW w:w="993" w:type="dxa"/>
                  <w:vAlign w:val="center"/>
                </w:tcPr>
                <w:p>
                  <w:pPr>
                    <w:widowControl/>
                    <w:adjustRightInd w:val="0"/>
                    <w:snapToGrid w:val="0"/>
                    <w:spacing w:line="240" w:lineRule="exact"/>
                    <w:jc w:val="center"/>
                    <w:textAlignment w:val="center"/>
                    <w:rPr>
                      <w:rFonts w:eastAsia="附件"/>
                      <w:kern w:val="0"/>
                      <w:szCs w:val="21"/>
                    </w:rPr>
                  </w:pPr>
                  <w:r>
                    <w:rPr>
                      <w:rFonts w:eastAsia="附件"/>
                      <w:kern w:val="0"/>
                      <w:szCs w:val="21"/>
                    </w:rPr>
                    <w:t>5.6（56）</w:t>
                  </w:r>
                </w:p>
              </w:tc>
              <w:tc>
                <w:tcPr>
                  <w:tcW w:w="2410" w:type="dxa"/>
                  <w:vAlign w:val="center"/>
                </w:tcPr>
                <w:p>
                  <w:pPr>
                    <w:jc w:val="center"/>
                    <w:rPr>
                      <w:szCs w:val="21"/>
                    </w:rPr>
                  </w:pPr>
                  <w:r>
                    <w:rPr>
                      <w:rFonts w:eastAsia="附件"/>
                      <w:kern w:val="0"/>
                      <w:szCs w:val="21"/>
                    </w:rPr>
                    <w:t>/</w:t>
                  </w:r>
                </w:p>
              </w:tc>
              <w:tc>
                <w:tcPr>
                  <w:tcW w:w="520" w:type="dxa"/>
                  <w:vAlign w:val="center"/>
                </w:tcPr>
                <w:p>
                  <w:pPr>
                    <w:widowControl/>
                    <w:adjustRightInd w:val="0"/>
                    <w:snapToGrid w:val="0"/>
                    <w:spacing w:line="240" w:lineRule="exact"/>
                    <w:jc w:val="center"/>
                    <w:textAlignment w:val="center"/>
                    <w:rPr>
                      <w:rFonts w:eastAsia="附件"/>
                      <w:kern w:val="0"/>
                      <w:szCs w:val="21"/>
                    </w:rPr>
                  </w:pPr>
                  <w:r>
                    <w:rPr>
                      <w:rFonts w:eastAsia="附件"/>
                      <w:kern w:val="0"/>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523" w:type="dxa"/>
                  <w:vAlign w:val="center"/>
                </w:tcPr>
                <w:p>
                  <w:pPr>
                    <w:adjustRightInd w:val="0"/>
                    <w:snapToGrid w:val="0"/>
                    <w:spacing w:line="240" w:lineRule="exact"/>
                    <w:jc w:val="center"/>
                    <w:rPr>
                      <w:rFonts w:eastAsia="附件"/>
                      <w:kern w:val="0"/>
                      <w:szCs w:val="21"/>
                    </w:rPr>
                  </w:pPr>
                  <w:r>
                    <w:rPr>
                      <w:rFonts w:eastAsia="附件"/>
                      <w:kern w:val="0"/>
                      <w:szCs w:val="21"/>
                    </w:rPr>
                    <w:t>36</w:t>
                  </w:r>
                </w:p>
              </w:tc>
              <w:tc>
                <w:tcPr>
                  <w:tcW w:w="1000" w:type="dxa"/>
                  <w:vAlign w:val="center"/>
                </w:tcPr>
                <w:p>
                  <w:pPr>
                    <w:widowControl/>
                    <w:spacing w:line="240" w:lineRule="exact"/>
                    <w:jc w:val="center"/>
                    <w:rPr>
                      <w:rFonts w:eastAsia="附件"/>
                      <w:szCs w:val="21"/>
                    </w:rPr>
                  </w:pPr>
                  <w:r>
                    <w:rPr>
                      <w:szCs w:val="21"/>
                    </w:rPr>
                    <w:t>1,2-二氯苯</w:t>
                  </w:r>
                </w:p>
              </w:tc>
              <w:tc>
                <w:tcPr>
                  <w:tcW w:w="2550" w:type="dxa"/>
                </w:tcPr>
                <w:p>
                  <w:pPr>
                    <w:jc w:val="center"/>
                    <w:rPr>
                      <w:szCs w:val="21"/>
                    </w:rPr>
                  </w:pPr>
                  <w:r>
                    <w:rPr>
                      <w:rFonts w:hint="eastAsia" w:eastAsia="附件"/>
                      <w:kern w:val="0"/>
                      <w:szCs w:val="21"/>
                    </w:rPr>
                    <w:t>ND</w:t>
                  </w:r>
                </w:p>
              </w:tc>
              <w:tc>
                <w:tcPr>
                  <w:tcW w:w="993" w:type="dxa"/>
                  <w:vAlign w:val="center"/>
                </w:tcPr>
                <w:p>
                  <w:pPr>
                    <w:widowControl/>
                    <w:adjustRightInd w:val="0"/>
                    <w:snapToGrid w:val="0"/>
                    <w:spacing w:line="240" w:lineRule="exact"/>
                    <w:jc w:val="center"/>
                    <w:textAlignment w:val="center"/>
                    <w:rPr>
                      <w:rFonts w:eastAsia="附件"/>
                      <w:kern w:val="0"/>
                      <w:szCs w:val="21"/>
                    </w:rPr>
                  </w:pPr>
                  <w:r>
                    <w:rPr>
                      <w:rFonts w:eastAsia="附件"/>
                      <w:kern w:val="0"/>
                      <w:szCs w:val="21"/>
                    </w:rPr>
                    <w:t>560（560）</w:t>
                  </w:r>
                </w:p>
              </w:tc>
              <w:tc>
                <w:tcPr>
                  <w:tcW w:w="2410" w:type="dxa"/>
                  <w:vAlign w:val="center"/>
                </w:tcPr>
                <w:p>
                  <w:pPr>
                    <w:jc w:val="center"/>
                    <w:rPr>
                      <w:szCs w:val="21"/>
                    </w:rPr>
                  </w:pPr>
                  <w:r>
                    <w:rPr>
                      <w:rFonts w:eastAsia="附件"/>
                      <w:kern w:val="0"/>
                      <w:szCs w:val="21"/>
                    </w:rPr>
                    <w:t>/</w:t>
                  </w:r>
                </w:p>
              </w:tc>
              <w:tc>
                <w:tcPr>
                  <w:tcW w:w="520" w:type="dxa"/>
                  <w:vAlign w:val="center"/>
                </w:tcPr>
                <w:p>
                  <w:pPr>
                    <w:widowControl/>
                    <w:adjustRightInd w:val="0"/>
                    <w:snapToGrid w:val="0"/>
                    <w:spacing w:line="240" w:lineRule="exact"/>
                    <w:jc w:val="center"/>
                    <w:textAlignment w:val="center"/>
                    <w:rPr>
                      <w:rFonts w:eastAsia="附件"/>
                      <w:kern w:val="0"/>
                      <w:szCs w:val="21"/>
                    </w:rPr>
                  </w:pPr>
                  <w:r>
                    <w:rPr>
                      <w:rFonts w:eastAsia="附件"/>
                      <w:kern w:val="0"/>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523" w:type="dxa"/>
                  <w:vAlign w:val="center"/>
                </w:tcPr>
                <w:p>
                  <w:pPr>
                    <w:adjustRightInd w:val="0"/>
                    <w:snapToGrid w:val="0"/>
                    <w:spacing w:line="240" w:lineRule="exact"/>
                    <w:jc w:val="center"/>
                    <w:rPr>
                      <w:rFonts w:eastAsia="附件"/>
                      <w:kern w:val="0"/>
                      <w:szCs w:val="21"/>
                    </w:rPr>
                  </w:pPr>
                  <w:r>
                    <w:rPr>
                      <w:rFonts w:eastAsia="附件"/>
                      <w:kern w:val="0"/>
                      <w:szCs w:val="21"/>
                    </w:rPr>
                    <w:t>37</w:t>
                  </w:r>
                </w:p>
              </w:tc>
              <w:tc>
                <w:tcPr>
                  <w:tcW w:w="1000" w:type="dxa"/>
                  <w:vAlign w:val="center"/>
                </w:tcPr>
                <w:p>
                  <w:pPr>
                    <w:widowControl/>
                    <w:spacing w:line="240" w:lineRule="exact"/>
                    <w:jc w:val="center"/>
                    <w:rPr>
                      <w:rFonts w:eastAsia="附件"/>
                      <w:szCs w:val="21"/>
                    </w:rPr>
                  </w:pPr>
                  <w:r>
                    <w:rPr>
                      <w:kern w:val="0"/>
                      <w:szCs w:val="21"/>
                      <w:lang w:bidi="ar"/>
                    </w:rPr>
                    <w:t>苯胺</w:t>
                  </w:r>
                </w:p>
              </w:tc>
              <w:tc>
                <w:tcPr>
                  <w:tcW w:w="2550" w:type="dxa"/>
                </w:tcPr>
                <w:p>
                  <w:pPr>
                    <w:jc w:val="center"/>
                    <w:rPr>
                      <w:szCs w:val="21"/>
                    </w:rPr>
                  </w:pPr>
                  <w:r>
                    <w:rPr>
                      <w:rFonts w:hint="eastAsia" w:eastAsia="附件"/>
                      <w:kern w:val="0"/>
                      <w:szCs w:val="21"/>
                    </w:rPr>
                    <w:t>ND</w:t>
                  </w:r>
                </w:p>
              </w:tc>
              <w:tc>
                <w:tcPr>
                  <w:tcW w:w="993" w:type="dxa"/>
                  <w:vAlign w:val="center"/>
                </w:tcPr>
                <w:p>
                  <w:pPr>
                    <w:widowControl/>
                    <w:adjustRightInd w:val="0"/>
                    <w:snapToGrid w:val="0"/>
                    <w:spacing w:line="240" w:lineRule="exact"/>
                    <w:jc w:val="center"/>
                    <w:textAlignment w:val="center"/>
                    <w:rPr>
                      <w:rFonts w:eastAsia="附件"/>
                      <w:kern w:val="0"/>
                      <w:szCs w:val="21"/>
                    </w:rPr>
                  </w:pPr>
                  <w:r>
                    <w:rPr>
                      <w:rFonts w:eastAsia="附件"/>
                      <w:kern w:val="0"/>
                      <w:szCs w:val="21"/>
                    </w:rPr>
                    <w:t>92（211）</w:t>
                  </w:r>
                </w:p>
              </w:tc>
              <w:tc>
                <w:tcPr>
                  <w:tcW w:w="2410" w:type="dxa"/>
                  <w:vAlign w:val="center"/>
                </w:tcPr>
                <w:p>
                  <w:pPr>
                    <w:jc w:val="center"/>
                    <w:rPr>
                      <w:szCs w:val="21"/>
                    </w:rPr>
                  </w:pPr>
                  <w:r>
                    <w:rPr>
                      <w:rFonts w:eastAsia="附件"/>
                      <w:kern w:val="0"/>
                      <w:szCs w:val="21"/>
                    </w:rPr>
                    <w:t>/</w:t>
                  </w:r>
                </w:p>
              </w:tc>
              <w:tc>
                <w:tcPr>
                  <w:tcW w:w="520" w:type="dxa"/>
                  <w:vAlign w:val="center"/>
                </w:tcPr>
                <w:p>
                  <w:pPr>
                    <w:widowControl/>
                    <w:adjustRightInd w:val="0"/>
                    <w:snapToGrid w:val="0"/>
                    <w:spacing w:line="240" w:lineRule="exact"/>
                    <w:jc w:val="center"/>
                    <w:textAlignment w:val="center"/>
                    <w:rPr>
                      <w:rFonts w:eastAsia="附件"/>
                      <w:kern w:val="0"/>
                      <w:szCs w:val="21"/>
                    </w:rPr>
                  </w:pPr>
                  <w:r>
                    <w:rPr>
                      <w:rFonts w:eastAsia="附件"/>
                      <w:kern w:val="0"/>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523" w:type="dxa"/>
                  <w:vAlign w:val="center"/>
                </w:tcPr>
                <w:p>
                  <w:pPr>
                    <w:adjustRightInd w:val="0"/>
                    <w:snapToGrid w:val="0"/>
                    <w:spacing w:line="240" w:lineRule="exact"/>
                    <w:jc w:val="center"/>
                    <w:rPr>
                      <w:rFonts w:eastAsia="附件"/>
                      <w:kern w:val="0"/>
                      <w:szCs w:val="21"/>
                    </w:rPr>
                  </w:pPr>
                  <w:r>
                    <w:rPr>
                      <w:rFonts w:eastAsia="附件"/>
                      <w:kern w:val="0"/>
                      <w:szCs w:val="21"/>
                    </w:rPr>
                    <w:t>38</w:t>
                  </w:r>
                </w:p>
              </w:tc>
              <w:tc>
                <w:tcPr>
                  <w:tcW w:w="1000" w:type="dxa"/>
                  <w:vAlign w:val="center"/>
                </w:tcPr>
                <w:p>
                  <w:pPr>
                    <w:widowControl/>
                    <w:spacing w:line="240" w:lineRule="exact"/>
                    <w:jc w:val="center"/>
                    <w:rPr>
                      <w:rFonts w:eastAsia="附件"/>
                      <w:szCs w:val="21"/>
                    </w:rPr>
                  </w:pPr>
                  <w:r>
                    <w:rPr>
                      <w:kern w:val="0"/>
                      <w:szCs w:val="21"/>
                      <w:lang w:bidi="ar"/>
                    </w:rPr>
                    <w:t>2-氯酚</w:t>
                  </w:r>
                </w:p>
              </w:tc>
              <w:tc>
                <w:tcPr>
                  <w:tcW w:w="2550" w:type="dxa"/>
                </w:tcPr>
                <w:p>
                  <w:pPr>
                    <w:jc w:val="center"/>
                    <w:rPr>
                      <w:szCs w:val="21"/>
                    </w:rPr>
                  </w:pPr>
                  <w:r>
                    <w:rPr>
                      <w:rFonts w:hint="eastAsia" w:eastAsia="附件"/>
                      <w:kern w:val="0"/>
                      <w:szCs w:val="21"/>
                    </w:rPr>
                    <w:t>ND</w:t>
                  </w:r>
                </w:p>
              </w:tc>
              <w:tc>
                <w:tcPr>
                  <w:tcW w:w="993" w:type="dxa"/>
                  <w:vAlign w:val="center"/>
                </w:tcPr>
                <w:p>
                  <w:pPr>
                    <w:widowControl/>
                    <w:adjustRightInd w:val="0"/>
                    <w:snapToGrid w:val="0"/>
                    <w:spacing w:line="240" w:lineRule="exact"/>
                    <w:jc w:val="center"/>
                    <w:textAlignment w:val="center"/>
                    <w:rPr>
                      <w:rFonts w:eastAsia="附件"/>
                      <w:kern w:val="0"/>
                      <w:szCs w:val="21"/>
                    </w:rPr>
                  </w:pPr>
                  <w:r>
                    <w:rPr>
                      <w:rFonts w:eastAsia="附件"/>
                      <w:kern w:val="0"/>
                      <w:szCs w:val="21"/>
                    </w:rPr>
                    <w:t>250（500）</w:t>
                  </w:r>
                </w:p>
              </w:tc>
              <w:tc>
                <w:tcPr>
                  <w:tcW w:w="2410" w:type="dxa"/>
                  <w:vAlign w:val="center"/>
                </w:tcPr>
                <w:p>
                  <w:pPr>
                    <w:jc w:val="center"/>
                    <w:rPr>
                      <w:szCs w:val="21"/>
                    </w:rPr>
                  </w:pPr>
                  <w:r>
                    <w:rPr>
                      <w:rFonts w:eastAsia="附件"/>
                      <w:kern w:val="0"/>
                      <w:szCs w:val="21"/>
                    </w:rPr>
                    <w:t>/</w:t>
                  </w:r>
                </w:p>
              </w:tc>
              <w:tc>
                <w:tcPr>
                  <w:tcW w:w="520" w:type="dxa"/>
                  <w:vAlign w:val="center"/>
                </w:tcPr>
                <w:p>
                  <w:pPr>
                    <w:widowControl/>
                    <w:adjustRightInd w:val="0"/>
                    <w:snapToGrid w:val="0"/>
                    <w:spacing w:line="240" w:lineRule="exact"/>
                    <w:jc w:val="center"/>
                    <w:textAlignment w:val="center"/>
                    <w:rPr>
                      <w:rFonts w:eastAsia="附件"/>
                      <w:kern w:val="0"/>
                      <w:szCs w:val="21"/>
                    </w:rPr>
                  </w:pPr>
                  <w:r>
                    <w:rPr>
                      <w:rFonts w:eastAsia="附件"/>
                      <w:kern w:val="0"/>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523" w:type="dxa"/>
                  <w:vAlign w:val="center"/>
                </w:tcPr>
                <w:p>
                  <w:pPr>
                    <w:adjustRightInd w:val="0"/>
                    <w:snapToGrid w:val="0"/>
                    <w:spacing w:line="240" w:lineRule="exact"/>
                    <w:jc w:val="center"/>
                    <w:rPr>
                      <w:rFonts w:eastAsia="附件"/>
                      <w:kern w:val="0"/>
                      <w:szCs w:val="21"/>
                    </w:rPr>
                  </w:pPr>
                  <w:r>
                    <w:rPr>
                      <w:rFonts w:eastAsia="附件"/>
                      <w:kern w:val="0"/>
                      <w:szCs w:val="21"/>
                    </w:rPr>
                    <w:t>39</w:t>
                  </w:r>
                </w:p>
              </w:tc>
              <w:tc>
                <w:tcPr>
                  <w:tcW w:w="1000" w:type="dxa"/>
                  <w:vAlign w:val="center"/>
                </w:tcPr>
                <w:p>
                  <w:pPr>
                    <w:widowControl/>
                    <w:spacing w:line="240" w:lineRule="exact"/>
                    <w:jc w:val="center"/>
                    <w:rPr>
                      <w:rFonts w:eastAsia="附件"/>
                      <w:szCs w:val="21"/>
                    </w:rPr>
                  </w:pPr>
                  <w:r>
                    <w:rPr>
                      <w:kern w:val="0"/>
                      <w:szCs w:val="21"/>
                      <w:lang w:bidi="ar"/>
                    </w:rPr>
                    <w:t>硝基苯</w:t>
                  </w:r>
                </w:p>
              </w:tc>
              <w:tc>
                <w:tcPr>
                  <w:tcW w:w="2550" w:type="dxa"/>
                </w:tcPr>
                <w:p>
                  <w:pPr>
                    <w:jc w:val="center"/>
                    <w:rPr>
                      <w:szCs w:val="21"/>
                    </w:rPr>
                  </w:pPr>
                  <w:r>
                    <w:rPr>
                      <w:rFonts w:hint="eastAsia" w:eastAsia="附件"/>
                      <w:kern w:val="0"/>
                      <w:szCs w:val="21"/>
                    </w:rPr>
                    <w:t>ND</w:t>
                  </w:r>
                </w:p>
              </w:tc>
              <w:tc>
                <w:tcPr>
                  <w:tcW w:w="993" w:type="dxa"/>
                  <w:vAlign w:val="center"/>
                </w:tcPr>
                <w:p>
                  <w:pPr>
                    <w:widowControl/>
                    <w:adjustRightInd w:val="0"/>
                    <w:snapToGrid w:val="0"/>
                    <w:spacing w:line="240" w:lineRule="exact"/>
                    <w:jc w:val="center"/>
                    <w:textAlignment w:val="center"/>
                    <w:rPr>
                      <w:rFonts w:eastAsia="附件"/>
                      <w:kern w:val="0"/>
                      <w:szCs w:val="21"/>
                    </w:rPr>
                  </w:pPr>
                  <w:r>
                    <w:rPr>
                      <w:rFonts w:eastAsia="附件"/>
                      <w:kern w:val="0"/>
                      <w:szCs w:val="21"/>
                    </w:rPr>
                    <w:t>34（190）</w:t>
                  </w:r>
                </w:p>
              </w:tc>
              <w:tc>
                <w:tcPr>
                  <w:tcW w:w="2410" w:type="dxa"/>
                  <w:vAlign w:val="center"/>
                </w:tcPr>
                <w:p>
                  <w:pPr>
                    <w:jc w:val="center"/>
                    <w:rPr>
                      <w:szCs w:val="21"/>
                    </w:rPr>
                  </w:pPr>
                  <w:r>
                    <w:rPr>
                      <w:rFonts w:eastAsia="附件"/>
                      <w:kern w:val="0"/>
                      <w:szCs w:val="21"/>
                    </w:rPr>
                    <w:t>/</w:t>
                  </w:r>
                </w:p>
              </w:tc>
              <w:tc>
                <w:tcPr>
                  <w:tcW w:w="520" w:type="dxa"/>
                  <w:vAlign w:val="center"/>
                </w:tcPr>
                <w:p>
                  <w:pPr>
                    <w:widowControl/>
                    <w:adjustRightInd w:val="0"/>
                    <w:snapToGrid w:val="0"/>
                    <w:spacing w:line="240" w:lineRule="exact"/>
                    <w:jc w:val="center"/>
                    <w:textAlignment w:val="center"/>
                    <w:rPr>
                      <w:rFonts w:eastAsia="附件"/>
                      <w:kern w:val="0"/>
                      <w:szCs w:val="21"/>
                    </w:rPr>
                  </w:pPr>
                  <w:r>
                    <w:rPr>
                      <w:rFonts w:eastAsia="附件"/>
                      <w:kern w:val="0"/>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523" w:type="dxa"/>
                  <w:vAlign w:val="center"/>
                </w:tcPr>
                <w:p>
                  <w:pPr>
                    <w:adjustRightInd w:val="0"/>
                    <w:snapToGrid w:val="0"/>
                    <w:spacing w:line="240" w:lineRule="exact"/>
                    <w:jc w:val="center"/>
                    <w:rPr>
                      <w:rFonts w:eastAsia="附件"/>
                      <w:kern w:val="0"/>
                      <w:szCs w:val="21"/>
                    </w:rPr>
                  </w:pPr>
                  <w:r>
                    <w:rPr>
                      <w:rFonts w:eastAsia="附件"/>
                      <w:kern w:val="0"/>
                      <w:szCs w:val="21"/>
                    </w:rPr>
                    <w:t>40</w:t>
                  </w:r>
                </w:p>
              </w:tc>
              <w:tc>
                <w:tcPr>
                  <w:tcW w:w="1000" w:type="dxa"/>
                  <w:vAlign w:val="center"/>
                </w:tcPr>
                <w:p>
                  <w:pPr>
                    <w:widowControl/>
                    <w:spacing w:line="240" w:lineRule="exact"/>
                    <w:jc w:val="center"/>
                    <w:rPr>
                      <w:rFonts w:eastAsia="附件"/>
                      <w:szCs w:val="21"/>
                    </w:rPr>
                  </w:pPr>
                  <w:r>
                    <w:rPr>
                      <w:kern w:val="0"/>
                      <w:szCs w:val="21"/>
                      <w:lang w:bidi="ar"/>
                    </w:rPr>
                    <w:t>萘</w:t>
                  </w:r>
                </w:p>
              </w:tc>
              <w:tc>
                <w:tcPr>
                  <w:tcW w:w="2550" w:type="dxa"/>
                </w:tcPr>
                <w:p>
                  <w:pPr>
                    <w:jc w:val="center"/>
                    <w:rPr>
                      <w:szCs w:val="21"/>
                    </w:rPr>
                  </w:pPr>
                  <w:r>
                    <w:rPr>
                      <w:rFonts w:hint="eastAsia" w:eastAsia="附件"/>
                      <w:kern w:val="0"/>
                      <w:szCs w:val="21"/>
                    </w:rPr>
                    <w:t>ND</w:t>
                  </w:r>
                </w:p>
              </w:tc>
              <w:tc>
                <w:tcPr>
                  <w:tcW w:w="993" w:type="dxa"/>
                  <w:vAlign w:val="center"/>
                </w:tcPr>
                <w:p>
                  <w:pPr>
                    <w:widowControl/>
                    <w:adjustRightInd w:val="0"/>
                    <w:snapToGrid w:val="0"/>
                    <w:spacing w:line="240" w:lineRule="exact"/>
                    <w:jc w:val="center"/>
                    <w:textAlignment w:val="center"/>
                    <w:rPr>
                      <w:rFonts w:eastAsia="附件"/>
                      <w:kern w:val="0"/>
                      <w:szCs w:val="21"/>
                    </w:rPr>
                  </w:pPr>
                  <w:r>
                    <w:rPr>
                      <w:rFonts w:eastAsia="附件"/>
                      <w:kern w:val="0"/>
                      <w:szCs w:val="21"/>
                    </w:rPr>
                    <w:t>25（255）</w:t>
                  </w:r>
                </w:p>
              </w:tc>
              <w:tc>
                <w:tcPr>
                  <w:tcW w:w="2410" w:type="dxa"/>
                  <w:vAlign w:val="center"/>
                </w:tcPr>
                <w:p>
                  <w:pPr>
                    <w:jc w:val="center"/>
                    <w:rPr>
                      <w:szCs w:val="21"/>
                    </w:rPr>
                  </w:pPr>
                  <w:r>
                    <w:rPr>
                      <w:rFonts w:eastAsia="附件"/>
                      <w:kern w:val="0"/>
                      <w:szCs w:val="21"/>
                    </w:rPr>
                    <w:t>/</w:t>
                  </w:r>
                </w:p>
              </w:tc>
              <w:tc>
                <w:tcPr>
                  <w:tcW w:w="520" w:type="dxa"/>
                  <w:vAlign w:val="center"/>
                </w:tcPr>
                <w:p>
                  <w:pPr>
                    <w:widowControl/>
                    <w:adjustRightInd w:val="0"/>
                    <w:snapToGrid w:val="0"/>
                    <w:spacing w:line="240" w:lineRule="exact"/>
                    <w:jc w:val="center"/>
                    <w:textAlignment w:val="center"/>
                    <w:rPr>
                      <w:rFonts w:eastAsia="附件"/>
                      <w:kern w:val="0"/>
                      <w:szCs w:val="21"/>
                    </w:rPr>
                  </w:pPr>
                  <w:r>
                    <w:rPr>
                      <w:rFonts w:eastAsia="附件"/>
                      <w:kern w:val="0"/>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523" w:type="dxa"/>
                  <w:vAlign w:val="center"/>
                </w:tcPr>
                <w:p>
                  <w:pPr>
                    <w:adjustRightInd w:val="0"/>
                    <w:snapToGrid w:val="0"/>
                    <w:spacing w:line="240" w:lineRule="exact"/>
                    <w:jc w:val="center"/>
                    <w:rPr>
                      <w:rFonts w:eastAsia="附件"/>
                      <w:kern w:val="0"/>
                      <w:szCs w:val="21"/>
                    </w:rPr>
                  </w:pPr>
                  <w:r>
                    <w:rPr>
                      <w:rFonts w:eastAsia="附件"/>
                      <w:kern w:val="0"/>
                      <w:szCs w:val="21"/>
                    </w:rPr>
                    <w:t>41</w:t>
                  </w:r>
                </w:p>
              </w:tc>
              <w:tc>
                <w:tcPr>
                  <w:tcW w:w="1000" w:type="dxa"/>
                  <w:vAlign w:val="center"/>
                </w:tcPr>
                <w:p>
                  <w:pPr>
                    <w:widowControl/>
                    <w:spacing w:line="240" w:lineRule="exact"/>
                    <w:jc w:val="center"/>
                    <w:rPr>
                      <w:rFonts w:eastAsia="附件"/>
                      <w:szCs w:val="21"/>
                    </w:rPr>
                  </w:pPr>
                  <w:r>
                    <w:rPr>
                      <w:kern w:val="0"/>
                      <w:szCs w:val="21"/>
                      <w:lang w:bidi="ar"/>
                    </w:rPr>
                    <w:t>苯并[a]蒽</w:t>
                  </w:r>
                </w:p>
              </w:tc>
              <w:tc>
                <w:tcPr>
                  <w:tcW w:w="2550" w:type="dxa"/>
                </w:tcPr>
                <w:p>
                  <w:pPr>
                    <w:jc w:val="center"/>
                    <w:rPr>
                      <w:szCs w:val="21"/>
                    </w:rPr>
                  </w:pPr>
                  <w:r>
                    <w:rPr>
                      <w:rFonts w:hint="eastAsia" w:eastAsia="附件"/>
                      <w:kern w:val="0"/>
                      <w:szCs w:val="21"/>
                    </w:rPr>
                    <w:t>ND</w:t>
                  </w:r>
                </w:p>
              </w:tc>
              <w:tc>
                <w:tcPr>
                  <w:tcW w:w="993" w:type="dxa"/>
                  <w:vAlign w:val="center"/>
                </w:tcPr>
                <w:p>
                  <w:pPr>
                    <w:widowControl/>
                    <w:adjustRightInd w:val="0"/>
                    <w:snapToGrid w:val="0"/>
                    <w:spacing w:line="240" w:lineRule="exact"/>
                    <w:jc w:val="center"/>
                    <w:textAlignment w:val="center"/>
                    <w:rPr>
                      <w:rFonts w:eastAsia="附件"/>
                      <w:kern w:val="0"/>
                      <w:szCs w:val="21"/>
                    </w:rPr>
                  </w:pPr>
                  <w:r>
                    <w:rPr>
                      <w:rFonts w:eastAsia="附件"/>
                      <w:kern w:val="0"/>
                      <w:szCs w:val="21"/>
                    </w:rPr>
                    <w:t>5.5（55）</w:t>
                  </w:r>
                </w:p>
              </w:tc>
              <w:tc>
                <w:tcPr>
                  <w:tcW w:w="2410" w:type="dxa"/>
                  <w:vAlign w:val="center"/>
                </w:tcPr>
                <w:p>
                  <w:pPr>
                    <w:jc w:val="center"/>
                    <w:rPr>
                      <w:szCs w:val="21"/>
                    </w:rPr>
                  </w:pPr>
                  <w:r>
                    <w:rPr>
                      <w:rFonts w:eastAsia="附件"/>
                      <w:kern w:val="0"/>
                      <w:szCs w:val="21"/>
                    </w:rPr>
                    <w:t>/</w:t>
                  </w:r>
                </w:p>
              </w:tc>
              <w:tc>
                <w:tcPr>
                  <w:tcW w:w="520" w:type="dxa"/>
                  <w:vAlign w:val="center"/>
                </w:tcPr>
                <w:p>
                  <w:pPr>
                    <w:widowControl/>
                    <w:adjustRightInd w:val="0"/>
                    <w:snapToGrid w:val="0"/>
                    <w:spacing w:line="240" w:lineRule="exact"/>
                    <w:jc w:val="center"/>
                    <w:textAlignment w:val="center"/>
                    <w:rPr>
                      <w:rFonts w:eastAsia="附件"/>
                      <w:kern w:val="0"/>
                      <w:szCs w:val="21"/>
                    </w:rPr>
                  </w:pPr>
                  <w:r>
                    <w:rPr>
                      <w:rFonts w:eastAsia="附件"/>
                      <w:kern w:val="0"/>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523" w:type="dxa"/>
                  <w:vAlign w:val="center"/>
                </w:tcPr>
                <w:p>
                  <w:pPr>
                    <w:adjustRightInd w:val="0"/>
                    <w:snapToGrid w:val="0"/>
                    <w:spacing w:line="240" w:lineRule="exact"/>
                    <w:jc w:val="center"/>
                    <w:rPr>
                      <w:rFonts w:eastAsia="附件"/>
                      <w:kern w:val="0"/>
                      <w:szCs w:val="21"/>
                    </w:rPr>
                  </w:pPr>
                  <w:r>
                    <w:rPr>
                      <w:rFonts w:eastAsia="附件"/>
                      <w:kern w:val="0"/>
                      <w:szCs w:val="21"/>
                    </w:rPr>
                    <w:t>42</w:t>
                  </w:r>
                </w:p>
              </w:tc>
              <w:tc>
                <w:tcPr>
                  <w:tcW w:w="1000" w:type="dxa"/>
                  <w:vAlign w:val="center"/>
                </w:tcPr>
                <w:p>
                  <w:pPr>
                    <w:widowControl/>
                    <w:spacing w:line="240" w:lineRule="exact"/>
                    <w:jc w:val="center"/>
                    <w:rPr>
                      <w:rFonts w:eastAsia="附件"/>
                      <w:szCs w:val="21"/>
                    </w:rPr>
                  </w:pPr>
                  <w:r>
                    <w:rPr>
                      <w:kern w:val="0"/>
                      <w:szCs w:val="21"/>
                      <w:lang w:bidi="ar"/>
                    </w:rPr>
                    <w:t>䓛</w:t>
                  </w:r>
                </w:p>
              </w:tc>
              <w:tc>
                <w:tcPr>
                  <w:tcW w:w="2550" w:type="dxa"/>
                </w:tcPr>
                <w:p>
                  <w:pPr>
                    <w:jc w:val="center"/>
                    <w:rPr>
                      <w:szCs w:val="21"/>
                    </w:rPr>
                  </w:pPr>
                  <w:r>
                    <w:rPr>
                      <w:rFonts w:hint="eastAsia" w:eastAsia="附件"/>
                      <w:kern w:val="0"/>
                      <w:szCs w:val="21"/>
                    </w:rPr>
                    <w:t>ND</w:t>
                  </w:r>
                </w:p>
              </w:tc>
              <w:tc>
                <w:tcPr>
                  <w:tcW w:w="993" w:type="dxa"/>
                  <w:vAlign w:val="center"/>
                </w:tcPr>
                <w:p>
                  <w:pPr>
                    <w:widowControl/>
                    <w:adjustRightInd w:val="0"/>
                    <w:snapToGrid w:val="0"/>
                    <w:spacing w:line="240" w:lineRule="exact"/>
                    <w:jc w:val="center"/>
                    <w:textAlignment w:val="center"/>
                    <w:rPr>
                      <w:rFonts w:eastAsia="附件"/>
                      <w:kern w:val="0"/>
                      <w:szCs w:val="21"/>
                    </w:rPr>
                  </w:pPr>
                  <w:r>
                    <w:rPr>
                      <w:rFonts w:eastAsia="附件"/>
                      <w:kern w:val="0"/>
                      <w:szCs w:val="21"/>
                    </w:rPr>
                    <w:t>490（4900）</w:t>
                  </w:r>
                </w:p>
              </w:tc>
              <w:tc>
                <w:tcPr>
                  <w:tcW w:w="2410" w:type="dxa"/>
                  <w:vAlign w:val="center"/>
                </w:tcPr>
                <w:p>
                  <w:pPr>
                    <w:jc w:val="center"/>
                    <w:rPr>
                      <w:szCs w:val="21"/>
                    </w:rPr>
                  </w:pPr>
                  <w:r>
                    <w:rPr>
                      <w:rFonts w:eastAsia="附件"/>
                      <w:kern w:val="0"/>
                      <w:szCs w:val="21"/>
                    </w:rPr>
                    <w:t>/</w:t>
                  </w:r>
                </w:p>
              </w:tc>
              <w:tc>
                <w:tcPr>
                  <w:tcW w:w="520" w:type="dxa"/>
                  <w:vAlign w:val="center"/>
                </w:tcPr>
                <w:p>
                  <w:pPr>
                    <w:widowControl/>
                    <w:adjustRightInd w:val="0"/>
                    <w:snapToGrid w:val="0"/>
                    <w:spacing w:line="240" w:lineRule="exact"/>
                    <w:jc w:val="center"/>
                    <w:textAlignment w:val="center"/>
                    <w:rPr>
                      <w:rFonts w:eastAsia="附件"/>
                      <w:kern w:val="0"/>
                      <w:szCs w:val="21"/>
                    </w:rPr>
                  </w:pPr>
                  <w:r>
                    <w:rPr>
                      <w:rFonts w:eastAsia="附件"/>
                      <w:kern w:val="0"/>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523" w:type="dxa"/>
                  <w:vAlign w:val="center"/>
                </w:tcPr>
                <w:p>
                  <w:pPr>
                    <w:adjustRightInd w:val="0"/>
                    <w:snapToGrid w:val="0"/>
                    <w:spacing w:line="240" w:lineRule="exact"/>
                    <w:jc w:val="center"/>
                    <w:rPr>
                      <w:rFonts w:eastAsia="附件"/>
                      <w:kern w:val="0"/>
                      <w:szCs w:val="21"/>
                    </w:rPr>
                  </w:pPr>
                  <w:r>
                    <w:rPr>
                      <w:rFonts w:eastAsia="附件"/>
                      <w:kern w:val="0"/>
                      <w:szCs w:val="21"/>
                    </w:rPr>
                    <w:t>43</w:t>
                  </w:r>
                </w:p>
              </w:tc>
              <w:tc>
                <w:tcPr>
                  <w:tcW w:w="1000" w:type="dxa"/>
                  <w:vAlign w:val="center"/>
                </w:tcPr>
                <w:p>
                  <w:pPr>
                    <w:widowControl/>
                    <w:spacing w:line="240" w:lineRule="exact"/>
                    <w:jc w:val="center"/>
                    <w:rPr>
                      <w:rFonts w:eastAsia="附件"/>
                      <w:szCs w:val="21"/>
                    </w:rPr>
                  </w:pPr>
                  <w:r>
                    <w:rPr>
                      <w:kern w:val="0"/>
                      <w:szCs w:val="21"/>
                      <w:lang w:bidi="ar"/>
                    </w:rPr>
                    <w:t>苯并[b]荧蒽</w:t>
                  </w:r>
                </w:p>
              </w:tc>
              <w:tc>
                <w:tcPr>
                  <w:tcW w:w="2550" w:type="dxa"/>
                </w:tcPr>
                <w:p>
                  <w:pPr>
                    <w:jc w:val="center"/>
                    <w:rPr>
                      <w:szCs w:val="21"/>
                    </w:rPr>
                  </w:pPr>
                  <w:r>
                    <w:rPr>
                      <w:rFonts w:hint="eastAsia" w:eastAsia="附件"/>
                      <w:kern w:val="0"/>
                      <w:szCs w:val="21"/>
                    </w:rPr>
                    <w:t>ND</w:t>
                  </w:r>
                </w:p>
              </w:tc>
              <w:tc>
                <w:tcPr>
                  <w:tcW w:w="993" w:type="dxa"/>
                  <w:vAlign w:val="center"/>
                </w:tcPr>
                <w:p>
                  <w:pPr>
                    <w:widowControl/>
                    <w:adjustRightInd w:val="0"/>
                    <w:snapToGrid w:val="0"/>
                    <w:spacing w:line="240" w:lineRule="exact"/>
                    <w:jc w:val="center"/>
                    <w:textAlignment w:val="center"/>
                    <w:rPr>
                      <w:rFonts w:eastAsia="附件"/>
                      <w:kern w:val="0"/>
                      <w:szCs w:val="21"/>
                    </w:rPr>
                  </w:pPr>
                  <w:r>
                    <w:rPr>
                      <w:rFonts w:eastAsia="附件"/>
                      <w:kern w:val="0"/>
                      <w:szCs w:val="21"/>
                    </w:rPr>
                    <w:t>5.5（55）</w:t>
                  </w:r>
                </w:p>
              </w:tc>
              <w:tc>
                <w:tcPr>
                  <w:tcW w:w="2410" w:type="dxa"/>
                  <w:vAlign w:val="center"/>
                </w:tcPr>
                <w:p>
                  <w:pPr>
                    <w:jc w:val="center"/>
                    <w:rPr>
                      <w:szCs w:val="21"/>
                    </w:rPr>
                  </w:pPr>
                  <w:r>
                    <w:rPr>
                      <w:rFonts w:eastAsia="附件"/>
                      <w:kern w:val="0"/>
                      <w:szCs w:val="21"/>
                    </w:rPr>
                    <w:t>/</w:t>
                  </w:r>
                </w:p>
              </w:tc>
              <w:tc>
                <w:tcPr>
                  <w:tcW w:w="520" w:type="dxa"/>
                  <w:vAlign w:val="center"/>
                </w:tcPr>
                <w:p>
                  <w:pPr>
                    <w:widowControl/>
                    <w:adjustRightInd w:val="0"/>
                    <w:snapToGrid w:val="0"/>
                    <w:spacing w:line="240" w:lineRule="exact"/>
                    <w:jc w:val="center"/>
                    <w:textAlignment w:val="center"/>
                    <w:rPr>
                      <w:rFonts w:eastAsia="附件"/>
                      <w:kern w:val="0"/>
                      <w:szCs w:val="21"/>
                    </w:rPr>
                  </w:pPr>
                  <w:r>
                    <w:rPr>
                      <w:rFonts w:eastAsia="附件"/>
                      <w:kern w:val="0"/>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523" w:type="dxa"/>
                  <w:vAlign w:val="center"/>
                </w:tcPr>
                <w:p>
                  <w:pPr>
                    <w:adjustRightInd w:val="0"/>
                    <w:snapToGrid w:val="0"/>
                    <w:spacing w:line="240" w:lineRule="exact"/>
                    <w:jc w:val="center"/>
                    <w:rPr>
                      <w:rFonts w:eastAsia="附件"/>
                      <w:kern w:val="0"/>
                      <w:szCs w:val="21"/>
                    </w:rPr>
                  </w:pPr>
                  <w:r>
                    <w:rPr>
                      <w:rFonts w:eastAsia="附件"/>
                      <w:kern w:val="0"/>
                      <w:szCs w:val="21"/>
                    </w:rPr>
                    <w:t>44</w:t>
                  </w:r>
                </w:p>
              </w:tc>
              <w:tc>
                <w:tcPr>
                  <w:tcW w:w="1000" w:type="dxa"/>
                  <w:vAlign w:val="center"/>
                </w:tcPr>
                <w:p>
                  <w:pPr>
                    <w:widowControl/>
                    <w:spacing w:line="240" w:lineRule="exact"/>
                    <w:jc w:val="center"/>
                    <w:rPr>
                      <w:rFonts w:eastAsia="附件"/>
                      <w:szCs w:val="21"/>
                    </w:rPr>
                  </w:pPr>
                  <w:r>
                    <w:rPr>
                      <w:kern w:val="0"/>
                      <w:szCs w:val="21"/>
                      <w:lang w:bidi="ar"/>
                    </w:rPr>
                    <w:t>苯并[k]荧蒽</w:t>
                  </w:r>
                </w:p>
              </w:tc>
              <w:tc>
                <w:tcPr>
                  <w:tcW w:w="2550" w:type="dxa"/>
                </w:tcPr>
                <w:p>
                  <w:pPr>
                    <w:jc w:val="center"/>
                    <w:rPr>
                      <w:szCs w:val="21"/>
                    </w:rPr>
                  </w:pPr>
                  <w:r>
                    <w:rPr>
                      <w:rFonts w:hint="eastAsia" w:eastAsia="附件"/>
                      <w:kern w:val="0"/>
                      <w:szCs w:val="21"/>
                    </w:rPr>
                    <w:t>ND</w:t>
                  </w:r>
                </w:p>
              </w:tc>
              <w:tc>
                <w:tcPr>
                  <w:tcW w:w="993" w:type="dxa"/>
                  <w:vAlign w:val="center"/>
                </w:tcPr>
                <w:p>
                  <w:pPr>
                    <w:widowControl/>
                    <w:adjustRightInd w:val="0"/>
                    <w:snapToGrid w:val="0"/>
                    <w:spacing w:line="240" w:lineRule="exact"/>
                    <w:jc w:val="center"/>
                    <w:textAlignment w:val="center"/>
                    <w:rPr>
                      <w:rFonts w:eastAsia="附件"/>
                      <w:kern w:val="0"/>
                      <w:szCs w:val="21"/>
                    </w:rPr>
                  </w:pPr>
                  <w:r>
                    <w:rPr>
                      <w:rFonts w:eastAsia="附件"/>
                      <w:kern w:val="0"/>
                      <w:szCs w:val="21"/>
                    </w:rPr>
                    <w:t>55（550）</w:t>
                  </w:r>
                </w:p>
              </w:tc>
              <w:tc>
                <w:tcPr>
                  <w:tcW w:w="2410" w:type="dxa"/>
                  <w:vAlign w:val="center"/>
                </w:tcPr>
                <w:p>
                  <w:pPr>
                    <w:jc w:val="center"/>
                    <w:rPr>
                      <w:szCs w:val="21"/>
                    </w:rPr>
                  </w:pPr>
                  <w:r>
                    <w:rPr>
                      <w:rFonts w:eastAsia="附件"/>
                      <w:kern w:val="0"/>
                      <w:szCs w:val="21"/>
                    </w:rPr>
                    <w:t>/</w:t>
                  </w:r>
                </w:p>
              </w:tc>
              <w:tc>
                <w:tcPr>
                  <w:tcW w:w="520" w:type="dxa"/>
                  <w:vAlign w:val="center"/>
                </w:tcPr>
                <w:p>
                  <w:pPr>
                    <w:widowControl/>
                    <w:adjustRightInd w:val="0"/>
                    <w:snapToGrid w:val="0"/>
                    <w:spacing w:line="240" w:lineRule="exact"/>
                    <w:jc w:val="center"/>
                    <w:textAlignment w:val="center"/>
                    <w:rPr>
                      <w:rFonts w:eastAsia="附件"/>
                      <w:kern w:val="0"/>
                      <w:szCs w:val="21"/>
                    </w:rPr>
                  </w:pPr>
                  <w:r>
                    <w:rPr>
                      <w:rFonts w:eastAsia="附件"/>
                      <w:kern w:val="0"/>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523" w:type="dxa"/>
                  <w:vAlign w:val="center"/>
                </w:tcPr>
                <w:p>
                  <w:pPr>
                    <w:adjustRightInd w:val="0"/>
                    <w:snapToGrid w:val="0"/>
                    <w:spacing w:line="240" w:lineRule="exact"/>
                    <w:jc w:val="center"/>
                    <w:rPr>
                      <w:rFonts w:eastAsia="附件"/>
                      <w:kern w:val="0"/>
                      <w:szCs w:val="21"/>
                    </w:rPr>
                  </w:pPr>
                  <w:r>
                    <w:rPr>
                      <w:rFonts w:eastAsia="附件"/>
                      <w:kern w:val="0"/>
                      <w:szCs w:val="21"/>
                    </w:rPr>
                    <w:t>45</w:t>
                  </w:r>
                </w:p>
              </w:tc>
              <w:tc>
                <w:tcPr>
                  <w:tcW w:w="1000" w:type="dxa"/>
                  <w:vAlign w:val="center"/>
                </w:tcPr>
                <w:p>
                  <w:pPr>
                    <w:widowControl/>
                    <w:spacing w:line="240" w:lineRule="exact"/>
                    <w:jc w:val="center"/>
                    <w:rPr>
                      <w:rFonts w:eastAsia="附件"/>
                      <w:szCs w:val="21"/>
                    </w:rPr>
                  </w:pPr>
                  <w:r>
                    <w:rPr>
                      <w:kern w:val="0"/>
                      <w:szCs w:val="21"/>
                      <w:lang w:bidi="ar"/>
                    </w:rPr>
                    <w:t>苯并[a]芘</w:t>
                  </w:r>
                </w:p>
              </w:tc>
              <w:tc>
                <w:tcPr>
                  <w:tcW w:w="2550" w:type="dxa"/>
                </w:tcPr>
                <w:p>
                  <w:pPr>
                    <w:jc w:val="center"/>
                    <w:rPr>
                      <w:szCs w:val="21"/>
                    </w:rPr>
                  </w:pPr>
                  <w:r>
                    <w:rPr>
                      <w:rFonts w:hint="eastAsia" w:eastAsia="附件"/>
                      <w:kern w:val="0"/>
                      <w:szCs w:val="21"/>
                    </w:rPr>
                    <w:t>ND</w:t>
                  </w:r>
                </w:p>
              </w:tc>
              <w:tc>
                <w:tcPr>
                  <w:tcW w:w="993" w:type="dxa"/>
                  <w:vAlign w:val="center"/>
                </w:tcPr>
                <w:p>
                  <w:pPr>
                    <w:widowControl/>
                    <w:adjustRightInd w:val="0"/>
                    <w:snapToGrid w:val="0"/>
                    <w:spacing w:line="240" w:lineRule="exact"/>
                    <w:jc w:val="center"/>
                    <w:textAlignment w:val="center"/>
                    <w:rPr>
                      <w:rFonts w:eastAsia="附件"/>
                      <w:kern w:val="0"/>
                      <w:szCs w:val="21"/>
                    </w:rPr>
                  </w:pPr>
                  <w:r>
                    <w:rPr>
                      <w:rFonts w:eastAsia="附件"/>
                      <w:kern w:val="0"/>
                      <w:szCs w:val="21"/>
                    </w:rPr>
                    <w:t>0.55（5.5）</w:t>
                  </w:r>
                </w:p>
              </w:tc>
              <w:tc>
                <w:tcPr>
                  <w:tcW w:w="2410" w:type="dxa"/>
                  <w:vAlign w:val="center"/>
                </w:tcPr>
                <w:p>
                  <w:pPr>
                    <w:jc w:val="center"/>
                    <w:rPr>
                      <w:szCs w:val="21"/>
                    </w:rPr>
                  </w:pPr>
                  <w:r>
                    <w:rPr>
                      <w:rFonts w:eastAsia="附件"/>
                      <w:kern w:val="0"/>
                      <w:szCs w:val="21"/>
                    </w:rPr>
                    <w:t>/</w:t>
                  </w:r>
                </w:p>
              </w:tc>
              <w:tc>
                <w:tcPr>
                  <w:tcW w:w="520" w:type="dxa"/>
                  <w:vAlign w:val="center"/>
                </w:tcPr>
                <w:p>
                  <w:pPr>
                    <w:widowControl/>
                    <w:adjustRightInd w:val="0"/>
                    <w:snapToGrid w:val="0"/>
                    <w:spacing w:line="240" w:lineRule="exact"/>
                    <w:jc w:val="center"/>
                    <w:textAlignment w:val="center"/>
                    <w:rPr>
                      <w:rFonts w:eastAsia="附件"/>
                      <w:kern w:val="0"/>
                      <w:szCs w:val="21"/>
                    </w:rPr>
                  </w:pPr>
                  <w:r>
                    <w:rPr>
                      <w:rFonts w:eastAsia="附件"/>
                      <w:kern w:val="0"/>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523" w:type="dxa"/>
                  <w:vAlign w:val="center"/>
                </w:tcPr>
                <w:p>
                  <w:pPr>
                    <w:adjustRightInd w:val="0"/>
                    <w:snapToGrid w:val="0"/>
                    <w:spacing w:line="240" w:lineRule="exact"/>
                    <w:jc w:val="center"/>
                    <w:rPr>
                      <w:rFonts w:eastAsia="附件"/>
                      <w:kern w:val="0"/>
                      <w:szCs w:val="21"/>
                    </w:rPr>
                  </w:pPr>
                  <w:r>
                    <w:rPr>
                      <w:rFonts w:eastAsia="附件"/>
                      <w:kern w:val="0"/>
                      <w:szCs w:val="21"/>
                    </w:rPr>
                    <w:t>46</w:t>
                  </w:r>
                </w:p>
              </w:tc>
              <w:tc>
                <w:tcPr>
                  <w:tcW w:w="1000" w:type="dxa"/>
                  <w:vAlign w:val="center"/>
                </w:tcPr>
                <w:p>
                  <w:pPr>
                    <w:widowControl/>
                    <w:spacing w:line="240" w:lineRule="exact"/>
                    <w:jc w:val="center"/>
                    <w:rPr>
                      <w:rFonts w:eastAsia="附件"/>
                      <w:szCs w:val="21"/>
                    </w:rPr>
                  </w:pPr>
                  <w:r>
                    <w:rPr>
                      <w:kern w:val="0"/>
                      <w:szCs w:val="21"/>
                      <w:lang w:bidi="ar"/>
                    </w:rPr>
                    <w:t>茚并[1,2,3-cd]芘</w:t>
                  </w:r>
                </w:p>
              </w:tc>
              <w:tc>
                <w:tcPr>
                  <w:tcW w:w="2550" w:type="dxa"/>
                </w:tcPr>
                <w:p>
                  <w:pPr>
                    <w:jc w:val="center"/>
                    <w:rPr>
                      <w:szCs w:val="21"/>
                    </w:rPr>
                  </w:pPr>
                  <w:r>
                    <w:rPr>
                      <w:rFonts w:hint="eastAsia" w:eastAsia="附件"/>
                      <w:kern w:val="0"/>
                      <w:szCs w:val="21"/>
                    </w:rPr>
                    <w:t>ND</w:t>
                  </w:r>
                </w:p>
              </w:tc>
              <w:tc>
                <w:tcPr>
                  <w:tcW w:w="993" w:type="dxa"/>
                  <w:vAlign w:val="center"/>
                </w:tcPr>
                <w:p>
                  <w:pPr>
                    <w:widowControl/>
                    <w:adjustRightInd w:val="0"/>
                    <w:snapToGrid w:val="0"/>
                    <w:spacing w:line="240" w:lineRule="exact"/>
                    <w:jc w:val="center"/>
                    <w:textAlignment w:val="center"/>
                    <w:rPr>
                      <w:rFonts w:eastAsia="附件"/>
                      <w:kern w:val="0"/>
                      <w:szCs w:val="21"/>
                    </w:rPr>
                  </w:pPr>
                  <w:r>
                    <w:rPr>
                      <w:rFonts w:eastAsia="附件"/>
                      <w:kern w:val="0"/>
                      <w:szCs w:val="21"/>
                    </w:rPr>
                    <w:t>5.5（55）</w:t>
                  </w:r>
                </w:p>
              </w:tc>
              <w:tc>
                <w:tcPr>
                  <w:tcW w:w="2410" w:type="dxa"/>
                  <w:vAlign w:val="center"/>
                </w:tcPr>
                <w:p>
                  <w:pPr>
                    <w:jc w:val="center"/>
                    <w:rPr>
                      <w:szCs w:val="21"/>
                    </w:rPr>
                  </w:pPr>
                  <w:r>
                    <w:rPr>
                      <w:rFonts w:eastAsia="附件"/>
                      <w:kern w:val="0"/>
                      <w:szCs w:val="21"/>
                    </w:rPr>
                    <w:t>/</w:t>
                  </w:r>
                </w:p>
              </w:tc>
              <w:tc>
                <w:tcPr>
                  <w:tcW w:w="520" w:type="dxa"/>
                  <w:vAlign w:val="center"/>
                </w:tcPr>
                <w:p>
                  <w:pPr>
                    <w:widowControl/>
                    <w:adjustRightInd w:val="0"/>
                    <w:snapToGrid w:val="0"/>
                    <w:spacing w:line="240" w:lineRule="exact"/>
                    <w:jc w:val="center"/>
                    <w:textAlignment w:val="center"/>
                    <w:rPr>
                      <w:rFonts w:eastAsia="附件"/>
                      <w:kern w:val="0"/>
                      <w:szCs w:val="21"/>
                    </w:rPr>
                  </w:pPr>
                  <w:r>
                    <w:rPr>
                      <w:rFonts w:eastAsia="附件"/>
                      <w:kern w:val="0"/>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523" w:type="dxa"/>
                  <w:vAlign w:val="center"/>
                </w:tcPr>
                <w:p>
                  <w:pPr>
                    <w:adjustRightInd w:val="0"/>
                    <w:snapToGrid w:val="0"/>
                    <w:spacing w:line="240" w:lineRule="exact"/>
                    <w:jc w:val="center"/>
                    <w:rPr>
                      <w:rFonts w:eastAsia="附件"/>
                      <w:kern w:val="0"/>
                      <w:szCs w:val="21"/>
                    </w:rPr>
                  </w:pPr>
                  <w:r>
                    <w:rPr>
                      <w:rFonts w:eastAsia="附件"/>
                      <w:kern w:val="0"/>
                      <w:szCs w:val="21"/>
                    </w:rPr>
                    <w:t>47</w:t>
                  </w:r>
                </w:p>
              </w:tc>
              <w:tc>
                <w:tcPr>
                  <w:tcW w:w="1000" w:type="dxa"/>
                  <w:vAlign w:val="center"/>
                </w:tcPr>
                <w:p>
                  <w:pPr>
                    <w:widowControl/>
                    <w:spacing w:line="240" w:lineRule="exact"/>
                    <w:jc w:val="center"/>
                    <w:rPr>
                      <w:rFonts w:eastAsia="附件"/>
                      <w:szCs w:val="21"/>
                    </w:rPr>
                  </w:pPr>
                  <w:r>
                    <w:rPr>
                      <w:kern w:val="0"/>
                      <w:szCs w:val="21"/>
                      <w:lang w:bidi="ar"/>
                    </w:rPr>
                    <w:t>二苯并[a,h]蒽</w:t>
                  </w:r>
                </w:p>
              </w:tc>
              <w:tc>
                <w:tcPr>
                  <w:tcW w:w="2550" w:type="dxa"/>
                </w:tcPr>
                <w:p>
                  <w:pPr>
                    <w:jc w:val="center"/>
                    <w:rPr>
                      <w:szCs w:val="21"/>
                    </w:rPr>
                  </w:pPr>
                  <w:r>
                    <w:rPr>
                      <w:rFonts w:hint="eastAsia" w:eastAsia="附件"/>
                      <w:kern w:val="0"/>
                      <w:szCs w:val="21"/>
                    </w:rPr>
                    <w:t>ND</w:t>
                  </w:r>
                </w:p>
              </w:tc>
              <w:tc>
                <w:tcPr>
                  <w:tcW w:w="993" w:type="dxa"/>
                  <w:vAlign w:val="center"/>
                </w:tcPr>
                <w:p>
                  <w:pPr>
                    <w:widowControl/>
                    <w:adjustRightInd w:val="0"/>
                    <w:snapToGrid w:val="0"/>
                    <w:spacing w:line="240" w:lineRule="exact"/>
                    <w:jc w:val="center"/>
                    <w:textAlignment w:val="center"/>
                    <w:rPr>
                      <w:rFonts w:eastAsia="附件"/>
                      <w:kern w:val="0"/>
                      <w:szCs w:val="21"/>
                    </w:rPr>
                  </w:pPr>
                  <w:r>
                    <w:rPr>
                      <w:rFonts w:eastAsia="附件"/>
                      <w:kern w:val="0"/>
                      <w:szCs w:val="21"/>
                    </w:rPr>
                    <w:t>0.55（5.5）</w:t>
                  </w:r>
                </w:p>
              </w:tc>
              <w:tc>
                <w:tcPr>
                  <w:tcW w:w="2410" w:type="dxa"/>
                  <w:vAlign w:val="center"/>
                </w:tcPr>
                <w:p>
                  <w:pPr>
                    <w:jc w:val="center"/>
                    <w:rPr>
                      <w:szCs w:val="21"/>
                    </w:rPr>
                  </w:pPr>
                  <w:r>
                    <w:rPr>
                      <w:rFonts w:eastAsia="附件"/>
                      <w:kern w:val="0"/>
                      <w:szCs w:val="21"/>
                    </w:rPr>
                    <w:t>/</w:t>
                  </w:r>
                </w:p>
              </w:tc>
              <w:tc>
                <w:tcPr>
                  <w:tcW w:w="520" w:type="dxa"/>
                  <w:vAlign w:val="center"/>
                </w:tcPr>
                <w:p>
                  <w:pPr>
                    <w:widowControl/>
                    <w:adjustRightInd w:val="0"/>
                    <w:snapToGrid w:val="0"/>
                    <w:spacing w:line="240" w:lineRule="exact"/>
                    <w:jc w:val="center"/>
                    <w:textAlignment w:val="center"/>
                    <w:rPr>
                      <w:rFonts w:eastAsia="附件"/>
                      <w:kern w:val="0"/>
                      <w:szCs w:val="21"/>
                    </w:rPr>
                  </w:pPr>
                  <w:r>
                    <w:rPr>
                      <w:rFonts w:eastAsia="附件"/>
                      <w:kern w:val="0"/>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7996" w:type="dxa"/>
                  <w:gridSpan w:val="6"/>
                  <w:vAlign w:val="center"/>
                </w:tcPr>
                <w:p>
                  <w:pPr>
                    <w:widowControl/>
                    <w:adjustRightInd w:val="0"/>
                    <w:snapToGrid w:val="0"/>
                    <w:spacing w:line="240" w:lineRule="exact"/>
                    <w:jc w:val="center"/>
                    <w:textAlignment w:val="center"/>
                    <w:rPr>
                      <w:rFonts w:eastAsia="附件"/>
                      <w:szCs w:val="21"/>
                    </w:rPr>
                  </w:pPr>
                  <w:r>
                    <w:rPr>
                      <w:rFonts w:hint="eastAsia" w:ascii="宋体" w:hAnsi="宋体" w:cs="宋体"/>
                      <w:szCs w:val="21"/>
                    </w:rPr>
                    <w:t>①</w:t>
                  </w:r>
                  <w:r>
                    <w:rPr>
                      <w:rFonts w:eastAsia="附件"/>
                      <w:szCs w:val="21"/>
                    </w:rPr>
                    <w:t>括号外为6.5＜pH≤7.5中风险筛选值；括号内pH&gt;7.5中风险筛选值。</w:t>
                  </w:r>
                </w:p>
                <w:p>
                  <w:pPr>
                    <w:widowControl/>
                    <w:adjustRightInd w:val="0"/>
                    <w:snapToGrid w:val="0"/>
                    <w:spacing w:line="240" w:lineRule="exact"/>
                    <w:jc w:val="center"/>
                    <w:textAlignment w:val="center"/>
                    <w:rPr>
                      <w:rFonts w:eastAsia="附件"/>
                      <w:szCs w:val="21"/>
                    </w:rPr>
                  </w:pPr>
                  <w:r>
                    <w:rPr>
                      <w:rFonts w:hint="eastAsia" w:ascii="宋体" w:hAnsi="宋体" w:cs="宋体"/>
                      <w:szCs w:val="21"/>
                    </w:rPr>
                    <w:t>②</w:t>
                  </w:r>
                  <w:r>
                    <w:rPr>
                      <w:rFonts w:eastAsia="附件"/>
                      <w:szCs w:val="21"/>
                    </w:rPr>
                    <w:t>注TR1 ~ TR3执行pH&gt;7.5中风险筛选值。</w:t>
                  </w:r>
                </w:p>
              </w:tc>
            </w:tr>
          </w:tbl>
          <w:p>
            <w:pPr>
              <w:spacing w:line="360" w:lineRule="auto"/>
              <w:ind w:firstLine="420" w:firstLineChars="200"/>
              <w:rPr>
                <w:rFonts w:eastAsia="附件"/>
                <w:szCs w:val="21"/>
              </w:rPr>
            </w:pPr>
          </w:p>
          <w:p>
            <w:pPr>
              <w:spacing w:line="360" w:lineRule="auto"/>
              <w:ind w:firstLine="420" w:firstLineChars="200"/>
              <w:rPr>
                <w:kern w:val="0"/>
                <w:szCs w:val="21"/>
              </w:rPr>
            </w:pPr>
            <w:r>
              <w:rPr>
                <w:rFonts w:eastAsia="附件"/>
                <w:szCs w:val="21"/>
              </w:rPr>
              <w:t>从监测结果分析，各样点土壤环境质量良好，各项监测指标均可达到《土壤环境质量农用地土壤污染风险管控标准（试行）》（GB15618-2018）筛选值，《土壤环境质量建设用地土壤污染风险管控标准（试行）》（GB36600-2018）第二类用地筛选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904" w:type="dxa"/>
            <w:vAlign w:val="center"/>
          </w:tcPr>
          <w:p>
            <w:pPr>
              <w:adjustRightInd w:val="0"/>
              <w:snapToGrid w:val="0"/>
              <w:jc w:val="center"/>
              <w:rPr>
                <w:kern w:val="0"/>
                <w:szCs w:val="21"/>
              </w:rPr>
            </w:pPr>
            <w:r>
              <w:rPr>
                <w:bCs/>
                <w:szCs w:val="21"/>
              </w:rPr>
              <w:t>与项目有关的原有环境污染和生态破坏问题</w:t>
            </w:r>
          </w:p>
        </w:tc>
        <w:tc>
          <w:tcPr>
            <w:tcW w:w="8253" w:type="dxa"/>
            <w:vAlign w:val="center"/>
          </w:tcPr>
          <w:p>
            <w:pPr>
              <w:spacing w:line="360" w:lineRule="auto"/>
              <w:ind w:firstLine="420" w:firstLineChars="200"/>
              <w:rPr>
                <w:kern w:val="0"/>
                <w:szCs w:val="21"/>
              </w:rPr>
            </w:pPr>
            <w:r>
              <w:rPr>
                <w:rFonts w:hint="eastAsia"/>
                <w:kern w:val="0"/>
                <w:szCs w:val="21"/>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35" w:hRule="atLeast"/>
          <w:jc w:val="center"/>
        </w:trPr>
        <w:tc>
          <w:tcPr>
            <w:tcW w:w="904" w:type="dxa"/>
            <w:vAlign w:val="center"/>
          </w:tcPr>
          <w:p>
            <w:pPr>
              <w:adjustRightInd w:val="0"/>
              <w:snapToGrid w:val="0"/>
              <w:jc w:val="center"/>
              <w:rPr>
                <w:kern w:val="0"/>
                <w:szCs w:val="21"/>
              </w:rPr>
            </w:pPr>
            <w:r>
              <w:rPr>
                <w:kern w:val="0"/>
                <w:szCs w:val="21"/>
              </w:rPr>
              <w:t>生态环境保护目标</w:t>
            </w:r>
          </w:p>
        </w:tc>
        <w:tc>
          <w:tcPr>
            <w:tcW w:w="8253" w:type="dxa"/>
            <w:vAlign w:val="center"/>
          </w:tcPr>
          <w:p>
            <w:pPr>
              <w:adjustRightInd w:val="0"/>
              <w:snapToGrid w:val="0"/>
              <w:spacing w:line="360" w:lineRule="auto"/>
              <w:rPr>
                <w:b/>
                <w:bCs/>
                <w:kern w:val="0"/>
                <w:szCs w:val="21"/>
              </w:rPr>
            </w:pPr>
            <w:r>
              <w:rPr>
                <w:b/>
                <w:bCs/>
                <w:kern w:val="0"/>
                <w:szCs w:val="21"/>
              </w:rPr>
              <w:t>3.4项目外环境关系</w:t>
            </w:r>
          </w:p>
          <w:p>
            <w:pPr>
              <w:spacing w:line="360" w:lineRule="auto"/>
              <w:rPr>
                <w:b/>
                <w:szCs w:val="21"/>
              </w:rPr>
            </w:pPr>
            <w:bookmarkStart w:id="21" w:name="_Hlk69131030"/>
            <w:r>
              <w:rPr>
                <w:b/>
                <w:szCs w:val="21"/>
              </w:rPr>
              <w:t>3.4.1外环境关系</w:t>
            </w:r>
          </w:p>
          <w:p>
            <w:pPr>
              <w:spacing w:line="360" w:lineRule="auto"/>
              <w:ind w:firstLine="420" w:firstLineChars="200"/>
              <w:rPr>
                <w:bCs/>
                <w:szCs w:val="21"/>
              </w:rPr>
            </w:pPr>
            <w:bookmarkStart w:id="22" w:name="_Hlk80691296"/>
            <w:r>
              <w:rPr>
                <w:bCs/>
                <w:szCs w:val="21"/>
              </w:rPr>
              <w:t>1、项目井场周边外环境简况</w:t>
            </w:r>
          </w:p>
          <w:p>
            <w:pPr>
              <w:spacing w:line="360" w:lineRule="auto"/>
              <w:ind w:firstLine="420" w:firstLineChars="200"/>
              <w:rPr>
                <w:bCs/>
                <w:szCs w:val="21"/>
              </w:rPr>
            </w:pPr>
            <w:bookmarkStart w:id="23" w:name="_Hlk86168389"/>
            <w:r>
              <w:rPr>
                <w:bCs/>
                <w:szCs w:val="21"/>
              </w:rPr>
              <w:t>平安101井位于四川省达州市通川区北山镇苏坪村</w:t>
            </w:r>
            <w:r>
              <w:rPr>
                <w:rFonts w:hint="eastAsia"/>
                <w:bCs/>
                <w:szCs w:val="21"/>
              </w:rPr>
              <w:t>6</w:t>
            </w:r>
            <w:r>
              <w:rPr>
                <w:bCs/>
                <w:szCs w:val="21"/>
              </w:rPr>
              <w:t>组，井场区域地貌为丘陵，井场沿</w:t>
            </w:r>
            <w:r>
              <w:rPr>
                <w:rFonts w:hint="eastAsia"/>
                <w:bCs/>
                <w:szCs w:val="21"/>
              </w:rPr>
              <w:t>西北</w:t>
            </w:r>
            <w:r>
              <w:rPr>
                <w:bCs/>
                <w:szCs w:val="21"/>
              </w:rPr>
              <w:t>-</w:t>
            </w:r>
            <w:r>
              <w:rPr>
                <w:rFonts w:hint="eastAsia"/>
                <w:bCs/>
                <w:szCs w:val="21"/>
              </w:rPr>
              <w:t>东南</w:t>
            </w:r>
            <w:r>
              <w:rPr>
                <w:bCs/>
                <w:szCs w:val="21"/>
              </w:rPr>
              <w:t>向摆放。</w:t>
            </w:r>
          </w:p>
          <w:p>
            <w:pPr>
              <w:spacing w:line="360" w:lineRule="auto"/>
              <w:ind w:firstLine="420" w:firstLineChars="200"/>
              <w:rPr>
                <w:szCs w:val="21"/>
              </w:rPr>
            </w:pPr>
            <w:r>
              <w:rPr>
                <w:bCs/>
                <w:szCs w:val="21"/>
              </w:rPr>
              <w:t>根据现场调查可知：</w:t>
            </w:r>
            <w:r>
              <w:rPr>
                <w:szCs w:val="21"/>
              </w:rPr>
              <w:t>井口500m范围内无铁路</w:t>
            </w:r>
            <w:r>
              <w:rPr>
                <w:rFonts w:hint="eastAsia"/>
                <w:szCs w:val="21"/>
              </w:rPr>
              <w:t>、</w:t>
            </w:r>
            <w:r>
              <w:rPr>
                <w:szCs w:val="21"/>
              </w:rPr>
              <w:t>无建制学校、高速公路、场镇、医院，煤矿；无大型厂矿、油库以及风景名胜区等。</w:t>
            </w:r>
            <w:bookmarkEnd w:id="23"/>
          </w:p>
          <w:p>
            <w:pPr>
              <w:spacing w:line="360" w:lineRule="auto"/>
              <w:ind w:firstLine="420" w:firstLineChars="200"/>
              <w:rPr>
                <w:szCs w:val="21"/>
              </w:rPr>
            </w:pPr>
            <w:r>
              <w:rPr>
                <w:szCs w:val="21"/>
              </w:rPr>
              <w:t>2、井场周边人居现状</w:t>
            </w:r>
          </w:p>
          <w:p>
            <w:pPr>
              <w:pStyle w:val="209"/>
              <w:ind w:firstLine="420"/>
              <w:rPr>
                <w:sz w:val="21"/>
              </w:rPr>
            </w:pPr>
            <w:bookmarkStart w:id="24" w:name="_Hlk86168401"/>
            <w:r>
              <w:rPr>
                <w:sz w:val="21"/>
              </w:rPr>
              <w:t>井口方圆500m范围内共计人口128人。</w:t>
            </w:r>
            <w:r>
              <w:rPr>
                <w:rFonts w:hint="eastAsia"/>
                <w:sz w:val="21"/>
              </w:rPr>
              <w:t>井口1</w:t>
            </w:r>
            <w:r>
              <w:rPr>
                <w:sz w:val="21"/>
              </w:rPr>
              <w:t>00</w:t>
            </w:r>
            <w:r>
              <w:rPr>
                <w:rFonts w:hint="eastAsia"/>
                <w:sz w:val="21"/>
              </w:rPr>
              <w:t>m范围内共有2栋</w:t>
            </w:r>
            <w:r>
              <w:rPr>
                <w:sz w:val="21"/>
              </w:rPr>
              <w:t>房屋</w:t>
            </w:r>
            <w:r>
              <w:rPr>
                <w:rFonts w:hint="eastAsia"/>
                <w:sz w:val="21"/>
              </w:rPr>
              <w:t>，</w:t>
            </w:r>
            <w:r>
              <w:rPr>
                <w:sz w:val="21"/>
              </w:rPr>
              <w:t>目前正在进行拆迁安置，拆迁安置后井口</w:t>
            </w:r>
            <w:r>
              <w:rPr>
                <w:rFonts w:hint="eastAsia"/>
                <w:sz w:val="21"/>
              </w:rPr>
              <w:t>100</w:t>
            </w:r>
            <w:r>
              <w:rPr>
                <w:sz w:val="21"/>
              </w:rPr>
              <w:t>m范围内无居民，</w:t>
            </w:r>
            <w:r>
              <w:rPr>
                <w:rFonts w:hint="eastAsia"/>
                <w:sz w:val="21"/>
              </w:rPr>
              <w:t>居民12人</w:t>
            </w:r>
            <w:r>
              <w:rPr>
                <w:sz w:val="21"/>
              </w:rPr>
              <w:t>，</w:t>
            </w:r>
            <w:r>
              <w:rPr>
                <w:rFonts w:hint="eastAsia"/>
                <w:sz w:val="21"/>
              </w:rPr>
              <w:t>目前</w:t>
            </w:r>
            <w:r>
              <w:rPr>
                <w:sz w:val="21"/>
              </w:rPr>
              <w:t>正在进行拆迁安置</w:t>
            </w:r>
            <w:r>
              <w:rPr>
                <w:rFonts w:hint="eastAsia"/>
                <w:sz w:val="21"/>
              </w:rPr>
              <w:t>，</w:t>
            </w:r>
            <w:r>
              <w:rPr>
                <w:sz w:val="21"/>
              </w:rPr>
              <w:t>100m～300m范围有农户17户，人口约37人，方圆300m～500m范围有农户22户，人口79人</w:t>
            </w:r>
            <w:bookmarkEnd w:id="24"/>
            <w:r>
              <w:rPr>
                <w:sz w:val="21"/>
              </w:rPr>
              <w:t>。</w:t>
            </w:r>
          </w:p>
          <w:p>
            <w:pPr>
              <w:pStyle w:val="209"/>
              <w:tabs>
                <w:tab w:val="clear" w:pos="377"/>
              </w:tabs>
              <w:ind w:firstLine="420"/>
              <w:rPr>
                <w:sz w:val="21"/>
              </w:rPr>
            </w:pPr>
            <w:r>
              <w:rPr>
                <w:sz w:val="21"/>
              </w:rPr>
              <w:t>井口500m范围内人居调查统计及分布见附图4。</w:t>
            </w:r>
          </w:p>
          <w:p>
            <w:pPr>
              <w:spacing w:line="360" w:lineRule="auto"/>
              <w:ind w:firstLine="420" w:firstLineChars="200"/>
              <w:rPr>
                <w:szCs w:val="21"/>
              </w:rPr>
            </w:pPr>
            <w:r>
              <w:rPr>
                <w:szCs w:val="21"/>
              </w:rPr>
              <w:t>3、井场周边植被及地表水现状</w:t>
            </w:r>
          </w:p>
          <w:p>
            <w:pPr>
              <w:spacing w:line="360" w:lineRule="auto"/>
              <w:ind w:firstLine="420" w:firstLineChars="200"/>
              <w:rPr>
                <w:szCs w:val="21"/>
              </w:rPr>
            </w:pPr>
            <w:r>
              <w:rPr>
                <w:szCs w:val="21"/>
              </w:rPr>
              <w:t>井场所在地及周边地貌主要为旱地，现场踏勘时种植的主要农作物为玉米、油菜。井场附近的民居处分布着少量人工种植的花椒树。</w:t>
            </w:r>
          </w:p>
          <w:p>
            <w:pPr>
              <w:spacing w:line="360" w:lineRule="auto"/>
              <w:ind w:firstLine="420" w:firstLineChars="200"/>
              <w:rPr>
                <w:kern w:val="0"/>
                <w:szCs w:val="21"/>
                <w:lang w:bidi="ar"/>
              </w:rPr>
            </w:pPr>
            <w:r>
              <w:rPr>
                <w:szCs w:val="21"/>
              </w:rPr>
              <w:t>通过现场调查，</w:t>
            </w:r>
            <w:bookmarkStart w:id="25" w:name="_Hlk103759370"/>
            <w:r>
              <w:rPr>
                <w:rFonts w:hint="eastAsia"/>
                <w:szCs w:val="21"/>
              </w:rPr>
              <w:t>井场西侧345m为洞滩河，无</w:t>
            </w:r>
            <w:r>
              <w:rPr>
                <w:szCs w:val="21"/>
              </w:rPr>
              <w:t>水域功能</w:t>
            </w:r>
            <w:r>
              <w:rPr>
                <w:rFonts w:hint="eastAsia"/>
                <w:szCs w:val="21"/>
              </w:rPr>
              <w:t>，</w:t>
            </w:r>
            <w:r>
              <w:rPr>
                <w:szCs w:val="21"/>
              </w:rPr>
              <w:t>井口500m范围内无大型河流、水库等。经调查核实，项目评价区域内不涉及集中式饮用水源保护区</w:t>
            </w:r>
            <w:bookmarkEnd w:id="25"/>
            <w:r>
              <w:rPr>
                <w:szCs w:val="21"/>
              </w:rPr>
              <w:t>。</w:t>
            </w:r>
          </w:p>
          <w:p>
            <w:pPr>
              <w:spacing w:line="360" w:lineRule="auto"/>
              <w:ind w:firstLine="420" w:firstLineChars="200"/>
              <w:rPr>
                <w:szCs w:val="21"/>
              </w:rPr>
            </w:pPr>
            <w:r>
              <w:rPr>
                <w:szCs w:val="21"/>
              </w:rPr>
              <w:t>4、项目周边农户饮用水源现状</w:t>
            </w:r>
          </w:p>
          <w:p>
            <w:pPr>
              <w:spacing w:line="360" w:lineRule="auto"/>
              <w:ind w:firstLine="420" w:firstLineChars="200"/>
              <w:textAlignment w:val="baseline"/>
              <w:rPr>
                <w:szCs w:val="21"/>
              </w:rPr>
            </w:pPr>
            <w:bookmarkStart w:id="26" w:name="_Hlk103759510"/>
            <w:r>
              <w:rPr>
                <w:szCs w:val="21"/>
              </w:rPr>
              <w:t>本项目地处农村环境，经</w:t>
            </w:r>
            <w:r>
              <w:rPr>
                <w:kern w:val="0"/>
                <w:szCs w:val="21"/>
              </w:rPr>
              <w:t>调查，</w:t>
            </w:r>
            <w:r>
              <w:rPr>
                <w:szCs w:val="21"/>
              </w:rPr>
              <w:t>当地农户主要以自来水作为生活饮用水和生产用水，周边</w:t>
            </w:r>
            <w:r>
              <w:rPr>
                <w:rFonts w:hint="eastAsia"/>
                <w:szCs w:val="21"/>
              </w:rPr>
              <w:t>遗留</w:t>
            </w:r>
            <w:r>
              <w:rPr>
                <w:szCs w:val="21"/>
              </w:rPr>
              <w:t>部分自打水井</w:t>
            </w:r>
            <w:r>
              <w:rPr>
                <w:rFonts w:hint="eastAsia"/>
                <w:szCs w:val="21"/>
              </w:rPr>
              <w:t>，作为生活辅助用水</w:t>
            </w:r>
            <w:r>
              <w:rPr>
                <w:szCs w:val="21"/>
              </w:rPr>
              <w:t>，取水层位为潜水含水层，地下水类型为</w:t>
            </w:r>
            <w:r>
              <w:rPr>
                <w:rFonts w:hint="eastAsia"/>
                <w:szCs w:val="21"/>
              </w:rPr>
              <w:t>基岩风化带网状裂隙水</w:t>
            </w:r>
            <w:bookmarkEnd w:id="26"/>
            <w:r>
              <w:rPr>
                <w:szCs w:val="21"/>
              </w:rPr>
              <w:t>，含水层厚度一般为15~30m，因此本项目地下水环境保护目标为</w:t>
            </w:r>
            <w:r>
              <w:rPr>
                <w:rFonts w:hint="eastAsia"/>
                <w:szCs w:val="21"/>
              </w:rPr>
              <w:t>井场周边存在的</w:t>
            </w:r>
            <w:r>
              <w:rPr>
                <w:szCs w:val="21"/>
              </w:rPr>
              <w:t>分散式饮用水水源。</w:t>
            </w:r>
          </w:p>
          <w:p>
            <w:pPr>
              <w:spacing w:line="360" w:lineRule="auto"/>
              <w:ind w:firstLine="420" w:firstLineChars="200"/>
              <w:rPr>
                <w:szCs w:val="21"/>
              </w:rPr>
            </w:pPr>
            <w:r>
              <w:rPr>
                <w:szCs w:val="21"/>
              </w:rPr>
              <w:t>5、项目放喷池周边环境现状</w:t>
            </w:r>
          </w:p>
          <w:p>
            <w:pPr>
              <w:spacing w:line="360" w:lineRule="auto"/>
              <w:ind w:firstLine="420" w:firstLineChars="200"/>
              <w:rPr>
                <w:szCs w:val="21"/>
              </w:rPr>
            </w:pPr>
            <w:bookmarkStart w:id="27" w:name="_Hlk86168415"/>
            <w:r>
              <w:rPr>
                <w:szCs w:val="21"/>
              </w:rPr>
              <w:t>放喷池分别位于井场</w:t>
            </w:r>
            <w:r>
              <w:rPr>
                <w:rFonts w:hint="eastAsia"/>
                <w:szCs w:val="21"/>
              </w:rPr>
              <w:t>西</w:t>
            </w:r>
            <w:r>
              <w:rPr>
                <w:szCs w:val="21"/>
              </w:rPr>
              <w:t>侧，距离井口分别约</w:t>
            </w:r>
            <w:r>
              <w:rPr>
                <w:rFonts w:hint="eastAsia"/>
                <w:szCs w:val="21"/>
              </w:rPr>
              <w:t>1.5</w:t>
            </w:r>
            <w:r>
              <w:rPr>
                <w:szCs w:val="21"/>
              </w:rPr>
              <w:t>m；根据现场踏勘结果。目前放喷池周边有少量杂草分布，放喷池作业前应进行低矮杂草清除</w:t>
            </w:r>
            <w:bookmarkEnd w:id="21"/>
            <w:bookmarkEnd w:id="22"/>
            <w:bookmarkEnd w:id="27"/>
            <w:r>
              <w:rPr>
                <w:szCs w:val="21"/>
              </w:rPr>
              <w:t>。</w:t>
            </w:r>
          </w:p>
          <w:p>
            <w:pPr>
              <w:adjustRightInd w:val="0"/>
              <w:snapToGrid w:val="0"/>
              <w:spacing w:line="360" w:lineRule="auto"/>
              <w:rPr>
                <w:b/>
                <w:bCs/>
                <w:kern w:val="0"/>
                <w:szCs w:val="21"/>
              </w:rPr>
            </w:pPr>
            <w:r>
              <w:rPr>
                <w:b/>
                <w:bCs/>
                <w:kern w:val="0"/>
                <w:szCs w:val="21"/>
              </w:rPr>
              <w:t>3.4.2敏感目标分布情况</w:t>
            </w:r>
          </w:p>
          <w:p>
            <w:pPr>
              <w:adjustRightInd w:val="0"/>
              <w:snapToGrid w:val="0"/>
              <w:spacing w:line="360" w:lineRule="auto"/>
              <w:ind w:firstLine="420" w:firstLineChars="200"/>
              <w:rPr>
                <w:kern w:val="0"/>
                <w:szCs w:val="21"/>
              </w:rPr>
            </w:pPr>
            <w:r>
              <w:rPr>
                <w:kern w:val="0"/>
                <w:szCs w:val="21"/>
              </w:rPr>
              <w:t>1、生态环境敏感目标</w:t>
            </w:r>
          </w:p>
          <w:p>
            <w:pPr>
              <w:adjustRightInd w:val="0"/>
              <w:snapToGrid w:val="0"/>
              <w:spacing w:line="360" w:lineRule="auto"/>
              <w:ind w:firstLine="420" w:firstLineChars="200"/>
              <w:rPr>
                <w:kern w:val="0"/>
                <w:szCs w:val="21"/>
              </w:rPr>
            </w:pPr>
            <w:r>
              <w:rPr>
                <w:rFonts w:hint="eastAsia"/>
                <w:kern w:val="0"/>
                <w:szCs w:val="21"/>
              </w:rPr>
              <w:t>项目占地范围内</w:t>
            </w:r>
            <w:r>
              <w:rPr>
                <w:kern w:val="0"/>
                <w:szCs w:val="21"/>
              </w:rPr>
              <w:t>无自然保护区、风景</w:t>
            </w:r>
            <w:r>
              <w:rPr>
                <w:rFonts w:hint="eastAsia"/>
                <w:kern w:val="0"/>
                <w:szCs w:val="21"/>
              </w:rPr>
              <w:t>名胜</w:t>
            </w:r>
            <w:r>
              <w:rPr>
                <w:kern w:val="0"/>
                <w:szCs w:val="21"/>
              </w:rPr>
              <w:t>区、文物古迹等特殊敏感区</w:t>
            </w:r>
            <w:r>
              <w:rPr>
                <w:rFonts w:hint="eastAsia"/>
                <w:kern w:val="0"/>
                <w:szCs w:val="21"/>
              </w:rPr>
              <w:t>，不涉及生态红线。</w:t>
            </w:r>
          </w:p>
          <w:p>
            <w:pPr>
              <w:adjustRightInd w:val="0"/>
              <w:snapToGrid w:val="0"/>
              <w:spacing w:line="360" w:lineRule="auto"/>
              <w:ind w:firstLine="420" w:firstLineChars="200"/>
              <w:rPr>
                <w:kern w:val="0"/>
                <w:szCs w:val="21"/>
              </w:rPr>
            </w:pPr>
            <w:r>
              <w:rPr>
                <w:kern w:val="0"/>
                <w:szCs w:val="21"/>
              </w:rPr>
              <w:t>2、环境空气敏感目标</w:t>
            </w:r>
          </w:p>
          <w:p>
            <w:pPr>
              <w:adjustRightInd w:val="0"/>
              <w:snapToGrid w:val="0"/>
              <w:spacing w:line="360" w:lineRule="auto"/>
              <w:ind w:firstLine="404" w:firstLineChars="200"/>
              <w:rPr>
                <w:spacing w:val="-4"/>
                <w:kern w:val="0"/>
                <w:szCs w:val="21"/>
              </w:rPr>
            </w:pPr>
            <w:r>
              <w:rPr>
                <w:spacing w:val="-4"/>
                <w:kern w:val="0"/>
                <w:szCs w:val="21"/>
              </w:rPr>
              <w:t>项目无需调查大气环境敏感目标。</w:t>
            </w:r>
            <w:r>
              <w:rPr>
                <w:rFonts w:hint="eastAsia"/>
                <w:spacing w:val="-4"/>
                <w:kern w:val="0"/>
                <w:szCs w:val="21"/>
              </w:rPr>
              <w:t>但</w:t>
            </w:r>
            <w:r>
              <w:rPr>
                <w:spacing w:val="-4"/>
                <w:kern w:val="0"/>
                <w:szCs w:val="21"/>
              </w:rPr>
              <w:t>鉴于项目特点，本次环评统计井口500m范围内敏感点</w:t>
            </w:r>
            <w:r>
              <w:rPr>
                <w:rFonts w:hint="eastAsia"/>
                <w:spacing w:val="-4"/>
                <w:kern w:val="0"/>
                <w:szCs w:val="21"/>
              </w:rPr>
              <w:t>分布情况</w:t>
            </w:r>
            <w:r>
              <w:rPr>
                <w:spacing w:val="-4"/>
                <w:kern w:val="0"/>
                <w:szCs w:val="21"/>
              </w:rPr>
              <w:t>。</w:t>
            </w:r>
          </w:p>
          <w:p>
            <w:pPr>
              <w:pStyle w:val="331"/>
              <w:numPr>
                <w:ilvl w:val="0"/>
                <w:numId w:val="6"/>
              </w:numPr>
              <w:adjustRightInd w:val="0"/>
              <w:snapToGrid w:val="0"/>
              <w:spacing w:line="360" w:lineRule="auto"/>
              <w:ind w:left="0" w:firstLine="0" w:firstLineChars="0"/>
              <w:jc w:val="center"/>
              <w:rPr>
                <w:b/>
                <w:bCs/>
                <w:kern w:val="0"/>
                <w:szCs w:val="21"/>
              </w:rPr>
            </w:pPr>
            <w:r>
              <w:rPr>
                <w:b/>
                <w:bCs/>
                <w:kern w:val="0"/>
                <w:szCs w:val="21"/>
              </w:rPr>
              <w:t>项目主要环境保护目标</w:t>
            </w:r>
          </w:p>
          <w:tbl>
            <w:tblPr>
              <w:tblStyle w:val="43"/>
              <w:tblW w:w="96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555"/>
              <w:gridCol w:w="616"/>
              <w:gridCol w:w="770"/>
              <w:gridCol w:w="1242"/>
              <w:gridCol w:w="796"/>
              <w:gridCol w:w="796"/>
              <w:gridCol w:w="796"/>
              <w:gridCol w:w="796"/>
              <w:gridCol w:w="796"/>
              <w:gridCol w:w="567"/>
              <w:gridCol w:w="567"/>
              <w:gridCol w:w="5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1701" w:type="dxa"/>
                <w:trHeight w:val="362" w:hRule="atLeast"/>
              </w:trPr>
              <w:tc>
                <w:tcPr>
                  <w:tcW w:w="795" w:type="dxa"/>
                  <w:vAlign w:val="center"/>
                </w:tcPr>
                <w:p>
                  <w:pPr>
                    <w:pStyle w:val="249"/>
                    <w:jc w:val="center"/>
                    <w:rPr>
                      <w:rFonts w:ascii="Times New Roman" w:hAnsi="Times New Roman" w:eastAsia="宋体" w:cs="Times New Roman"/>
                      <w:szCs w:val="21"/>
                    </w:rPr>
                  </w:pPr>
                  <w:r>
                    <w:rPr>
                      <w:rFonts w:ascii="Times New Roman" w:hAnsi="Times New Roman" w:eastAsia="宋体" w:cs="Times New Roman"/>
                      <w:szCs w:val="21"/>
                    </w:rPr>
                    <w:t>名称</w:t>
                  </w:r>
                </w:p>
              </w:tc>
              <w:tc>
                <w:tcPr>
                  <w:tcW w:w="555" w:type="dxa"/>
                  <w:vAlign w:val="center"/>
                </w:tcPr>
                <w:p>
                  <w:pPr>
                    <w:pStyle w:val="249"/>
                    <w:jc w:val="center"/>
                    <w:rPr>
                      <w:rFonts w:ascii="Times New Roman" w:hAnsi="Times New Roman" w:eastAsia="宋体" w:cs="Times New Roman"/>
                      <w:szCs w:val="21"/>
                    </w:rPr>
                  </w:pPr>
                  <w:r>
                    <w:rPr>
                      <w:rFonts w:ascii="Times New Roman" w:hAnsi="Times New Roman" w:eastAsia="宋体" w:cs="Times New Roman"/>
                      <w:szCs w:val="21"/>
                    </w:rPr>
                    <w:t>X</w:t>
                  </w:r>
                </w:p>
              </w:tc>
              <w:tc>
                <w:tcPr>
                  <w:tcW w:w="616" w:type="dxa"/>
                  <w:vAlign w:val="center"/>
                </w:tcPr>
                <w:p>
                  <w:pPr>
                    <w:pStyle w:val="249"/>
                    <w:jc w:val="center"/>
                    <w:rPr>
                      <w:rFonts w:ascii="Times New Roman" w:hAnsi="Times New Roman" w:eastAsia="宋体" w:cs="Times New Roman"/>
                      <w:szCs w:val="21"/>
                    </w:rPr>
                  </w:pPr>
                  <w:r>
                    <w:rPr>
                      <w:rFonts w:ascii="Times New Roman" w:hAnsi="Times New Roman" w:eastAsia="宋体" w:cs="Times New Roman"/>
                      <w:szCs w:val="21"/>
                    </w:rPr>
                    <w:t>Y</w:t>
                  </w:r>
                </w:p>
              </w:tc>
              <w:tc>
                <w:tcPr>
                  <w:tcW w:w="770" w:type="dxa"/>
                  <w:vAlign w:val="center"/>
                </w:tcPr>
                <w:p>
                  <w:pPr>
                    <w:pStyle w:val="249"/>
                    <w:jc w:val="center"/>
                    <w:rPr>
                      <w:rFonts w:ascii="Times New Roman" w:hAnsi="Times New Roman" w:eastAsia="宋体" w:cs="Times New Roman"/>
                      <w:szCs w:val="21"/>
                    </w:rPr>
                  </w:pPr>
                  <w:r>
                    <w:rPr>
                      <w:rFonts w:ascii="Times New Roman" w:hAnsi="Times New Roman" w:eastAsia="宋体" w:cs="Times New Roman"/>
                      <w:szCs w:val="21"/>
                    </w:rPr>
                    <w:t>保护对象</w:t>
                  </w:r>
                </w:p>
              </w:tc>
              <w:tc>
                <w:tcPr>
                  <w:tcW w:w="1242" w:type="dxa"/>
                  <w:vAlign w:val="center"/>
                </w:tcPr>
                <w:p>
                  <w:pPr>
                    <w:pStyle w:val="249"/>
                    <w:jc w:val="center"/>
                    <w:rPr>
                      <w:rFonts w:ascii="Times New Roman" w:hAnsi="Times New Roman" w:eastAsia="宋体" w:cs="Times New Roman"/>
                      <w:szCs w:val="21"/>
                    </w:rPr>
                  </w:pPr>
                  <w:r>
                    <w:rPr>
                      <w:rFonts w:ascii="Times New Roman" w:hAnsi="Times New Roman" w:eastAsia="宋体" w:cs="Times New Roman"/>
                      <w:szCs w:val="21"/>
                    </w:rPr>
                    <w:t>保护内容</w:t>
                  </w:r>
                </w:p>
              </w:tc>
              <w:tc>
                <w:tcPr>
                  <w:tcW w:w="796" w:type="dxa"/>
                  <w:vAlign w:val="center"/>
                </w:tcPr>
                <w:p>
                  <w:pPr>
                    <w:pStyle w:val="249"/>
                    <w:jc w:val="center"/>
                    <w:rPr>
                      <w:rFonts w:ascii="Times New Roman" w:hAnsi="Times New Roman" w:eastAsia="宋体" w:cs="Times New Roman"/>
                      <w:szCs w:val="21"/>
                    </w:rPr>
                  </w:pPr>
                  <w:r>
                    <w:rPr>
                      <w:rFonts w:ascii="Times New Roman" w:hAnsi="Times New Roman" w:eastAsia="宋体" w:cs="Times New Roman"/>
                      <w:szCs w:val="21"/>
                    </w:rPr>
                    <w:t>相对厂址方位</w:t>
                  </w:r>
                </w:p>
              </w:tc>
              <w:tc>
                <w:tcPr>
                  <w:tcW w:w="796" w:type="dxa"/>
                  <w:vAlign w:val="center"/>
                </w:tcPr>
                <w:p>
                  <w:pPr>
                    <w:pStyle w:val="249"/>
                    <w:jc w:val="center"/>
                    <w:rPr>
                      <w:rFonts w:ascii="Times New Roman" w:hAnsi="Times New Roman" w:eastAsia="宋体" w:cs="Times New Roman"/>
                      <w:szCs w:val="21"/>
                    </w:rPr>
                  </w:pPr>
                  <w:r>
                    <w:rPr>
                      <w:rFonts w:ascii="Times New Roman" w:hAnsi="Times New Roman" w:eastAsia="宋体" w:cs="Times New Roman"/>
                      <w:szCs w:val="21"/>
                    </w:rPr>
                    <w:t>与井口距离</w:t>
                  </w:r>
                  <w:r>
                    <w:rPr>
                      <w:rFonts w:hint="eastAsia" w:ascii="Times New Roman" w:hAnsi="Times New Roman" w:eastAsia="宋体" w:cs="Times New Roman"/>
                      <w:szCs w:val="21"/>
                    </w:rPr>
                    <w:t>/</w:t>
                  </w:r>
                  <w:r>
                    <w:rPr>
                      <w:rFonts w:ascii="Times New Roman" w:hAnsi="Times New Roman" w:eastAsia="宋体" w:cs="Times New Roman"/>
                      <w:szCs w:val="21"/>
                    </w:rPr>
                    <w:t>m</w:t>
                  </w:r>
                </w:p>
              </w:tc>
              <w:tc>
                <w:tcPr>
                  <w:tcW w:w="796" w:type="dxa"/>
                  <w:vAlign w:val="center"/>
                </w:tcPr>
                <w:p>
                  <w:pPr>
                    <w:pStyle w:val="249"/>
                    <w:jc w:val="center"/>
                    <w:rPr>
                      <w:rFonts w:ascii="Times New Roman" w:hAnsi="Times New Roman" w:eastAsia="宋体" w:cs="Times New Roman"/>
                      <w:szCs w:val="21"/>
                    </w:rPr>
                  </w:pPr>
                  <w:r>
                    <w:rPr>
                      <w:rFonts w:ascii="Times New Roman" w:hAnsi="Times New Roman" w:eastAsia="宋体" w:cs="Times New Roman"/>
                      <w:szCs w:val="21"/>
                    </w:rPr>
                    <w:t>与井场场界距离</w:t>
                  </w:r>
                  <w:r>
                    <w:rPr>
                      <w:rFonts w:hint="eastAsia" w:ascii="Times New Roman" w:hAnsi="Times New Roman" w:eastAsia="宋体" w:cs="Times New Roman"/>
                      <w:szCs w:val="21"/>
                    </w:rPr>
                    <w:t>/</w:t>
                  </w:r>
                  <w:r>
                    <w:rPr>
                      <w:rFonts w:ascii="Times New Roman" w:hAnsi="Times New Roman" w:eastAsia="宋体" w:cs="Times New Roman"/>
                      <w:szCs w:val="21"/>
                    </w:rPr>
                    <w:t>m</w:t>
                  </w:r>
                </w:p>
              </w:tc>
              <w:tc>
                <w:tcPr>
                  <w:tcW w:w="796" w:type="dxa"/>
                  <w:vAlign w:val="center"/>
                </w:tcPr>
                <w:p>
                  <w:pPr>
                    <w:pStyle w:val="249"/>
                    <w:jc w:val="center"/>
                    <w:rPr>
                      <w:rFonts w:ascii="Times New Roman" w:hAnsi="Times New Roman" w:eastAsia="宋体" w:cs="Times New Roman"/>
                      <w:szCs w:val="21"/>
                    </w:rPr>
                  </w:pPr>
                  <w:r>
                    <w:rPr>
                      <w:rFonts w:ascii="Times New Roman" w:hAnsi="Times New Roman" w:eastAsia="宋体" w:cs="Times New Roman"/>
                      <w:szCs w:val="21"/>
                    </w:rPr>
                    <w:t>与井场高差</w:t>
                  </w:r>
                </w:p>
              </w:tc>
              <w:tc>
                <w:tcPr>
                  <w:tcW w:w="796" w:type="dxa"/>
                  <w:vAlign w:val="center"/>
                </w:tcPr>
                <w:p>
                  <w:pPr>
                    <w:pStyle w:val="249"/>
                    <w:jc w:val="center"/>
                    <w:rPr>
                      <w:rFonts w:ascii="Times New Roman" w:hAnsi="Times New Roman" w:eastAsia="宋体" w:cs="Times New Roman"/>
                      <w:szCs w:val="21"/>
                    </w:rPr>
                  </w:pPr>
                  <w:r>
                    <w:rPr>
                      <w:rFonts w:ascii="Times New Roman" w:hAnsi="Times New Roman" w:eastAsia="宋体" w:cs="Times New Roman"/>
                      <w:szCs w:val="21"/>
                    </w:rPr>
                    <w:t>与放喷池最近距离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1701" w:type="dxa"/>
                <w:trHeight w:val="362" w:hRule="atLeast"/>
              </w:trPr>
              <w:tc>
                <w:tcPr>
                  <w:tcW w:w="795" w:type="dxa"/>
                  <w:vAlign w:val="center"/>
                </w:tcPr>
                <w:p>
                  <w:pPr>
                    <w:pStyle w:val="249"/>
                    <w:jc w:val="center"/>
                    <w:rPr>
                      <w:rFonts w:ascii="Times New Roman" w:hAnsi="Times New Roman" w:eastAsia="宋体" w:cs="Times New Roman"/>
                      <w:szCs w:val="21"/>
                    </w:rPr>
                  </w:pPr>
                  <w:r>
                    <w:rPr>
                      <w:rFonts w:ascii="Times New Roman" w:hAnsi="Times New Roman" w:cs="Times New Roman"/>
                      <w:szCs w:val="21"/>
                    </w:rPr>
                    <w:t>1#</w:t>
                  </w:r>
                  <w:r>
                    <w:rPr>
                      <w:rFonts w:ascii="Times New Roman" w:hAnsi="Times New Roman" w:eastAsia="宋体" w:cs="Times New Roman"/>
                      <w:szCs w:val="21"/>
                    </w:rPr>
                    <w:t>居民点</w:t>
                  </w:r>
                </w:p>
              </w:tc>
              <w:tc>
                <w:tcPr>
                  <w:tcW w:w="555" w:type="dxa"/>
                  <w:vAlign w:val="center"/>
                </w:tcPr>
                <w:p>
                  <w:pPr>
                    <w:jc w:val="center"/>
                  </w:pPr>
                  <w:r>
                    <w:t>-28</w:t>
                  </w:r>
                </w:p>
              </w:tc>
              <w:tc>
                <w:tcPr>
                  <w:tcW w:w="616" w:type="dxa"/>
                  <w:vAlign w:val="center"/>
                </w:tcPr>
                <w:p>
                  <w:pPr>
                    <w:jc w:val="center"/>
                  </w:pPr>
                  <w:r>
                    <w:t>65</w:t>
                  </w:r>
                </w:p>
              </w:tc>
              <w:tc>
                <w:tcPr>
                  <w:tcW w:w="770" w:type="dxa"/>
                  <w:vAlign w:val="center"/>
                </w:tcPr>
                <w:p>
                  <w:pPr>
                    <w:pStyle w:val="249"/>
                    <w:jc w:val="center"/>
                    <w:rPr>
                      <w:rFonts w:ascii="Times New Roman" w:hAnsi="Times New Roman" w:eastAsia="宋体" w:cs="Times New Roman"/>
                      <w:szCs w:val="21"/>
                    </w:rPr>
                  </w:pPr>
                  <w:r>
                    <w:rPr>
                      <w:rFonts w:ascii="Times New Roman" w:hAnsi="Times New Roman" w:eastAsia="宋体" w:cs="Times New Roman"/>
                      <w:szCs w:val="21"/>
                    </w:rPr>
                    <w:t>居民</w:t>
                  </w:r>
                </w:p>
              </w:tc>
              <w:tc>
                <w:tcPr>
                  <w:tcW w:w="1242" w:type="dxa"/>
                  <w:vAlign w:val="center"/>
                </w:tcPr>
                <w:p>
                  <w:pPr>
                    <w:pStyle w:val="249"/>
                    <w:jc w:val="center"/>
                    <w:rPr>
                      <w:rFonts w:ascii="Times New Roman" w:hAnsi="Times New Roman" w:eastAsia="宋体" w:cs="Times New Roman"/>
                      <w:szCs w:val="21"/>
                    </w:rPr>
                  </w:pPr>
                  <w:r>
                    <w:rPr>
                      <w:rFonts w:ascii="Times New Roman" w:hAnsi="Times New Roman" w:eastAsia="等线" w:cs="Times New Roman"/>
                      <w:szCs w:val="21"/>
                    </w:rPr>
                    <w:t>1</w:t>
                  </w:r>
                  <w:r>
                    <w:rPr>
                      <w:rFonts w:ascii="Times New Roman" w:hAnsi="Times New Roman" w:eastAsia="宋体" w:cs="Times New Roman"/>
                      <w:szCs w:val="21"/>
                    </w:rPr>
                    <w:t>户，</w:t>
                  </w:r>
                  <w:r>
                    <w:rPr>
                      <w:rFonts w:ascii="Times New Roman" w:hAnsi="Times New Roman" w:cs="Times New Roman" w:eastAsiaTheme="minorEastAsia"/>
                      <w:szCs w:val="21"/>
                    </w:rPr>
                    <w:t>3</w:t>
                  </w:r>
                  <w:r>
                    <w:rPr>
                      <w:rFonts w:ascii="Times New Roman" w:hAnsi="Times New Roman" w:eastAsia="宋体" w:cs="Times New Roman"/>
                      <w:szCs w:val="21"/>
                    </w:rPr>
                    <w:t>口人</w:t>
                  </w:r>
                </w:p>
              </w:tc>
              <w:tc>
                <w:tcPr>
                  <w:tcW w:w="796" w:type="dxa"/>
                  <w:vAlign w:val="center"/>
                </w:tcPr>
                <w:p>
                  <w:pPr>
                    <w:pStyle w:val="249"/>
                    <w:jc w:val="center"/>
                    <w:rPr>
                      <w:rFonts w:ascii="Times New Roman" w:hAnsi="Times New Roman" w:eastAsia="宋体" w:cs="Times New Roman"/>
                      <w:szCs w:val="21"/>
                    </w:rPr>
                  </w:pPr>
                  <w:r>
                    <w:rPr>
                      <w:rFonts w:ascii="Times New Roman" w:hAnsi="Times New Roman" w:eastAsia="等线" w:cs="Times New Roman"/>
                      <w:kern w:val="0"/>
                      <w:szCs w:val="21"/>
                    </w:rPr>
                    <w:t>N</w:t>
                  </w:r>
                </w:p>
              </w:tc>
              <w:tc>
                <w:tcPr>
                  <w:tcW w:w="796" w:type="dxa"/>
                  <w:vAlign w:val="center"/>
                </w:tcPr>
                <w:p>
                  <w:pPr>
                    <w:widowControl/>
                    <w:jc w:val="center"/>
                    <w:rPr>
                      <w:kern w:val="0"/>
                      <w:szCs w:val="21"/>
                    </w:rPr>
                  </w:pPr>
                  <w:r>
                    <w:rPr>
                      <w:rFonts w:hint="eastAsia"/>
                      <w:kern w:val="0"/>
                      <w:szCs w:val="21"/>
                    </w:rPr>
                    <w:t>220</w:t>
                  </w:r>
                </w:p>
              </w:tc>
              <w:tc>
                <w:tcPr>
                  <w:tcW w:w="796" w:type="dxa"/>
                  <w:vAlign w:val="center"/>
                </w:tcPr>
                <w:p>
                  <w:pPr>
                    <w:widowControl/>
                    <w:jc w:val="center"/>
                    <w:rPr>
                      <w:kern w:val="0"/>
                      <w:szCs w:val="21"/>
                    </w:rPr>
                  </w:pPr>
                  <w:r>
                    <w:rPr>
                      <w:rFonts w:hint="eastAsia"/>
                      <w:kern w:val="0"/>
                      <w:szCs w:val="21"/>
                    </w:rPr>
                    <w:t>184</w:t>
                  </w:r>
                </w:p>
              </w:tc>
              <w:tc>
                <w:tcPr>
                  <w:tcW w:w="796" w:type="dxa"/>
                  <w:vAlign w:val="center"/>
                </w:tcPr>
                <w:p>
                  <w:pPr>
                    <w:widowControl/>
                    <w:jc w:val="center"/>
                    <w:rPr>
                      <w:kern w:val="0"/>
                      <w:szCs w:val="21"/>
                    </w:rPr>
                  </w:pPr>
                  <w:r>
                    <w:rPr>
                      <w:rFonts w:hint="eastAsia" w:ascii="等线" w:hAnsi="等线" w:eastAsia="等线"/>
                      <w:color w:val="000000"/>
                      <w:sz w:val="22"/>
                      <w:szCs w:val="22"/>
                    </w:rPr>
                    <w:t>19</w:t>
                  </w:r>
                </w:p>
              </w:tc>
              <w:tc>
                <w:tcPr>
                  <w:tcW w:w="796" w:type="dxa"/>
                  <w:vAlign w:val="center"/>
                </w:tcPr>
                <w:p>
                  <w:pPr>
                    <w:widowControl/>
                    <w:jc w:val="center"/>
                    <w:rPr>
                      <w:kern w:val="0"/>
                      <w:szCs w:val="21"/>
                    </w:rPr>
                  </w:pPr>
                  <w:r>
                    <w:rPr>
                      <w:rFonts w:hint="eastAsia"/>
                      <w:kern w:val="0"/>
                      <w:szCs w:val="21"/>
                    </w:rPr>
                    <w:t>224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1701" w:type="dxa"/>
                <w:trHeight w:val="362" w:hRule="atLeast"/>
              </w:trPr>
              <w:tc>
                <w:tcPr>
                  <w:tcW w:w="795" w:type="dxa"/>
                  <w:vAlign w:val="center"/>
                </w:tcPr>
                <w:p>
                  <w:pPr>
                    <w:pStyle w:val="249"/>
                    <w:jc w:val="center"/>
                    <w:rPr>
                      <w:rFonts w:ascii="Times New Roman" w:hAnsi="Times New Roman" w:eastAsia="宋体" w:cs="Times New Roman"/>
                      <w:szCs w:val="21"/>
                    </w:rPr>
                  </w:pPr>
                  <w:r>
                    <w:rPr>
                      <w:rFonts w:ascii="Times New Roman" w:hAnsi="Times New Roman" w:eastAsia="等线" w:cs="Times New Roman"/>
                      <w:szCs w:val="21"/>
                    </w:rPr>
                    <w:t>2</w:t>
                  </w:r>
                  <w:r>
                    <w:rPr>
                      <w:rFonts w:ascii="Times New Roman" w:hAnsi="Times New Roman" w:cs="Times New Roman"/>
                      <w:szCs w:val="21"/>
                    </w:rPr>
                    <w:t>#</w:t>
                  </w:r>
                  <w:r>
                    <w:rPr>
                      <w:rFonts w:ascii="Times New Roman" w:hAnsi="Times New Roman" w:eastAsia="宋体" w:cs="Times New Roman"/>
                      <w:szCs w:val="21"/>
                    </w:rPr>
                    <w:t>居民点</w:t>
                  </w:r>
                </w:p>
              </w:tc>
              <w:tc>
                <w:tcPr>
                  <w:tcW w:w="555" w:type="dxa"/>
                  <w:vAlign w:val="center"/>
                </w:tcPr>
                <w:p>
                  <w:pPr>
                    <w:jc w:val="center"/>
                  </w:pPr>
                  <w:r>
                    <w:t>-61</w:t>
                  </w:r>
                </w:p>
              </w:tc>
              <w:tc>
                <w:tcPr>
                  <w:tcW w:w="616" w:type="dxa"/>
                  <w:vAlign w:val="center"/>
                </w:tcPr>
                <w:p>
                  <w:pPr>
                    <w:jc w:val="center"/>
                  </w:pPr>
                  <w:r>
                    <w:t>90</w:t>
                  </w:r>
                </w:p>
              </w:tc>
              <w:tc>
                <w:tcPr>
                  <w:tcW w:w="770" w:type="dxa"/>
                  <w:vAlign w:val="center"/>
                </w:tcPr>
                <w:p>
                  <w:pPr>
                    <w:pStyle w:val="249"/>
                    <w:jc w:val="center"/>
                    <w:rPr>
                      <w:rFonts w:ascii="Times New Roman" w:hAnsi="Times New Roman" w:eastAsia="宋体" w:cs="Times New Roman"/>
                      <w:szCs w:val="21"/>
                    </w:rPr>
                  </w:pPr>
                  <w:r>
                    <w:rPr>
                      <w:rFonts w:ascii="Times New Roman" w:hAnsi="Times New Roman" w:eastAsia="宋体" w:cs="Times New Roman"/>
                      <w:szCs w:val="21"/>
                    </w:rPr>
                    <w:t>居民</w:t>
                  </w:r>
                </w:p>
              </w:tc>
              <w:tc>
                <w:tcPr>
                  <w:tcW w:w="1242" w:type="dxa"/>
                  <w:vAlign w:val="center"/>
                </w:tcPr>
                <w:p>
                  <w:pPr>
                    <w:pStyle w:val="249"/>
                    <w:jc w:val="center"/>
                    <w:rPr>
                      <w:rFonts w:ascii="Times New Roman" w:hAnsi="Times New Roman" w:eastAsia="宋体" w:cs="Times New Roman"/>
                      <w:szCs w:val="21"/>
                    </w:rPr>
                  </w:pPr>
                  <w:r>
                    <w:rPr>
                      <w:rFonts w:ascii="Times New Roman" w:hAnsi="Times New Roman" w:eastAsia="等线" w:cs="Times New Roman"/>
                      <w:szCs w:val="21"/>
                    </w:rPr>
                    <w:t>4</w:t>
                  </w:r>
                  <w:r>
                    <w:rPr>
                      <w:rFonts w:ascii="Times New Roman" w:hAnsi="Times New Roman" w:eastAsia="宋体" w:cs="Times New Roman"/>
                      <w:szCs w:val="21"/>
                    </w:rPr>
                    <w:t>户，</w:t>
                  </w:r>
                  <w:r>
                    <w:rPr>
                      <w:rFonts w:ascii="Times New Roman" w:hAnsi="Times New Roman" w:eastAsia="等线" w:cs="Times New Roman"/>
                      <w:szCs w:val="21"/>
                    </w:rPr>
                    <w:t>6</w:t>
                  </w:r>
                  <w:r>
                    <w:rPr>
                      <w:rFonts w:ascii="Times New Roman" w:hAnsi="Times New Roman" w:eastAsia="宋体" w:cs="Times New Roman"/>
                      <w:szCs w:val="21"/>
                    </w:rPr>
                    <w:t>口人</w:t>
                  </w:r>
                </w:p>
              </w:tc>
              <w:tc>
                <w:tcPr>
                  <w:tcW w:w="796" w:type="dxa"/>
                  <w:vAlign w:val="center"/>
                </w:tcPr>
                <w:p>
                  <w:pPr>
                    <w:pStyle w:val="249"/>
                    <w:jc w:val="center"/>
                    <w:rPr>
                      <w:rFonts w:ascii="Times New Roman" w:hAnsi="Times New Roman" w:eastAsia="等线" w:cs="Times New Roman"/>
                      <w:szCs w:val="21"/>
                    </w:rPr>
                  </w:pPr>
                  <w:r>
                    <w:rPr>
                      <w:rFonts w:ascii="Times New Roman" w:hAnsi="Times New Roman" w:eastAsia="等线" w:cs="Times New Roman"/>
                      <w:kern w:val="0"/>
                      <w:szCs w:val="21"/>
                    </w:rPr>
                    <w:t>NW</w:t>
                  </w:r>
                </w:p>
              </w:tc>
              <w:tc>
                <w:tcPr>
                  <w:tcW w:w="796" w:type="dxa"/>
                  <w:vAlign w:val="center"/>
                </w:tcPr>
                <w:p>
                  <w:pPr>
                    <w:jc w:val="center"/>
                    <w:rPr>
                      <w:szCs w:val="21"/>
                    </w:rPr>
                  </w:pPr>
                  <w:r>
                    <w:rPr>
                      <w:rFonts w:hint="eastAsia"/>
                      <w:szCs w:val="21"/>
                    </w:rPr>
                    <w:t>158</w:t>
                  </w:r>
                </w:p>
              </w:tc>
              <w:tc>
                <w:tcPr>
                  <w:tcW w:w="796" w:type="dxa"/>
                  <w:vAlign w:val="center"/>
                </w:tcPr>
                <w:p>
                  <w:pPr>
                    <w:jc w:val="center"/>
                    <w:rPr>
                      <w:szCs w:val="21"/>
                    </w:rPr>
                  </w:pPr>
                  <w:r>
                    <w:rPr>
                      <w:rFonts w:hint="eastAsia"/>
                      <w:kern w:val="0"/>
                      <w:szCs w:val="21"/>
                    </w:rPr>
                    <w:t>129</w:t>
                  </w:r>
                </w:p>
              </w:tc>
              <w:tc>
                <w:tcPr>
                  <w:tcW w:w="796" w:type="dxa"/>
                  <w:vAlign w:val="center"/>
                </w:tcPr>
                <w:p>
                  <w:pPr>
                    <w:jc w:val="center"/>
                    <w:rPr>
                      <w:szCs w:val="21"/>
                    </w:rPr>
                  </w:pPr>
                  <w:r>
                    <w:rPr>
                      <w:rFonts w:hint="eastAsia" w:ascii="等线" w:hAnsi="等线" w:eastAsia="等线"/>
                      <w:color w:val="000000"/>
                      <w:sz w:val="22"/>
                      <w:szCs w:val="22"/>
                    </w:rPr>
                    <w:t>11</w:t>
                  </w:r>
                </w:p>
              </w:tc>
              <w:tc>
                <w:tcPr>
                  <w:tcW w:w="796" w:type="dxa"/>
                  <w:vAlign w:val="center"/>
                </w:tcPr>
                <w:p>
                  <w:pPr>
                    <w:jc w:val="center"/>
                    <w:rPr>
                      <w:szCs w:val="21"/>
                    </w:rPr>
                  </w:pPr>
                  <w:r>
                    <w:rPr>
                      <w:szCs w:val="21"/>
                    </w:rPr>
                    <w:t>266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1701" w:type="dxa"/>
                <w:trHeight w:val="362" w:hRule="atLeast"/>
              </w:trPr>
              <w:tc>
                <w:tcPr>
                  <w:tcW w:w="795" w:type="dxa"/>
                  <w:vAlign w:val="center"/>
                </w:tcPr>
                <w:p>
                  <w:pPr>
                    <w:pStyle w:val="249"/>
                    <w:jc w:val="center"/>
                    <w:rPr>
                      <w:rFonts w:ascii="Times New Roman" w:hAnsi="Times New Roman" w:eastAsia="宋体" w:cs="Times New Roman"/>
                      <w:szCs w:val="21"/>
                    </w:rPr>
                  </w:pPr>
                  <w:r>
                    <w:rPr>
                      <w:rFonts w:ascii="Times New Roman" w:hAnsi="Times New Roman" w:eastAsia="等线" w:cs="Times New Roman"/>
                      <w:szCs w:val="21"/>
                    </w:rPr>
                    <w:t>3</w:t>
                  </w:r>
                  <w:r>
                    <w:rPr>
                      <w:rFonts w:ascii="Times New Roman" w:hAnsi="Times New Roman" w:cs="Times New Roman"/>
                      <w:szCs w:val="21"/>
                    </w:rPr>
                    <w:t>#</w:t>
                  </w:r>
                  <w:r>
                    <w:rPr>
                      <w:rFonts w:ascii="Times New Roman" w:hAnsi="Times New Roman" w:eastAsia="宋体" w:cs="Times New Roman"/>
                      <w:szCs w:val="21"/>
                    </w:rPr>
                    <w:t>居民点</w:t>
                  </w:r>
                </w:p>
              </w:tc>
              <w:tc>
                <w:tcPr>
                  <w:tcW w:w="555" w:type="dxa"/>
                  <w:vAlign w:val="center"/>
                </w:tcPr>
                <w:p>
                  <w:pPr>
                    <w:jc w:val="center"/>
                  </w:pPr>
                  <w:r>
                    <w:t>-25</w:t>
                  </w:r>
                </w:p>
              </w:tc>
              <w:tc>
                <w:tcPr>
                  <w:tcW w:w="616" w:type="dxa"/>
                  <w:vAlign w:val="center"/>
                </w:tcPr>
                <w:p>
                  <w:pPr>
                    <w:jc w:val="center"/>
                  </w:pPr>
                  <w:r>
                    <w:t>222</w:t>
                  </w:r>
                </w:p>
              </w:tc>
              <w:tc>
                <w:tcPr>
                  <w:tcW w:w="770" w:type="dxa"/>
                  <w:vAlign w:val="center"/>
                </w:tcPr>
                <w:p>
                  <w:pPr>
                    <w:pStyle w:val="249"/>
                    <w:jc w:val="center"/>
                    <w:rPr>
                      <w:rFonts w:ascii="Times New Roman" w:hAnsi="Times New Roman" w:eastAsia="宋体" w:cs="Times New Roman"/>
                      <w:szCs w:val="21"/>
                    </w:rPr>
                  </w:pPr>
                  <w:r>
                    <w:rPr>
                      <w:rFonts w:ascii="Times New Roman" w:hAnsi="Times New Roman" w:eastAsia="宋体" w:cs="Times New Roman"/>
                      <w:szCs w:val="21"/>
                    </w:rPr>
                    <w:t>居民</w:t>
                  </w:r>
                </w:p>
              </w:tc>
              <w:tc>
                <w:tcPr>
                  <w:tcW w:w="1242" w:type="dxa"/>
                  <w:vAlign w:val="center"/>
                </w:tcPr>
                <w:p>
                  <w:pPr>
                    <w:pStyle w:val="249"/>
                    <w:jc w:val="center"/>
                    <w:rPr>
                      <w:rFonts w:ascii="Times New Roman" w:hAnsi="Times New Roman" w:eastAsia="宋体" w:cs="Times New Roman"/>
                      <w:szCs w:val="21"/>
                    </w:rPr>
                  </w:pPr>
                  <w:r>
                    <w:rPr>
                      <w:rFonts w:ascii="Times New Roman" w:hAnsi="Times New Roman" w:eastAsia="等线" w:cs="Times New Roman"/>
                      <w:szCs w:val="21"/>
                    </w:rPr>
                    <w:t>2</w:t>
                  </w:r>
                  <w:r>
                    <w:rPr>
                      <w:rFonts w:ascii="Times New Roman" w:hAnsi="Times New Roman" w:eastAsia="宋体" w:cs="Times New Roman"/>
                      <w:szCs w:val="21"/>
                    </w:rPr>
                    <w:t>户，</w:t>
                  </w:r>
                  <w:r>
                    <w:rPr>
                      <w:rFonts w:ascii="Times New Roman" w:hAnsi="Times New Roman" w:eastAsia="等线" w:cs="Times New Roman"/>
                      <w:szCs w:val="21"/>
                    </w:rPr>
                    <w:t>8</w:t>
                  </w:r>
                  <w:r>
                    <w:rPr>
                      <w:rFonts w:ascii="Times New Roman" w:hAnsi="Times New Roman" w:eastAsia="宋体" w:cs="Times New Roman"/>
                      <w:szCs w:val="21"/>
                    </w:rPr>
                    <w:t>口人</w:t>
                  </w:r>
                </w:p>
              </w:tc>
              <w:tc>
                <w:tcPr>
                  <w:tcW w:w="796" w:type="dxa"/>
                  <w:vAlign w:val="center"/>
                </w:tcPr>
                <w:p>
                  <w:pPr>
                    <w:pStyle w:val="249"/>
                    <w:jc w:val="center"/>
                    <w:rPr>
                      <w:rFonts w:ascii="Times New Roman" w:hAnsi="Times New Roman" w:eastAsia="宋体" w:cs="Times New Roman"/>
                      <w:szCs w:val="21"/>
                    </w:rPr>
                  </w:pPr>
                  <w:r>
                    <w:rPr>
                      <w:rFonts w:ascii="Times New Roman" w:hAnsi="Times New Roman" w:eastAsia="等线" w:cs="Times New Roman"/>
                      <w:kern w:val="0"/>
                      <w:szCs w:val="21"/>
                    </w:rPr>
                    <w:t>NE</w:t>
                  </w:r>
                </w:p>
              </w:tc>
              <w:tc>
                <w:tcPr>
                  <w:tcW w:w="796" w:type="dxa"/>
                  <w:vAlign w:val="center"/>
                </w:tcPr>
                <w:p>
                  <w:pPr>
                    <w:jc w:val="center"/>
                    <w:rPr>
                      <w:szCs w:val="21"/>
                    </w:rPr>
                  </w:pPr>
                  <w:r>
                    <w:rPr>
                      <w:rFonts w:hint="eastAsia"/>
                      <w:szCs w:val="21"/>
                    </w:rPr>
                    <w:t>110</w:t>
                  </w:r>
                </w:p>
              </w:tc>
              <w:tc>
                <w:tcPr>
                  <w:tcW w:w="796" w:type="dxa"/>
                  <w:vAlign w:val="center"/>
                </w:tcPr>
                <w:p>
                  <w:pPr>
                    <w:jc w:val="center"/>
                    <w:rPr>
                      <w:szCs w:val="21"/>
                    </w:rPr>
                  </w:pPr>
                  <w:r>
                    <w:rPr>
                      <w:rFonts w:hint="eastAsia"/>
                      <w:szCs w:val="21"/>
                    </w:rPr>
                    <w:t>84</w:t>
                  </w:r>
                </w:p>
              </w:tc>
              <w:tc>
                <w:tcPr>
                  <w:tcW w:w="796" w:type="dxa"/>
                  <w:vAlign w:val="center"/>
                </w:tcPr>
                <w:p>
                  <w:pPr>
                    <w:jc w:val="center"/>
                    <w:rPr>
                      <w:szCs w:val="21"/>
                    </w:rPr>
                  </w:pPr>
                  <w:r>
                    <w:rPr>
                      <w:rFonts w:hint="eastAsia" w:ascii="等线" w:hAnsi="等线" w:eastAsia="等线"/>
                      <w:color w:val="000000"/>
                      <w:sz w:val="22"/>
                      <w:szCs w:val="22"/>
                    </w:rPr>
                    <w:t>-1</w:t>
                  </w:r>
                </w:p>
              </w:tc>
              <w:tc>
                <w:tcPr>
                  <w:tcW w:w="796" w:type="dxa"/>
                  <w:vAlign w:val="center"/>
                </w:tcPr>
                <w:p>
                  <w:pPr>
                    <w:jc w:val="center"/>
                    <w:rPr>
                      <w:szCs w:val="21"/>
                    </w:rPr>
                  </w:pPr>
                  <w:r>
                    <w:rPr>
                      <w:rFonts w:hint="eastAsia"/>
                      <w:szCs w:val="21"/>
                    </w:rPr>
                    <w:t>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1701" w:type="dxa"/>
                <w:trHeight w:val="362" w:hRule="atLeast"/>
              </w:trPr>
              <w:tc>
                <w:tcPr>
                  <w:tcW w:w="795" w:type="dxa"/>
                  <w:vAlign w:val="center"/>
                </w:tcPr>
                <w:p>
                  <w:pPr>
                    <w:pStyle w:val="249"/>
                    <w:jc w:val="center"/>
                    <w:rPr>
                      <w:rFonts w:ascii="Times New Roman" w:hAnsi="Times New Roman" w:eastAsia="宋体" w:cs="Times New Roman"/>
                      <w:szCs w:val="21"/>
                    </w:rPr>
                  </w:pPr>
                  <w:r>
                    <w:rPr>
                      <w:rFonts w:ascii="Times New Roman" w:hAnsi="Times New Roman" w:eastAsia="等线" w:cs="Times New Roman"/>
                      <w:szCs w:val="21"/>
                    </w:rPr>
                    <w:t>4</w:t>
                  </w:r>
                  <w:r>
                    <w:rPr>
                      <w:rFonts w:ascii="Times New Roman" w:hAnsi="Times New Roman" w:cs="Times New Roman"/>
                      <w:szCs w:val="21"/>
                    </w:rPr>
                    <w:t>#</w:t>
                  </w:r>
                  <w:r>
                    <w:rPr>
                      <w:rFonts w:ascii="Times New Roman" w:hAnsi="Times New Roman" w:eastAsia="宋体" w:cs="Times New Roman"/>
                      <w:szCs w:val="21"/>
                    </w:rPr>
                    <w:t>居民点</w:t>
                  </w:r>
                </w:p>
              </w:tc>
              <w:tc>
                <w:tcPr>
                  <w:tcW w:w="555" w:type="dxa"/>
                  <w:vAlign w:val="center"/>
                </w:tcPr>
                <w:p>
                  <w:pPr>
                    <w:jc w:val="center"/>
                  </w:pPr>
                  <w:r>
                    <w:t>203</w:t>
                  </w:r>
                </w:p>
              </w:tc>
              <w:tc>
                <w:tcPr>
                  <w:tcW w:w="616" w:type="dxa"/>
                  <w:vAlign w:val="center"/>
                </w:tcPr>
                <w:p>
                  <w:pPr>
                    <w:jc w:val="center"/>
                  </w:pPr>
                  <w:r>
                    <w:t>-87</w:t>
                  </w:r>
                </w:p>
              </w:tc>
              <w:tc>
                <w:tcPr>
                  <w:tcW w:w="770" w:type="dxa"/>
                  <w:vAlign w:val="center"/>
                </w:tcPr>
                <w:p>
                  <w:pPr>
                    <w:pStyle w:val="249"/>
                    <w:jc w:val="center"/>
                    <w:rPr>
                      <w:rFonts w:ascii="Times New Roman" w:hAnsi="Times New Roman" w:eastAsia="宋体" w:cs="Times New Roman"/>
                      <w:szCs w:val="21"/>
                    </w:rPr>
                  </w:pPr>
                  <w:r>
                    <w:rPr>
                      <w:rFonts w:ascii="Times New Roman" w:hAnsi="Times New Roman" w:eastAsia="宋体" w:cs="Times New Roman"/>
                      <w:szCs w:val="21"/>
                    </w:rPr>
                    <w:t>居民</w:t>
                  </w:r>
                </w:p>
              </w:tc>
              <w:tc>
                <w:tcPr>
                  <w:tcW w:w="1242" w:type="dxa"/>
                  <w:vAlign w:val="center"/>
                </w:tcPr>
                <w:p>
                  <w:pPr>
                    <w:pStyle w:val="249"/>
                    <w:jc w:val="center"/>
                    <w:rPr>
                      <w:rFonts w:ascii="Times New Roman" w:hAnsi="Times New Roman" w:eastAsia="宋体" w:cs="Times New Roman"/>
                      <w:szCs w:val="21"/>
                    </w:rPr>
                  </w:pPr>
                  <w:r>
                    <w:rPr>
                      <w:rFonts w:ascii="Times New Roman" w:hAnsi="Times New Roman" w:eastAsia="等线" w:cs="Times New Roman"/>
                      <w:szCs w:val="21"/>
                    </w:rPr>
                    <w:t>7</w:t>
                  </w:r>
                  <w:r>
                    <w:rPr>
                      <w:rFonts w:ascii="Times New Roman" w:hAnsi="Times New Roman" w:eastAsia="宋体" w:cs="Times New Roman"/>
                      <w:szCs w:val="21"/>
                    </w:rPr>
                    <w:t>户，</w:t>
                  </w:r>
                  <w:r>
                    <w:rPr>
                      <w:rFonts w:ascii="Times New Roman" w:hAnsi="Times New Roman" w:eastAsia="等线" w:cs="Times New Roman"/>
                      <w:szCs w:val="21"/>
                    </w:rPr>
                    <w:t>8</w:t>
                  </w:r>
                  <w:r>
                    <w:rPr>
                      <w:rFonts w:ascii="Times New Roman" w:hAnsi="Times New Roman" w:eastAsia="宋体" w:cs="Times New Roman"/>
                      <w:szCs w:val="21"/>
                    </w:rPr>
                    <w:t>口人</w:t>
                  </w:r>
                </w:p>
              </w:tc>
              <w:tc>
                <w:tcPr>
                  <w:tcW w:w="796" w:type="dxa"/>
                  <w:vAlign w:val="center"/>
                </w:tcPr>
                <w:p>
                  <w:pPr>
                    <w:pStyle w:val="249"/>
                    <w:jc w:val="center"/>
                    <w:rPr>
                      <w:rFonts w:ascii="Times New Roman" w:hAnsi="Times New Roman" w:eastAsia="宋体" w:cs="Times New Roman"/>
                      <w:szCs w:val="21"/>
                    </w:rPr>
                  </w:pPr>
                  <w:r>
                    <w:rPr>
                      <w:rFonts w:ascii="Times New Roman" w:hAnsi="Times New Roman" w:eastAsia="等线" w:cs="Times New Roman"/>
                      <w:kern w:val="0"/>
                      <w:szCs w:val="21"/>
                    </w:rPr>
                    <w:t>N</w:t>
                  </w:r>
                  <w:r>
                    <w:rPr>
                      <w:rFonts w:ascii="Times New Roman" w:hAnsi="Times New Roman" w:cs="Times New Roman"/>
                      <w:kern w:val="0"/>
                      <w:szCs w:val="21"/>
                    </w:rPr>
                    <w:t>E</w:t>
                  </w:r>
                </w:p>
              </w:tc>
              <w:tc>
                <w:tcPr>
                  <w:tcW w:w="796" w:type="dxa"/>
                  <w:vAlign w:val="center"/>
                </w:tcPr>
                <w:p>
                  <w:pPr>
                    <w:jc w:val="center"/>
                    <w:rPr>
                      <w:szCs w:val="21"/>
                    </w:rPr>
                  </w:pPr>
                  <w:r>
                    <w:rPr>
                      <w:rFonts w:hint="eastAsia"/>
                      <w:szCs w:val="21"/>
                    </w:rPr>
                    <w:t>345</w:t>
                  </w:r>
                </w:p>
              </w:tc>
              <w:tc>
                <w:tcPr>
                  <w:tcW w:w="796" w:type="dxa"/>
                  <w:vAlign w:val="center"/>
                </w:tcPr>
                <w:p>
                  <w:pPr>
                    <w:jc w:val="center"/>
                    <w:rPr>
                      <w:szCs w:val="21"/>
                    </w:rPr>
                  </w:pPr>
                  <w:r>
                    <w:rPr>
                      <w:rFonts w:hint="eastAsia"/>
                      <w:szCs w:val="21"/>
                    </w:rPr>
                    <w:t>292</w:t>
                  </w:r>
                </w:p>
              </w:tc>
              <w:tc>
                <w:tcPr>
                  <w:tcW w:w="796" w:type="dxa"/>
                  <w:vAlign w:val="center"/>
                </w:tcPr>
                <w:p>
                  <w:pPr>
                    <w:jc w:val="center"/>
                    <w:rPr>
                      <w:szCs w:val="21"/>
                    </w:rPr>
                  </w:pPr>
                  <w:r>
                    <w:rPr>
                      <w:rFonts w:hint="eastAsia" w:ascii="等线" w:hAnsi="等线" w:eastAsia="等线"/>
                      <w:color w:val="000000"/>
                      <w:sz w:val="22"/>
                      <w:szCs w:val="22"/>
                    </w:rPr>
                    <w:t>-6</w:t>
                  </w:r>
                </w:p>
              </w:tc>
              <w:tc>
                <w:tcPr>
                  <w:tcW w:w="796" w:type="dxa"/>
                  <w:vAlign w:val="center"/>
                </w:tcPr>
                <w:p>
                  <w:pPr>
                    <w:jc w:val="center"/>
                    <w:rPr>
                      <w:szCs w:val="21"/>
                    </w:rPr>
                  </w:pPr>
                  <w:r>
                    <w:rPr>
                      <w:rFonts w:hint="eastAsia"/>
                      <w:szCs w:val="21"/>
                    </w:rPr>
                    <w:t>427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1701" w:type="dxa"/>
                <w:trHeight w:val="362" w:hRule="atLeast"/>
              </w:trPr>
              <w:tc>
                <w:tcPr>
                  <w:tcW w:w="795" w:type="dxa"/>
                  <w:vAlign w:val="center"/>
                </w:tcPr>
                <w:p>
                  <w:pPr>
                    <w:pStyle w:val="249"/>
                    <w:jc w:val="center"/>
                    <w:rPr>
                      <w:rFonts w:ascii="Times New Roman" w:hAnsi="Times New Roman" w:eastAsia="宋体" w:cs="Times New Roman"/>
                      <w:szCs w:val="21"/>
                    </w:rPr>
                  </w:pPr>
                  <w:r>
                    <w:rPr>
                      <w:rFonts w:ascii="Times New Roman" w:hAnsi="Times New Roman" w:eastAsia="等线" w:cs="Times New Roman"/>
                      <w:kern w:val="0"/>
                      <w:szCs w:val="21"/>
                    </w:rPr>
                    <w:t>5</w:t>
                  </w:r>
                  <w:r>
                    <w:rPr>
                      <w:rFonts w:ascii="Times New Roman" w:hAnsi="Times New Roman" w:cs="Times New Roman"/>
                      <w:kern w:val="0"/>
                      <w:szCs w:val="21"/>
                    </w:rPr>
                    <w:t>#</w:t>
                  </w:r>
                  <w:r>
                    <w:rPr>
                      <w:rFonts w:ascii="Times New Roman" w:hAnsi="Times New Roman" w:eastAsia="宋体" w:cs="Times New Roman"/>
                      <w:kern w:val="0"/>
                      <w:szCs w:val="21"/>
                    </w:rPr>
                    <w:t>居民点</w:t>
                  </w:r>
                </w:p>
              </w:tc>
              <w:tc>
                <w:tcPr>
                  <w:tcW w:w="555" w:type="dxa"/>
                  <w:vAlign w:val="center"/>
                </w:tcPr>
                <w:p>
                  <w:pPr>
                    <w:jc w:val="center"/>
                  </w:pPr>
                  <w:r>
                    <w:t>97</w:t>
                  </w:r>
                </w:p>
              </w:tc>
              <w:tc>
                <w:tcPr>
                  <w:tcW w:w="616" w:type="dxa"/>
                  <w:vAlign w:val="center"/>
                </w:tcPr>
                <w:p>
                  <w:pPr>
                    <w:jc w:val="center"/>
                  </w:pPr>
                  <w:r>
                    <w:t>-148</w:t>
                  </w:r>
                </w:p>
              </w:tc>
              <w:tc>
                <w:tcPr>
                  <w:tcW w:w="770" w:type="dxa"/>
                  <w:vAlign w:val="center"/>
                </w:tcPr>
                <w:p>
                  <w:pPr>
                    <w:pStyle w:val="249"/>
                    <w:jc w:val="center"/>
                    <w:rPr>
                      <w:rFonts w:ascii="Times New Roman" w:hAnsi="Times New Roman" w:eastAsia="宋体" w:cs="Times New Roman"/>
                      <w:szCs w:val="21"/>
                    </w:rPr>
                  </w:pPr>
                  <w:r>
                    <w:rPr>
                      <w:rFonts w:ascii="Times New Roman" w:hAnsi="Times New Roman" w:eastAsia="宋体" w:cs="Times New Roman"/>
                      <w:szCs w:val="21"/>
                    </w:rPr>
                    <w:t>居民</w:t>
                  </w:r>
                </w:p>
              </w:tc>
              <w:tc>
                <w:tcPr>
                  <w:tcW w:w="1242" w:type="dxa"/>
                  <w:vAlign w:val="center"/>
                </w:tcPr>
                <w:p>
                  <w:pPr>
                    <w:pStyle w:val="249"/>
                    <w:jc w:val="center"/>
                    <w:rPr>
                      <w:rFonts w:ascii="Times New Roman" w:hAnsi="Times New Roman" w:eastAsia="宋体" w:cs="Times New Roman"/>
                      <w:szCs w:val="21"/>
                    </w:rPr>
                  </w:pPr>
                  <w:r>
                    <w:rPr>
                      <w:rFonts w:ascii="Times New Roman" w:hAnsi="Times New Roman" w:eastAsia="等线" w:cs="Times New Roman"/>
                      <w:szCs w:val="21"/>
                    </w:rPr>
                    <w:t>2</w:t>
                  </w:r>
                  <w:r>
                    <w:rPr>
                      <w:rFonts w:ascii="Times New Roman" w:hAnsi="Times New Roman" w:eastAsia="宋体" w:cs="Times New Roman"/>
                      <w:szCs w:val="21"/>
                    </w:rPr>
                    <w:t>户，</w:t>
                  </w:r>
                  <w:r>
                    <w:rPr>
                      <w:rFonts w:ascii="Times New Roman" w:hAnsi="Times New Roman" w:eastAsia="等线" w:cs="Times New Roman"/>
                      <w:szCs w:val="21"/>
                    </w:rPr>
                    <w:t>9</w:t>
                  </w:r>
                  <w:r>
                    <w:rPr>
                      <w:rFonts w:ascii="Times New Roman" w:hAnsi="Times New Roman" w:eastAsia="宋体" w:cs="Times New Roman"/>
                      <w:szCs w:val="21"/>
                    </w:rPr>
                    <w:t>口人</w:t>
                  </w:r>
                </w:p>
              </w:tc>
              <w:tc>
                <w:tcPr>
                  <w:tcW w:w="796" w:type="dxa"/>
                  <w:vAlign w:val="center"/>
                </w:tcPr>
                <w:p>
                  <w:pPr>
                    <w:pStyle w:val="249"/>
                    <w:jc w:val="center"/>
                    <w:rPr>
                      <w:rFonts w:ascii="Times New Roman" w:hAnsi="Times New Roman" w:eastAsia="宋体" w:cs="Times New Roman"/>
                      <w:szCs w:val="21"/>
                    </w:rPr>
                  </w:pPr>
                  <w:r>
                    <w:rPr>
                      <w:rFonts w:ascii="Times New Roman" w:hAnsi="Times New Roman" w:eastAsia="等线" w:cs="Times New Roman"/>
                      <w:kern w:val="0"/>
                      <w:szCs w:val="21"/>
                    </w:rPr>
                    <w:t>E</w:t>
                  </w:r>
                </w:p>
              </w:tc>
              <w:tc>
                <w:tcPr>
                  <w:tcW w:w="796" w:type="dxa"/>
                  <w:vAlign w:val="center"/>
                </w:tcPr>
                <w:p>
                  <w:pPr>
                    <w:jc w:val="center"/>
                    <w:rPr>
                      <w:szCs w:val="21"/>
                    </w:rPr>
                  </w:pPr>
                  <w:r>
                    <w:rPr>
                      <w:rFonts w:hint="eastAsia"/>
                      <w:szCs w:val="21"/>
                    </w:rPr>
                    <w:t>499</w:t>
                  </w:r>
                </w:p>
              </w:tc>
              <w:tc>
                <w:tcPr>
                  <w:tcW w:w="796" w:type="dxa"/>
                  <w:vAlign w:val="center"/>
                </w:tcPr>
                <w:p>
                  <w:pPr>
                    <w:jc w:val="center"/>
                    <w:rPr>
                      <w:szCs w:val="21"/>
                    </w:rPr>
                  </w:pPr>
                  <w:r>
                    <w:rPr>
                      <w:rFonts w:hint="eastAsia"/>
                      <w:szCs w:val="21"/>
                    </w:rPr>
                    <w:t>444</w:t>
                  </w:r>
                </w:p>
              </w:tc>
              <w:tc>
                <w:tcPr>
                  <w:tcW w:w="796" w:type="dxa"/>
                  <w:vAlign w:val="center"/>
                </w:tcPr>
                <w:p>
                  <w:pPr>
                    <w:jc w:val="center"/>
                    <w:rPr>
                      <w:szCs w:val="21"/>
                    </w:rPr>
                  </w:pPr>
                  <w:r>
                    <w:rPr>
                      <w:rFonts w:hint="eastAsia" w:ascii="等线" w:hAnsi="等线" w:eastAsia="等线"/>
                      <w:color w:val="000000"/>
                      <w:sz w:val="22"/>
                      <w:szCs w:val="22"/>
                    </w:rPr>
                    <w:t>8</w:t>
                  </w:r>
                </w:p>
              </w:tc>
              <w:tc>
                <w:tcPr>
                  <w:tcW w:w="796" w:type="dxa"/>
                  <w:vAlign w:val="center"/>
                </w:tcPr>
                <w:p>
                  <w:pPr>
                    <w:jc w:val="center"/>
                    <w:rPr>
                      <w:szCs w:val="21"/>
                    </w:rPr>
                  </w:pPr>
                  <w:r>
                    <w:rPr>
                      <w:rFonts w:hint="eastAsia"/>
                      <w:szCs w:val="21"/>
                    </w:rPr>
                    <w:t>527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1701" w:type="dxa"/>
                <w:trHeight w:val="362" w:hRule="atLeast"/>
              </w:trPr>
              <w:tc>
                <w:tcPr>
                  <w:tcW w:w="795" w:type="dxa"/>
                  <w:vAlign w:val="center"/>
                </w:tcPr>
                <w:p>
                  <w:pPr>
                    <w:pStyle w:val="249"/>
                    <w:jc w:val="center"/>
                    <w:rPr>
                      <w:rFonts w:ascii="Times New Roman" w:hAnsi="Times New Roman" w:eastAsia="宋体" w:cs="Times New Roman"/>
                      <w:szCs w:val="21"/>
                    </w:rPr>
                  </w:pPr>
                  <w:r>
                    <w:rPr>
                      <w:rFonts w:ascii="Times New Roman" w:hAnsi="Times New Roman" w:eastAsia="等线" w:cs="Times New Roman"/>
                      <w:szCs w:val="21"/>
                    </w:rPr>
                    <w:t>6</w:t>
                  </w:r>
                  <w:r>
                    <w:rPr>
                      <w:rFonts w:ascii="Times New Roman" w:hAnsi="Times New Roman" w:cs="Times New Roman"/>
                      <w:szCs w:val="21"/>
                    </w:rPr>
                    <w:t>#</w:t>
                  </w:r>
                  <w:r>
                    <w:rPr>
                      <w:rFonts w:ascii="Times New Roman" w:hAnsi="Times New Roman" w:eastAsia="宋体" w:cs="Times New Roman"/>
                      <w:szCs w:val="21"/>
                    </w:rPr>
                    <w:t>居民点</w:t>
                  </w:r>
                </w:p>
              </w:tc>
              <w:tc>
                <w:tcPr>
                  <w:tcW w:w="555" w:type="dxa"/>
                  <w:vAlign w:val="center"/>
                </w:tcPr>
                <w:p>
                  <w:pPr>
                    <w:jc w:val="center"/>
                  </w:pPr>
                  <w:r>
                    <w:t>197</w:t>
                  </w:r>
                </w:p>
              </w:tc>
              <w:tc>
                <w:tcPr>
                  <w:tcW w:w="616" w:type="dxa"/>
                  <w:vAlign w:val="center"/>
                </w:tcPr>
                <w:p>
                  <w:pPr>
                    <w:jc w:val="center"/>
                  </w:pPr>
                  <w:r>
                    <w:t>-223</w:t>
                  </w:r>
                </w:p>
              </w:tc>
              <w:tc>
                <w:tcPr>
                  <w:tcW w:w="770" w:type="dxa"/>
                  <w:vAlign w:val="center"/>
                </w:tcPr>
                <w:p>
                  <w:pPr>
                    <w:pStyle w:val="249"/>
                    <w:jc w:val="center"/>
                    <w:rPr>
                      <w:rFonts w:ascii="Times New Roman" w:hAnsi="Times New Roman" w:eastAsia="宋体" w:cs="Times New Roman"/>
                      <w:szCs w:val="21"/>
                    </w:rPr>
                  </w:pPr>
                  <w:r>
                    <w:rPr>
                      <w:rFonts w:ascii="Times New Roman" w:hAnsi="Times New Roman" w:eastAsia="宋体" w:cs="Times New Roman"/>
                      <w:szCs w:val="21"/>
                    </w:rPr>
                    <w:t>居民</w:t>
                  </w:r>
                </w:p>
              </w:tc>
              <w:tc>
                <w:tcPr>
                  <w:tcW w:w="1242" w:type="dxa"/>
                  <w:vAlign w:val="center"/>
                </w:tcPr>
                <w:p>
                  <w:pPr>
                    <w:pStyle w:val="249"/>
                    <w:jc w:val="center"/>
                    <w:rPr>
                      <w:rFonts w:ascii="Times New Roman" w:hAnsi="Times New Roman" w:eastAsia="宋体" w:cs="Times New Roman"/>
                      <w:szCs w:val="21"/>
                    </w:rPr>
                  </w:pPr>
                  <w:r>
                    <w:rPr>
                      <w:rFonts w:ascii="Times New Roman" w:hAnsi="Times New Roman" w:eastAsia="等线" w:cs="Times New Roman"/>
                      <w:szCs w:val="21"/>
                    </w:rPr>
                    <w:t>2</w:t>
                  </w:r>
                  <w:r>
                    <w:rPr>
                      <w:rFonts w:ascii="Times New Roman" w:hAnsi="Times New Roman" w:eastAsia="宋体" w:cs="Times New Roman"/>
                      <w:szCs w:val="21"/>
                    </w:rPr>
                    <w:t>户，</w:t>
                  </w:r>
                  <w:r>
                    <w:rPr>
                      <w:rFonts w:ascii="Times New Roman" w:hAnsi="Times New Roman" w:eastAsia="等线" w:cs="Times New Roman"/>
                      <w:szCs w:val="21"/>
                    </w:rPr>
                    <w:t>6</w:t>
                  </w:r>
                  <w:r>
                    <w:rPr>
                      <w:rFonts w:ascii="Times New Roman" w:hAnsi="Times New Roman" w:eastAsia="宋体" w:cs="Times New Roman"/>
                      <w:szCs w:val="21"/>
                    </w:rPr>
                    <w:t>口人</w:t>
                  </w:r>
                </w:p>
              </w:tc>
              <w:tc>
                <w:tcPr>
                  <w:tcW w:w="796" w:type="dxa"/>
                  <w:vAlign w:val="center"/>
                </w:tcPr>
                <w:p>
                  <w:pPr>
                    <w:pStyle w:val="249"/>
                    <w:jc w:val="center"/>
                    <w:rPr>
                      <w:rFonts w:ascii="Times New Roman" w:hAnsi="Times New Roman" w:eastAsia="等线" w:cs="Times New Roman"/>
                      <w:szCs w:val="21"/>
                    </w:rPr>
                  </w:pPr>
                  <w:r>
                    <w:rPr>
                      <w:rFonts w:ascii="Times New Roman" w:hAnsi="Times New Roman" w:eastAsia="等线" w:cs="Times New Roman"/>
                      <w:kern w:val="0"/>
                      <w:szCs w:val="21"/>
                    </w:rPr>
                    <w:t>SE</w:t>
                  </w:r>
                </w:p>
              </w:tc>
              <w:tc>
                <w:tcPr>
                  <w:tcW w:w="796" w:type="dxa"/>
                  <w:vAlign w:val="center"/>
                </w:tcPr>
                <w:p>
                  <w:pPr>
                    <w:jc w:val="center"/>
                    <w:rPr>
                      <w:szCs w:val="21"/>
                    </w:rPr>
                  </w:pPr>
                  <w:r>
                    <w:rPr>
                      <w:rFonts w:hint="eastAsia"/>
                      <w:szCs w:val="21"/>
                    </w:rPr>
                    <w:t>420</w:t>
                  </w:r>
                </w:p>
              </w:tc>
              <w:tc>
                <w:tcPr>
                  <w:tcW w:w="796" w:type="dxa"/>
                  <w:vAlign w:val="center"/>
                </w:tcPr>
                <w:p>
                  <w:pPr>
                    <w:jc w:val="center"/>
                    <w:rPr>
                      <w:szCs w:val="21"/>
                    </w:rPr>
                  </w:pPr>
                  <w:r>
                    <w:rPr>
                      <w:rFonts w:hint="eastAsia"/>
                      <w:szCs w:val="21"/>
                    </w:rPr>
                    <w:t>435</w:t>
                  </w:r>
                </w:p>
              </w:tc>
              <w:tc>
                <w:tcPr>
                  <w:tcW w:w="796" w:type="dxa"/>
                  <w:vAlign w:val="center"/>
                </w:tcPr>
                <w:p>
                  <w:pPr>
                    <w:jc w:val="center"/>
                    <w:rPr>
                      <w:szCs w:val="21"/>
                    </w:rPr>
                  </w:pPr>
                  <w:r>
                    <w:rPr>
                      <w:rFonts w:hint="eastAsia" w:ascii="等线" w:hAnsi="等线" w:eastAsia="等线"/>
                      <w:color w:val="000000"/>
                      <w:sz w:val="22"/>
                      <w:szCs w:val="22"/>
                    </w:rPr>
                    <w:t>166</w:t>
                  </w:r>
                </w:p>
              </w:tc>
              <w:tc>
                <w:tcPr>
                  <w:tcW w:w="796" w:type="dxa"/>
                  <w:vAlign w:val="center"/>
                </w:tcPr>
                <w:p>
                  <w:pPr>
                    <w:jc w:val="center"/>
                    <w:rPr>
                      <w:szCs w:val="21"/>
                    </w:rPr>
                  </w:pPr>
                  <w:r>
                    <w:rPr>
                      <w:rFonts w:hint="eastAsia"/>
                      <w:szCs w:val="21"/>
                    </w:rPr>
                    <w:t>535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1701" w:type="dxa"/>
                <w:trHeight w:val="362" w:hRule="atLeast"/>
              </w:trPr>
              <w:tc>
                <w:tcPr>
                  <w:tcW w:w="795" w:type="dxa"/>
                  <w:vAlign w:val="center"/>
                </w:tcPr>
                <w:p>
                  <w:pPr>
                    <w:pStyle w:val="249"/>
                    <w:jc w:val="center"/>
                    <w:rPr>
                      <w:rFonts w:ascii="Times New Roman" w:hAnsi="Times New Roman" w:eastAsia="宋体" w:cs="Times New Roman"/>
                      <w:szCs w:val="21"/>
                    </w:rPr>
                  </w:pPr>
                  <w:r>
                    <w:rPr>
                      <w:rFonts w:ascii="Times New Roman" w:hAnsi="Times New Roman" w:eastAsia="等线" w:cs="Times New Roman"/>
                      <w:szCs w:val="21"/>
                    </w:rPr>
                    <w:t>7</w:t>
                  </w:r>
                  <w:r>
                    <w:rPr>
                      <w:rFonts w:ascii="Times New Roman" w:hAnsi="Times New Roman" w:cs="Times New Roman"/>
                      <w:szCs w:val="21"/>
                    </w:rPr>
                    <w:t>#</w:t>
                  </w:r>
                  <w:r>
                    <w:rPr>
                      <w:rFonts w:ascii="Times New Roman" w:hAnsi="Times New Roman" w:eastAsia="宋体" w:cs="Times New Roman"/>
                      <w:szCs w:val="21"/>
                    </w:rPr>
                    <w:t>居民点</w:t>
                  </w:r>
                </w:p>
              </w:tc>
              <w:tc>
                <w:tcPr>
                  <w:tcW w:w="555" w:type="dxa"/>
                  <w:vAlign w:val="center"/>
                </w:tcPr>
                <w:p>
                  <w:pPr>
                    <w:jc w:val="center"/>
                  </w:pPr>
                  <w:r>
                    <w:t>258</w:t>
                  </w:r>
                </w:p>
              </w:tc>
              <w:tc>
                <w:tcPr>
                  <w:tcW w:w="616" w:type="dxa"/>
                  <w:vAlign w:val="center"/>
                </w:tcPr>
                <w:p>
                  <w:pPr>
                    <w:jc w:val="center"/>
                  </w:pPr>
                  <w:r>
                    <w:t>-329</w:t>
                  </w:r>
                </w:p>
              </w:tc>
              <w:tc>
                <w:tcPr>
                  <w:tcW w:w="770" w:type="dxa"/>
                  <w:vAlign w:val="center"/>
                </w:tcPr>
                <w:p>
                  <w:pPr>
                    <w:pStyle w:val="249"/>
                    <w:jc w:val="center"/>
                    <w:rPr>
                      <w:rFonts w:ascii="Times New Roman" w:hAnsi="Times New Roman" w:eastAsia="宋体" w:cs="Times New Roman"/>
                      <w:szCs w:val="21"/>
                    </w:rPr>
                  </w:pPr>
                  <w:r>
                    <w:rPr>
                      <w:rFonts w:ascii="Times New Roman" w:hAnsi="Times New Roman" w:eastAsia="宋体" w:cs="Times New Roman"/>
                      <w:szCs w:val="21"/>
                    </w:rPr>
                    <w:t>居民</w:t>
                  </w:r>
                </w:p>
              </w:tc>
              <w:tc>
                <w:tcPr>
                  <w:tcW w:w="1242" w:type="dxa"/>
                  <w:vAlign w:val="center"/>
                </w:tcPr>
                <w:p>
                  <w:pPr>
                    <w:pStyle w:val="249"/>
                    <w:jc w:val="center"/>
                    <w:rPr>
                      <w:rFonts w:ascii="Times New Roman" w:hAnsi="Times New Roman" w:eastAsia="宋体" w:cs="Times New Roman"/>
                      <w:szCs w:val="21"/>
                    </w:rPr>
                  </w:pPr>
                  <w:r>
                    <w:rPr>
                      <w:rFonts w:ascii="Times New Roman" w:hAnsi="Times New Roman" w:eastAsia="等线" w:cs="Times New Roman"/>
                      <w:szCs w:val="21"/>
                    </w:rPr>
                    <w:t>2</w:t>
                  </w:r>
                  <w:r>
                    <w:rPr>
                      <w:rFonts w:ascii="Times New Roman" w:hAnsi="Times New Roman" w:eastAsia="宋体" w:cs="Times New Roman"/>
                      <w:szCs w:val="21"/>
                    </w:rPr>
                    <w:t>户，</w:t>
                  </w:r>
                  <w:r>
                    <w:rPr>
                      <w:rFonts w:ascii="Times New Roman" w:hAnsi="Times New Roman" w:eastAsia="等线" w:cs="Times New Roman"/>
                      <w:szCs w:val="21"/>
                    </w:rPr>
                    <w:t>6</w:t>
                  </w:r>
                  <w:r>
                    <w:rPr>
                      <w:rFonts w:ascii="Times New Roman" w:hAnsi="Times New Roman" w:eastAsia="宋体" w:cs="Times New Roman"/>
                      <w:szCs w:val="21"/>
                    </w:rPr>
                    <w:t>口人</w:t>
                  </w:r>
                </w:p>
              </w:tc>
              <w:tc>
                <w:tcPr>
                  <w:tcW w:w="796" w:type="dxa"/>
                  <w:vAlign w:val="center"/>
                </w:tcPr>
                <w:p>
                  <w:pPr>
                    <w:pStyle w:val="249"/>
                    <w:jc w:val="center"/>
                    <w:rPr>
                      <w:rFonts w:ascii="Times New Roman" w:hAnsi="Times New Roman" w:eastAsia="宋体" w:cs="Times New Roman"/>
                      <w:szCs w:val="21"/>
                    </w:rPr>
                  </w:pPr>
                  <w:r>
                    <w:rPr>
                      <w:rFonts w:ascii="Times New Roman" w:hAnsi="Times New Roman" w:eastAsia="等线" w:cs="Times New Roman"/>
                      <w:kern w:val="0"/>
                      <w:szCs w:val="21"/>
                    </w:rPr>
                    <w:t>S</w:t>
                  </w:r>
                  <w:r>
                    <w:rPr>
                      <w:rFonts w:ascii="Times New Roman" w:hAnsi="Times New Roman" w:cs="Times New Roman"/>
                      <w:kern w:val="0"/>
                      <w:szCs w:val="21"/>
                    </w:rPr>
                    <w:t>W</w:t>
                  </w:r>
                </w:p>
              </w:tc>
              <w:tc>
                <w:tcPr>
                  <w:tcW w:w="796" w:type="dxa"/>
                  <w:vAlign w:val="center"/>
                </w:tcPr>
                <w:p>
                  <w:pPr>
                    <w:jc w:val="center"/>
                    <w:rPr>
                      <w:szCs w:val="21"/>
                    </w:rPr>
                  </w:pPr>
                  <w:r>
                    <w:rPr>
                      <w:rFonts w:hint="eastAsia"/>
                      <w:szCs w:val="21"/>
                    </w:rPr>
                    <w:t>459</w:t>
                  </w:r>
                </w:p>
              </w:tc>
              <w:tc>
                <w:tcPr>
                  <w:tcW w:w="796" w:type="dxa"/>
                  <w:vAlign w:val="center"/>
                </w:tcPr>
                <w:p>
                  <w:pPr>
                    <w:jc w:val="center"/>
                    <w:rPr>
                      <w:szCs w:val="21"/>
                    </w:rPr>
                  </w:pPr>
                  <w:r>
                    <w:rPr>
                      <w:rFonts w:hint="eastAsia"/>
                      <w:szCs w:val="21"/>
                    </w:rPr>
                    <w:t>394</w:t>
                  </w:r>
                </w:p>
              </w:tc>
              <w:tc>
                <w:tcPr>
                  <w:tcW w:w="796" w:type="dxa"/>
                  <w:vAlign w:val="center"/>
                </w:tcPr>
                <w:p>
                  <w:pPr>
                    <w:jc w:val="center"/>
                    <w:rPr>
                      <w:szCs w:val="21"/>
                    </w:rPr>
                  </w:pPr>
                  <w:r>
                    <w:rPr>
                      <w:rFonts w:hint="eastAsia" w:ascii="等线" w:hAnsi="等线" w:eastAsia="等线"/>
                      <w:color w:val="000000"/>
                      <w:sz w:val="22"/>
                      <w:szCs w:val="22"/>
                    </w:rPr>
                    <w:t>148</w:t>
                  </w:r>
                </w:p>
              </w:tc>
              <w:tc>
                <w:tcPr>
                  <w:tcW w:w="796" w:type="dxa"/>
                  <w:vAlign w:val="center"/>
                </w:tcPr>
                <w:p>
                  <w:pPr>
                    <w:jc w:val="center"/>
                    <w:rPr>
                      <w:szCs w:val="21"/>
                    </w:rPr>
                  </w:pPr>
                  <w:r>
                    <w:rPr>
                      <w:rFonts w:hint="eastAsia"/>
                      <w:szCs w:val="21"/>
                    </w:rPr>
                    <w:t>564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795" w:type="dxa"/>
                  <w:vAlign w:val="center"/>
                </w:tcPr>
                <w:p>
                  <w:pPr>
                    <w:pStyle w:val="249"/>
                    <w:jc w:val="center"/>
                    <w:rPr>
                      <w:rFonts w:ascii="Times New Roman" w:hAnsi="Times New Roman" w:eastAsia="宋体" w:cs="Times New Roman"/>
                      <w:szCs w:val="21"/>
                    </w:rPr>
                  </w:pPr>
                  <w:r>
                    <w:rPr>
                      <w:rFonts w:ascii="Times New Roman" w:hAnsi="Times New Roman" w:eastAsia="宋体" w:cs="Times New Roman"/>
                      <w:szCs w:val="21"/>
                    </w:rPr>
                    <w:t>零散居民点</w:t>
                  </w:r>
                </w:p>
              </w:tc>
              <w:tc>
                <w:tcPr>
                  <w:tcW w:w="555" w:type="dxa"/>
                  <w:vAlign w:val="center"/>
                </w:tcPr>
                <w:p>
                  <w:pPr>
                    <w:pStyle w:val="249"/>
                    <w:jc w:val="center"/>
                    <w:rPr>
                      <w:rFonts w:ascii="Times New Roman" w:hAnsi="Times New Roman" w:eastAsia="宋体" w:cs="Times New Roman"/>
                      <w:spacing w:val="-7"/>
                      <w:szCs w:val="21"/>
                    </w:rPr>
                  </w:pPr>
                  <w:r>
                    <w:rPr>
                      <w:rFonts w:ascii="Times New Roman" w:hAnsi="Times New Roman" w:eastAsia="宋体" w:cs="Times New Roman"/>
                      <w:spacing w:val="-7"/>
                      <w:szCs w:val="21"/>
                    </w:rPr>
                    <w:t>/</w:t>
                  </w:r>
                </w:p>
              </w:tc>
              <w:tc>
                <w:tcPr>
                  <w:tcW w:w="616" w:type="dxa"/>
                  <w:vAlign w:val="center"/>
                </w:tcPr>
                <w:p>
                  <w:pPr>
                    <w:pStyle w:val="249"/>
                    <w:jc w:val="center"/>
                    <w:rPr>
                      <w:rFonts w:ascii="Times New Roman" w:hAnsi="Times New Roman" w:eastAsia="宋体" w:cs="Times New Roman"/>
                      <w:spacing w:val="-7"/>
                      <w:szCs w:val="21"/>
                    </w:rPr>
                  </w:pPr>
                  <w:r>
                    <w:rPr>
                      <w:rFonts w:ascii="Times New Roman" w:hAnsi="Times New Roman" w:eastAsia="宋体" w:cs="Times New Roman"/>
                      <w:spacing w:val="-7"/>
                      <w:szCs w:val="21"/>
                    </w:rPr>
                    <w:t>/</w:t>
                  </w:r>
                </w:p>
              </w:tc>
              <w:tc>
                <w:tcPr>
                  <w:tcW w:w="770" w:type="dxa"/>
                  <w:vAlign w:val="center"/>
                </w:tcPr>
                <w:p>
                  <w:pPr>
                    <w:pStyle w:val="249"/>
                    <w:jc w:val="center"/>
                    <w:rPr>
                      <w:rFonts w:ascii="Times New Roman" w:hAnsi="Times New Roman" w:eastAsia="宋体" w:cs="Times New Roman"/>
                      <w:spacing w:val="-7"/>
                      <w:szCs w:val="21"/>
                    </w:rPr>
                  </w:pPr>
                  <w:r>
                    <w:rPr>
                      <w:rFonts w:ascii="Times New Roman" w:hAnsi="Times New Roman" w:eastAsia="宋体" w:cs="Times New Roman"/>
                      <w:szCs w:val="21"/>
                    </w:rPr>
                    <w:t>居民</w:t>
                  </w:r>
                </w:p>
              </w:tc>
              <w:tc>
                <w:tcPr>
                  <w:tcW w:w="5222" w:type="dxa"/>
                  <w:gridSpan w:val="6"/>
                  <w:vAlign w:val="center"/>
                </w:tcPr>
                <w:p>
                  <w:pPr>
                    <w:pStyle w:val="249"/>
                    <w:jc w:val="center"/>
                    <w:rPr>
                      <w:rFonts w:ascii="Times New Roman" w:hAnsi="Times New Roman" w:eastAsia="宋体" w:cs="Times New Roman"/>
                      <w:szCs w:val="21"/>
                    </w:rPr>
                  </w:pPr>
                  <w:r>
                    <w:rPr>
                      <w:rFonts w:hint="eastAsia" w:ascii="Times New Roman" w:hAnsi="Times New Roman" w:eastAsia="宋体" w:cs="Times New Roman"/>
                      <w:szCs w:val="21"/>
                    </w:rPr>
                    <w:t>苏坪村分散居民，约200人，1~2F砖、瓦房</w:t>
                  </w:r>
                </w:p>
              </w:tc>
              <w:tc>
                <w:tcPr>
                  <w:tcW w:w="567" w:type="dxa"/>
                  <w:vAlign w:val="center"/>
                </w:tcPr>
                <w:p>
                  <w:pPr>
                    <w:pStyle w:val="249"/>
                    <w:jc w:val="center"/>
                    <w:rPr>
                      <w:rFonts w:ascii="Times New Roman" w:hAnsi="Times New Roman" w:eastAsia="宋体" w:cs="Times New Roman"/>
                      <w:spacing w:val="-7"/>
                      <w:szCs w:val="21"/>
                    </w:rPr>
                  </w:pPr>
                  <w:r>
                    <w:rPr>
                      <w:rFonts w:ascii="Times New Roman" w:hAnsi="Times New Roman" w:eastAsia="宋体" w:cs="Times New Roman"/>
                      <w:spacing w:val="-7"/>
                      <w:szCs w:val="21"/>
                    </w:rPr>
                    <w:t>/</w:t>
                  </w:r>
                </w:p>
              </w:tc>
              <w:tc>
                <w:tcPr>
                  <w:tcW w:w="567" w:type="dxa"/>
                  <w:vAlign w:val="center"/>
                </w:tcPr>
                <w:p>
                  <w:pPr>
                    <w:pStyle w:val="249"/>
                    <w:jc w:val="center"/>
                    <w:rPr>
                      <w:rFonts w:ascii="Times New Roman" w:hAnsi="Times New Roman" w:eastAsia="宋体" w:cs="Times New Roman"/>
                      <w:spacing w:val="-7"/>
                      <w:szCs w:val="21"/>
                    </w:rPr>
                  </w:pPr>
                  <w:r>
                    <w:rPr>
                      <w:rFonts w:ascii="Times New Roman" w:hAnsi="Times New Roman" w:eastAsia="宋体" w:cs="Times New Roman"/>
                      <w:spacing w:val="-7"/>
                      <w:szCs w:val="21"/>
                    </w:rPr>
                    <w:t>/</w:t>
                  </w:r>
                </w:p>
              </w:tc>
              <w:tc>
                <w:tcPr>
                  <w:tcW w:w="567" w:type="dxa"/>
                  <w:vAlign w:val="center"/>
                </w:tcPr>
                <w:p>
                  <w:pPr>
                    <w:pStyle w:val="249"/>
                    <w:jc w:val="center"/>
                    <w:rPr>
                      <w:rFonts w:ascii="Times New Roman" w:hAnsi="Times New Roman" w:eastAsia="宋体" w:cs="Times New Roman"/>
                      <w:spacing w:val="-7"/>
                      <w:szCs w:val="21"/>
                    </w:rPr>
                  </w:pPr>
                  <w:r>
                    <w:rPr>
                      <w:rFonts w:ascii="Times New Roman" w:hAnsi="Times New Roman" w:eastAsia="宋体" w:cs="Times New Roman"/>
                      <w:szCs w:val="21"/>
                    </w:rPr>
                    <w:t>居民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1701" w:type="dxa"/>
                <w:trHeight w:val="362" w:hRule="atLeast"/>
              </w:trPr>
              <w:tc>
                <w:tcPr>
                  <w:tcW w:w="7958" w:type="dxa"/>
                  <w:gridSpan w:val="10"/>
                  <w:vAlign w:val="center"/>
                </w:tcPr>
                <w:p>
                  <w:pPr>
                    <w:adjustRightInd w:val="0"/>
                    <w:snapToGrid w:val="0"/>
                    <w:rPr>
                      <w:b/>
                      <w:bCs/>
                      <w:kern w:val="0"/>
                      <w:szCs w:val="21"/>
                    </w:rPr>
                  </w:pPr>
                  <w:r>
                    <w:rPr>
                      <w:rFonts w:hint="eastAsia"/>
                      <w:b/>
                      <w:bCs/>
                      <w:kern w:val="0"/>
                      <w:szCs w:val="21"/>
                    </w:rPr>
                    <w:t>注：以井口为坐标原点。</w:t>
                  </w:r>
                </w:p>
              </w:tc>
            </w:tr>
          </w:tbl>
          <w:p>
            <w:pPr>
              <w:adjustRightInd w:val="0"/>
              <w:snapToGrid w:val="0"/>
              <w:spacing w:line="360" w:lineRule="auto"/>
              <w:jc w:val="center"/>
              <w:rPr>
                <w:b/>
                <w:bCs/>
                <w:kern w:val="0"/>
                <w:szCs w:val="21"/>
              </w:rPr>
            </w:pPr>
          </w:p>
          <w:p>
            <w:pPr>
              <w:adjustRightInd w:val="0"/>
              <w:snapToGrid w:val="0"/>
              <w:spacing w:line="360" w:lineRule="auto"/>
              <w:ind w:firstLine="420" w:firstLineChars="200"/>
              <w:rPr>
                <w:kern w:val="0"/>
                <w:szCs w:val="21"/>
              </w:rPr>
            </w:pPr>
            <w:r>
              <w:rPr>
                <w:kern w:val="0"/>
                <w:szCs w:val="21"/>
              </w:rPr>
              <w:t>3、水环境敏感目标</w:t>
            </w:r>
          </w:p>
          <w:p>
            <w:pPr>
              <w:adjustRightInd w:val="0"/>
              <w:snapToGrid w:val="0"/>
              <w:spacing w:line="360" w:lineRule="auto"/>
              <w:ind w:firstLine="420" w:firstLineChars="200"/>
              <w:rPr>
                <w:kern w:val="0"/>
                <w:szCs w:val="21"/>
              </w:rPr>
            </w:pPr>
            <w:r>
              <w:rPr>
                <w:kern w:val="0"/>
                <w:szCs w:val="21"/>
              </w:rPr>
              <w:t>地表水：</w:t>
            </w:r>
            <w:r>
              <w:rPr>
                <w:rFonts w:hint="eastAsia"/>
                <w:kern w:val="0"/>
                <w:szCs w:val="21"/>
              </w:rPr>
              <w:t>洞滩河</w:t>
            </w:r>
            <w:r>
              <w:rPr>
                <w:kern w:val="0"/>
                <w:szCs w:val="21"/>
              </w:rPr>
              <w:t>位于</w:t>
            </w:r>
            <w:r>
              <w:rPr>
                <w:rFonts w:hint="eastAsia"/>
                <w:kern w:val="0"/>
                <w:szCs w:val="21"/>
              </w:rPr>
              <w:t>井口西侧345</w:t>
            </w:r>
            <w:r>
              <w:rPr>
                <w:kern w:val="0"/>
                <w:szCs w:val="21"/>
              </w:rPr>
              <w:t>m</w:t>
            </w:r>
            <w:r>
              <w:rPr>
                <w:rFonts w:hint="eastAsia"/>
                <w:kern w:val="0"/>
                <w:szCs w:val="21"/>
              </w:rPr>
              <w:t>处</w:t>
            </w:r>
            <w:r>
              <w:rPr>
                <w:kern w:val="0"/>
                <w:szCs w:val="21"/>
              </w:rPr>
              <w:t>，</w:t>
            </w:r>
            <w:r>
              <w:rPr>
                <w:rFonts w:hint="eastAsia"/>
                <w:kern w:val="0"/>
                <w:szCs w:val="21"/>
              </w:rPr>
              <w:t>无</w:t>
            </w:r>
            <w:r>
              <w:rPr>
                <w:kern w:val="0"/>
                <w:szCs w:val="21"/>
              </w:rPr>
              <w:t>水域功能。</w:t>
            </w:r>
            <w:r>
              <w:rPr>
                <w:rFonts w:hint="eastAsia"/>
                <w:kern w:val="0"/>
                <w:szCs w:val="21"/>
              </w:rPr>
              <w:t>井口5</w:t>
            </w:r>
            <w:r>
              <w:rPr>
                <w:kern w:val="0"/>
                <w:szCs w:val="21"/>
              </w:rPr>
              <w:t>00</w:t>
            </w:r>
            <w:r>
              <w:rPr>
                <w:rFonts w:hint="eastAsia"/>
                <w:kern w:val="0"/>
                <w:szCs w:val="21"/>
              </w:rPr>
              <w:t>m范围内无大型水体、水库分布。</w:t>
            </w:r>
          </w:p>
          <w:p>
            <w:pPr>
              <w:adjustRightInd w:val="0"/>
              <w:snapToGrid w:val="0"/>
              <w:spacing w:line="360" w:lineRule="auto"/>
              <w:ind w:firstLine="420" w:firstLineChars="200"/>
              <w:rPr>
                <w:kern w:val="0"/>
                <w:szCs w:val="21"/>
              </w:rPr>
            </w:pPr>
            <w:r>
              <w:rPr>
                <w:kern w:val="0"/>
                <w:szCs w:val="21"/>
              </w:rPr>
              <w:t>地下水：井口500m范围内</w:t>
            </w:r>
            <w:r>
              <w:rPr>
                <w:rFonts w:hint="eastAsia"/>
                <w:kern w:val="0"/>
                <w:szCs w:val="21"/>
              </w:rPr>
              <w:t>遗留</w:t>
            </w:r>
            <w:r>
              <w:rPr>
                <w:kern w:val="0"/>
                <w:szCs w:val="21"/>
              </w:rPr>
              <w:t>水井6口</w:t>
            </w:r>
            <w:r>
              <w:rPr>
                <w:rFonts w:hint="eastAsia"/>
                <w:kern w:val="0"/>
                <w:szCs w:val="21"/>
              </w:rPr>
              <w:t>，作为附近居民生活辅助用水</w:t>
            </w:r>
            <w:r>
              <w:rPr>
                <w:kern w:val="0"/>
                <w:szCs w:val="21"/>
              </w:rPr>
              <w:t>。根据区域水文地质条件，</w:t>
            </w:r>
            <w:r>
              <w:rPr>
                <w:rFonts w:hint="eastAsia"/>
                <w:kern w:val="0"/>
                <w:szCs w:val="21"/>
              </w:rPr>
              <w:t>遗留水井的</w:t>
            </w:r>
            <w:r>
              <w:rPr>
                <w:kern w:val="0"/>
                <w:szCs w:val="21"/>
              </w:rPr>
              <w:t>地下水为基岩风化带网状裂隙水。</w:t>
            </w:r>
          </w:p>
          <w:p>
            <w:pPr>
              <w:pStyle w:val="331"/>
              <w:numPr>
                <w:ilvl w:val="0"/>
                <w:numId w:val="6"/>
              </w:numPr>
              <w:adjustRightInd w:val="0"/>
              <w:snapToGrid w:val="0"/>
              <w:spacing w:line="360" w:lineRule="auto"/>
              <w:ind w:left="0" w:firstLine="0" w:firstLineChars="0"/>
              <w:jc w:val="center"/>
              <w:rPr>
                <w:b/>
                <w:bCs/>
                <w:kern w:val="0"/>
                <w:szCs w:val="21"/>
              </w:rPr>
            </w:pPr>
            <w:r>
              <w:rPr>
                <w:rFonts w:hint="eastAsia"/>
                <w:b/>
                <w:bCs/>
                <w:kern w:val="0"/>
                <w:szCs w:val="21"/>
              </w:rPr>
              <w:t>周边水井分布情况一览表</w:t>
            </w:r>
          </w:p>
          <w:tbl>
            <w:tblPr>
              <w:tblStyle w:val="42"/>
              <w:tblW w:w="798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7"/>
              <w:gridCol w:w="939"/>
              <w:gridCol w:w="878"/>
              <w:gridCol w:w="892"/>
              <w:gridCol w:w="819"/>
              <w:gridCol w:w="819"/>
              <w:gridCol w:w="1492"/>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349" w:type="pct"/>
                  <w:noWrap/>
                  <w:vAlign w:val="center"/>
                </w:tcPr>
                <w:p>
                  <w:pPr>
                    <w:pStyle w:val="90"/>
                    <w:spacing w:line="240" w:lineRule="auto"/>
                    <w:rPr>
                      <w:kern w:val="0"/>
                      <w:szCs w:val="21"/>
                    </w:rPr>
                  </w:pPr>
                  <w:r>
                    <w:rPr>
                      <w:szCs w:val="21"/>
                    </w:rPr>
                    <w:t>编号</w:t>
                  </w:r>
                </w:p>
              </w:tc>
              <w:tc>
                <w:tcPr>
                  <w:tcW w:w="588" w:type="pct"/>
                  <w:noWrap/>
                  <w:vAlign w:val="center"/>
                </w:tcPr>
                <w:p>
                  <w:pPr>
                    <w:pStyle w:val="90"/>
                    <w:spacing w:line="240" w:lineRule="auto"/>
                    <w:rPr>
                      <w:szCs w:val="21"/>
                    </w:rPr>
                  </w:pPr>
                  <w:r>
                    <w:rPr>
                      <w:szCs w:val="21"/>
                    </w:rPr>
                    <w:t>经度</w:t>
                  </w:r>
                </w:p>
              </w:tc>
              <w:tc>
                <w:tcPr>
                  <w:tcW w:w="550" w:type="pct"/>
                  <w:noWrap/>
                  <w:vAlign w:val="center"/>
                </w:tcPr>
                <w:p>
                  <w:pPr>
                    <w:pStyle w:val="90"/>
                    <w:spacing w:line="240" w:lineRule="auto"/>
                    <w:rPr>
                      <w:szCs w:val="21"/>
                    </w:rPr>
                  </w:pPr>
                  <w:r>
                    <w:rPr>
                      <w:szCs w:val="21"/>
                    </w:rPr>
                    <w:t>纬度</w:t>
                  </w:r>
                </w:p>
              </w:tc>
              <w:tc>
                <w:tcPr>
                  <w:tcW w:w="559" w:type="pct"/>
                  <w:noWrap/>
                  <w:vAlign w:val="center"/>
                </w:tcPr>
                <w:p>
                  <w:pPr>
                    <w:pStyle w:val="90"/>
                    <w:spacing w:line="240" w:lineRule="auto"/>
                    <w:rPr>
                      <w:szCs w:val="21"/>
                    </w:rPr>
                  </w:pPr>
                  <w:r>
                    <w:rPr>
                      <w:szCs w:val="21"/>
                    </w:rPr>
                    <w:t>水位高程/m</w:t>
                  </w:r>
                </w:p>
              </w:tc>
              <w:tc>
                <w:tcPr>
                  <w:tcW w:w="513" w:type="pct"/>
                  <w:vAlign w:val="center"/>
                </w:tcPr>
                <w:p>
                  <w:pPr>
                    <w:pStyle w:val="90"/>
                    <w:spacing w:line="240" w:lineRule="auto"/>
                    <w:rPr>
                      <w:szCs w:val="21"/>
                    </w:rPr>
                  </w:pPr>
                  <w:r>
                    <w:rPr>
                      <w:szCs w:val="21"/>
                    </w:rPr>
                    <w:t>与井口高差/m</w:t>
                  </w:r>
                </w:p>
              </w:tc>
              <w:tc>
                <w:tcPr>
                  <w:tcW w:w="513" w:type="pct"/>
                  <w:noWrap/>
                  <w:vAlign w:val="center"/>
                </w:tcPr>
                <w:p>
                  <w:pPr>
                    <w:pStyle w:val="90"/>
                    <w:spacing w:line="240" w:lineRule="auto"/>
                    <w:rPr>
                      <w:szCs w:val="21"/>
                    </w:rPr>
                  </w:pPr>
                  <w:r>
                    <w:rPr>
                      <w:szCs w:val="21"/>
                    </w:rPr>
                    <w:t>含水层</w:t>
                  </w:r>
                </w:p>
              </w:tc>
              <w:tc>
                <w:tcPr>
                  <w:tcW w:w="935" w:type="pct"/>
                  <w:noWrap/>
                  <w:vAlign w:val="center"/>
                </w:tcPr>
                <w:p>
                  <w:pPr>
                    <w:pStyle w:val="90"/>
                    <w:spacing w:line="240" w:lineRule="auto"/>
                    <w:rPr>
                      <w:szCs w:val="21"/>
                    </w:rPr>
                  </w:pPr>
                  <w:r>
                    <w:rPr>
                      <w:szCs w:val="21"/>
                    </w:rPr>
                    <w:t>供水范围及人口/户</w:t>
                  </w:r>
                </w:p>
              </w:tc>
              <w:tc>
                <w:tcPr>
                  <w:tcW w:w="993" w:type="pct"/>
                  <w:noWrap/>
                  <w:vAlign w:val="center"/>
                </w:tcPr>
                <w:p>
                  <w:pPr>
                    <w:pStyle w:val="90"/>
                    <w:spacing w:line="240" w:lineRule="auto"/>
                    <w:rPr>
                      <w:szCs w:val="21"/>
                    </w:rPr>
                  </w:pPr>
                  <w:r>
                    <w:rPr>
                      <w:szCs w:val="21"/>
                    </w:rPr>
                    <w:t>与项目位置关系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349" w:type="pct"/>
                  <w:noWrap/>
                  <w:vAlign w:val="center"/>
                </w:tcPr>
                <w:p>
                  <w:pPr>
                    <w:pStyle w:val="90"/>
                    <w:spacing w:line="240" w:lineRule="auto"/>
                    <w:rPr>
                      <w:szCs w:val="21"/>
                    </w:rPr>
                  </w:pPr>
                  <w:r>
                    <w:rPr>
                      <w:rFonts w:eastAsia="等线"/>
                      <w:szCs w:val="21"/>
                    </w:rPr>
                    <w:t>D1</w:t>
                  </w:r>
                </w:p>
              </w:tc>
              <w:tc>
                <w:tcPr>
                  <w:tcW w:w="588" w:type="pct"/>
                  <w:noWrap/>
                  <w:vAlign w:val="center"/>
                </w:tcPr>
                <w:p>
                  <w:pPr>
                    <w:widowControl/>
                    <w:jc w:val="center"/>
                    <w:rPr>
                      <w:rFonts w:eastAsia="等线"/>
                      <w:color w:val="000000"/>
                      <w:kern w:val="0"/>
                      <w:sz w:val="22"/>
                      <w:szCs w:val="22"/>
                    </w:rPr>
                  </w:pPr>
                  <w:r>
                    <w:rPr>
                      <w:rFonts w:eastAsia="等线"/>
                      <w:color w:val="000000"/>
                      <w:sz w:val="22"/>
                      <w:szCs w:val="22"/>
                    </w:rPr>
                    <w:t>107.2741</w:t>
                  </w:r>
                </w:p>
              </w:tc>
              <w:tc>
                <w:tcPr>
                  <w:tcW w:w="550" w:type="pct"/>
                  <w:noWrap/>
                  <w:vAlign w:val="center"/>
                </w:tcPr>
                <w:p>
                  <w:pPr>
                    <w:jc w:val="center"/>
                    <w:rPr>
                      <w:rFonts w:eastAsia="等线"/>
                      <w:color w:val="000000"/>
                      <w:sz w:val="22"/>
                      <w:szCs w:val="22"/>
                    </w:rPr>
                  </w:pPr>
                  <w:r>
                    <w:rPr>
                      <w:rFonts w:eastAsia="等线"/>
                      <w:color w:val="000000"/>
                      <w:sz w:val="22"/>
                      <w:szCs w:val="22"/>
                    </w:rPr>
                    <w:t>31.45701</w:t>
                  </w:r>
                </w:p>
              </w:tc>
              <w:tc>
                <w:tcPr>
                  <w:tcW w:w="559" w:type="pct"/>
                  <w:noWrap/>
                  <w:vAlign w:val="center"/>
                </w:tcPr>
                <w:p>
                  <w:pPr>
                    <w:widowControl/>
                    <w:jc w:val="center"/>
                    <w:rPr>
                      <w:rFonts w:eastAsia="等线"/>
                      <w:color w:val="000000"/>
                      <w:kern w:val="0"/>
                      <w:sz w:val="22"/>
                      <w:szCs w:val="22"/>
                    </w:rPr>
                  </w:pPr>
                  <w:r>
                    <w:rPr>
                      <w:rFonts w:eastAsia="等线"/>
                      <w:color w:val="000000"/>
                      <w:sz w:val="22"/>
                      <w:szCs w:val="22"/>
                    </w:rPr>
                    <w:t>398</w:t>
                  </w:r>
                </w:p>
              </w:tc>
              <w:tc>
                <w:tcPr>
                  <w:tcW w:w="513" w:type="pct"/>
                  <w:vAlign w:val="center"/>
                </w:tcPr>
                <w:p>
                  <w:pPr>
                    <w:widowControl/>
                    <w:jc w:val="center"/>
                    <w:rPr>
                      <w:rFonts w:eastAsia="等线"/>
                      <w:color w:val="000000"/>
                      <w:kern w:val="0"/>
                      <w:sz w:val="22"/>
                      <w:szCs w:val="22"/>
                    </w:rPr>
                  </w:pPr>
                  <w:r>
                    <w:rPr>
                      <w:rFonts w:eastAsia="等线"/>
                      <w:color w:val="000000"/>
                      <w:sz w:val="22"/>
                      <w:szCs w:val="22"/>
                    </w:rPr>
                    <w:t>14</w:t>
                  </w:r>
                </w:p>
              </w:tc>
              <w:tc>
                <w:tcPr>
                  <w:tcW w:w="513" w:type="pct"/>
                  <w:vMerge w:val="restart"/>
                  <w:vAlign w:val="center"/>
                </w:tcPr>
                <w:p>
                  <w:pPr>
                    <w:pStyle w:val="90"/>
                    <w:spacing w:line="240" w:lineRule="auto"/>
                    <w:rPr>
                      <w:szCs w:val="21"/>
                    </w:rPr>
                  </w:pPr>
                  <w:r>
                    <w:rPr>
                      <w:kern w:val="0"/>
                      <w:szCs w:val="21"/>
                    </w:rPr>
                    <w:t>岩溶裂隙水</w:t>
                  </w:r>
                </w:p>
              </w:tc>
              <w:tc>
                <w:tcPr>
                  <w:tcW w:w="935" w:type="pct"/>
                  <w:noWrap/>
                  <w:vAlign w:val="center"/>
                </w:tcPr>
                <w:p>
                  <w:pPr>
                    <w:pStyle w:val="90"/>
                    <w:spacing w:line="240" w:lineRule="auto"/>
                    <w:rPr>
                      <w:rFonts w:hint="eastAsia"/>
                      <w:szCs w:val="21"/>
                    </w:rPr>
                  </w:pPr>
                  <w:r>
                    <w:rPr>
                      <w:rFonts w:hint="eastAsia"/>
                      <w:szCs w:val="21"/>
                    </w:rPr>
                    <w:t>苏坪村3户</w:t>
                  </w:r>
                  <w:r>
                    <w:rPr>
                      <w:szCs w:val="21"/>
                    </w:rPr>
                    <w:t>，</w:t>
                  </w:r>
                  <w:r>
                    <w:rPr>
                      <w:rFonts w:hint="eastAsia"/>
                      <w:szCs w:val="21"/>
                    </w:rPr>
                    <w:t>10人</w:t>
                  </w:r>
                </w:p>
              </w:tc>
              <w:tc>
                <w:tcPr>
                  <w:tcW w:w="993" w:type="pct"/>
                  <w:noWrap/>
                  <w:vAlign w:val="center"/>
                </w:tcPr>
                <w:p>
                  <w:pPr>
                    <w:widowControl/>
                    <w:jc w:val="center"/>
                    <w:rPr>
                      <w:rFonts w:eastAsia="等线"/>
                      <w:color w:val="000000"/>
                      <w:kern w:val="0"/>
                      <w:sz w:val="22"/>
                      <w:szCs w:val="22"/>
                    </w:rPr>
                  </w:pPr>
                  <w:r>
                    <w:rPr>
                      <w:rFonts w:hint="eastAsia" w:eastAsia="等线"/>
                      <w:color w:val="000000"/>
                      <w:sz w:val="22"/>
                      <w:szCs w:val="22"/>
                    </w:rPr>
                    <w:t>西南侧</w:t>
                  </w:r>
                  <w:r>
                    <w:rPr>
                      <w:rFonts w:eastAsia="等线"/>
                      <w:color w:val="000000"/>
                      <w:sz w:val="22"/>
                      <w:szCs w:val="22"/>
                    </w:rPr>
                    <w:t>221m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349" w:type="pct"/>
                  <w:noWrap/>
                  <w:vAlign w:val="center"/>
                </w:tcPr>
                <w:p>
                  <w:pPr>
                    <w:pStyle w:val="90"/>
                    <w:spacing w:line="240" w:lineRule="auto"/>
                    <w:rPr>
                      <w:szCs w:val="21"/>
                    </w:rPr>
                  </w:pPr>
                  <w:r>
                    <w:rPr>
                      <w:rFonts w:eastAsia="等线"/>
                      <w:szCs w:val="21"/>
                    </w:rPr>
                    <w:t>D2</w:t>
                  </w:r>
                </w:p>
              </w:tc>
              <w:tc>
                <w:tcPr>
                  <w:tcW w:w="588" w:type="pct"/>
                  <w:noWrap/>
                  <w:vAlign w:val="center"/>
                </w:tcPr>
                <w:p>
                  <w:pPr>
                    <w:jc w:val="center"/>
                    <w:rPr>
                      <w:rFonts w:eastAsia="等线"/>
                      <w:color w:val="000000"/>
                      <w:sz w:val="22"/>
                      <w:szCs w:val="22"/>
                    </w:rPr>
                  </w:pPr>
                  <w:r>
                    <w:rPr>
                      <w:rFonts w:eastAsia="等线"/>
                      <w:color w:val="000000"/>
                      <w:sz w:val="22"/>
                      <w:szCs w:val="22"/>
                    </w:rPr>
                    <w:t>107.2716</w:t>
                  </w:r>
                </w:p>
              </w:tc>
              <w:tc>
                <w:tcPr>
                  <w:tcW w:w="550" w:type="pct"/>
                  <w:noWrap/>
                  <w:vAlign w:val="center"/>
                </w:tcPr>
                <w:p>
                  <w:pPr>
                    <w:jc w:val="center"/>
                    <w:rPr>
                      <w:rFonts w:eastAsia="等线"/>
                      <w:color w:val="000000"/>
                      <w:sz w:val="22"/>
                      <w:szCs w:val="22"/>
                    </w:rPr>
                  </w:pPr>
                  <w:r>
                    <w:rPr>
                      <w:rFonts w:eastAsia="等线"/>
                      <w:color w:val="000000"/>
                      <w:sz w:val="22"/>
                      <w:szCs w:val="22"/>
                    </w:rPr>
                    <w:t>31.45864</w:t>
                  </w:r>
                </w:p>
              </w:tc>
              <w:tc>
                <w:tcPr>
                  <w:tcW w:w="559" w:type="pct"/>
                  <w:noWrap/>
                  <w:vAlign w:val="center"/>
                </w:tcPr>
                <w:p>
                  <w:pPr>
                    <w:jc w:val="center"/>
                    <w:rPr>
                      <w:rFonts w:eastAsia="等线"/>
                      <w:color w:val="000000"/>
                      <w:sz w:val="22"/>
                      <w:szCs w:val="22"/>
                    </w:rPr>
                  </w:pPr>
                  <w:r>
                    <w:rPr>
                      <w:rFonts w:eastAsia="等线"/>
                      <w:color w:val="000000"/>
                      <w:sz w:val="22"/>
                      <w:szCs w:val="22"/>
                    </w:rPr>
                    <w:t>381</w:t>
                  </w:r>
                </w:p>
              </w:tc>
              <w:tc>
                <w:tcPr>
                  <w:tcW w:w="513" w:type="pct"/>
                  <w:vAlign w:val="center"/>
                </w:tcPr>
                <w:p>
                  <w:pPr>
                    <w:jc w:val="center"/>
                    <w:rPr>
                      <w:rFonts w:eastAsia="等线"/>
                      <w:color w:val="000000"/>
                      <w:sz w:val="22"/>
                      <w:szCs w:val="22"/>
                    </w:rPr>
                  </w:pPr>
                  <w:r>
                    <w:rPr>
                      <w:rFonts w:eastAsia="等线"/>
                      <w:color w:val="000000"/>
                      <w:sz w:val="22"/>
                      <w:szCs w:val="22"/>
                    </w:rPr>
                    <w:t>-3</w:t>
                  </w:r>
                </w:p>
              </w:tc>
              <w:tc>
                <w:tcPr>
                  <w:tcW w:w="513" w:type="pct"/>
                  <w:vMerge w:val="continue"/>
                  <w:vAlign w:val="center"/>
                </w:tcPr>
                <w:p>
                  <w:pPr>
                    <w:widowControl/>
                    <w:jc w:val="center"/>
                    <w:rPr>
                      <w:szCs w:val="21"/>
                    </w:rPr>
                  </w:pPr>
                </w:p>
              </w:tc>
              <w:tc>
                <w:tcPr>
                  <w:tcW w:w="935" w:type="pct"/>
                  <w:noWrap/>
                </w:tcPr>
                <w:p>
                  <w:r>
                    <w:rPr>
                      <w:rFonts w:hint="eastAsia"/>
                      <w:szCs w:val="21"/>
                    </w:rPr>
                    <w:t>苏坪村</w:t>
                  </w:r>
                  <w:r>
                    <w:rPr>
                      <w:szCs w:val="21"/>
                    </w:rPr>
                    <w:t>2</w:t>
                  </w:r>
                  <w:r>
                    <w:rPr>
                      <w:rFonts w:hint="eastAsia"/>
                      <w:szCs w:val="21"/>
                    </w:rPr>
                    <w:t>户</w:t>
                  </w:r>
                  <w:r>
                    <w:rPr>
                      <w:szCs w:val="21"/>
                    </w:rPr>
                    <w:t>，4</w:t>
                  </w:r>
                  <w:r>
                    <w:rPr>
                      <w:rFonts w:hint="eastAsia"/>
                      <w:szCs w:val="21"/>
                    </w:rPr>
                    <w:t>人</w:t>
                  </w:r>
                </w:p>
              </w:tc>
              <w:tc>
                <w:tcPr>
                  <w:tcW w:w="993" w:type="pct"/>
                  <w:noWrap/>
                  <w:vAlign w:val="center"/>
                </w:tcPr>
                <w:p>
                  <w:pPr>
                    <w:jc w:val="center"/>
                    <w:rPr>
                      <w:rFonts w:eastAsia="等线"/>
                      <w:color w:val="000000"/>
                      <w:sz w:val="22"/>
                      <w:szCs w:val="22"/>
                    </w:rPr>
                  </w:pPr>
                  <w:r>
                    <w:rPr>
                      <w:rFonts w:hint="eastAsia" w:eastAsia="等线"/>
                      <w:color w:val="000000"/>
                      <w:sz w:val="22"/>
                      <w:szCs w:val="22"/>
                    </w:rPr>
                    <w:t>东北侧</w:t>
                  </w:r>
                  <w:r>
                    <w:rPr>
                      <w:rFonts w:eastAsia="等线"/>
                      <w:color w:val="000000"/>
                      <w:sz w:val="22"/>
                      <w:szCs w:val="22"/>
                    </w:rPr>
                    <w:t>102m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349" w:type="pct"/>
                  <w:noWrap/>
                  <w:vAlign w:val="center"/>
                </w:tcPr>
                <w:p>
                  <w:pPr>
                    <w:pStyle w:val="90"/>
                    <w:spacing w:line="240" w:lineRule="auto"/>
                    <w:rPr>
                      <w:szCs w:val="21"/>
                    </w:rPr>
                  </w:pPr>
                  <w:r>
                    <w:rPr>
                      <w:rFonts w:eastAsia="等线"/>
                      <w:szCs w:val="21"/>
                    </w:rPr>
                    <w:t>D3</w:t>
                  </w:r>
                </w:p>
              </w:tc>
              <w:tc>
                <w:tcPr>
                  <w:tcW w:w="588" w:type="pct"/>
                  <w:noWrap/>
                  <w:vAlign w:val="center"/>
                </w:tcPr>
                <w:p>
                  <w:pPr>
                    <w:jc w:val="center"/>
                    <w:rPr>
                      <w:rFonts w:eastAsia="等线"/>
                      <w:color w:val="000000"/>
                      <w:sz w:val="22"/>
                      <w:szCs w:val="22"/>
                    </w:rPr>
                  </w:pPr>
                  <w:r>
                    <w:rPr>
                      <w:rFonts w:eastAsia="等线"/>
                      <w:color w:val="000000"/>
                      <w:sz w:val="22"/>
                      <w:szCs w:val="22"/>
                    </w:rPr>
                    <w:t>107.2802</w:t>
                  </w:r>
                </w:p>
              </w:tc>
              <w:tc>
                <w:tcPr>
                  <w:tcW w:w="550" w:type="pct"/>
                  <w:noWrap/>
                  <w:vAlign w:val="center"/>
                </w:tcPr>
                <w:p>
                  <w:pPr>
                    <w:jc w:val="center"/>
                    <w:rPr>
                      <w:rFonts w:eastAsia="等线"/>
                      <w:color w:val="000000"/>
                      <w:sz w:val="22"/>
                      <w:szCs w:val="22"/>
                    </w:rPr>
                  </w:pPr>
                  <w:r>
                    <w:rPr>
                      <w:rFonts w:eastAsia="等线"/>
                      <w:color w:val="000000"/>
                      <w:sz w:val="22"/>
                      <w:szCs w:val="22"/>
                    </w:rPr>
                    <w:t>31.45979</w:t>
                  </w:r>
                </w:p>
              </w:tc>
              <w:tc>
                <w:tcPr>
                  <w:tcW w:w="559" w:type="pct"/>
                  <w:noWrap/>
                  <w:vAlign w:val="center"/>
                </w:tcPr>
                <w:p>
                  <w:pPr>
                    <w:jc w:val="center"/>
                    <w:rPr>
                      <w:rFonts w:eastAsia="等线"/>
                      <w:color w:val="000000"/>
                      <w:sz w:val="22"/>
                      <w:szCs w:val="22"/>
                    </w:rPr>
                  </w:pPr>
                  <w:r>
                    <w:rPr>
                      <w:rFonts w:eastAsia="等线"/>
                      <w:color w:val="000000"/>
                      <w:sz w:val="22"/>
                      <w:szCs w:val="22"/>
                    </w:rPr>
                    <w:t>548</w:t>
                  </w:r>
                </w:p>
              </w:tc>
              <w:tc>
                <w:tcPr>
                  <w:tcW w:w="513" w:type="pct"/>
                  <w:vAlign w:val="center"/>
                </w:tcPr>
                <w:p>
                  <w:pPr>
                    <w:jc w:val="center"/>
                    <w:rPr>
                      <w:rFonts w:eastAsia="等线"/>
                      <w:color w:val="000000"/>
                      <w:sz w:val="22"/>
                      <w:szCs w:val="22"/>
                    </w:rPr>
                  </w:pPr>
                  <w:r>
                    <w:rPr>
                      <w:rFonts w:eastAsia="等线"/>
                      <w:color w:val="000000"/>
                      <w:sz w:val="22"/>
                      <w:szCs w:val="22"/>
                    </w:rPr>
                    <w:t>164</w:t>
                  </w:r>
                </w:p>
              </w:tc>
              <w:tc>
                <w:tcPr>
                  <w:tcW w:w="513" w:type="pct"/>
                  <w:vMerge w:val="continue"/>
                  <w:vAlign w:val="center"/>
                </w:tcPr>
                <w:p>
                  <w:pPr>
                    <w:widowControl/>
                    <w:jc w:val="center"/>
                    <w:rPr>
                      <w:szCs w:val="21"/>
                    </w:rPr>
                  </w:pPr>
                </w:p>
              </w:tc>
              <w:tc>
                <w:tcPr>
                  <w:tcW w:w="935" w:type="pct"/>
                  <w:noWrap/>
                </w:tcPr>
                <w:p>
                  <w:r>
                    <w:rPr>
                      <w:rFonts w:hint="eastAsia"/>
                      <w:szCs w:val="21"/>
                    </w:rPr>
                    <w:t>苏坪村</w:t>
                  </w:r>
                  <w:r>
                    <w:rPr>
                      <w:szCs w:val="21"/>
                    </w:rPr>
                    <w:t>4</w:t>
                  </w:r>
                  <w:r>
                    <w:rPr>
                      <w:rFonts w:hint="eastAsia"/>
                      <w:szCs w:val="21"/>
                    </w:rPr>
                    <w:t>户</w:t>
                  </w:r>
                  <w:r>
                    <w:rPr>
                      <w:szCs w:val="21"/>
                    </w:rPr>
                    <w:t>，</w:t>
                  </w:r>
                  <w:r>
                    <w:rPr>
                      <w:rFonts w:hint="eastAsia"/>
                      <w:szCs w:val="21"/>
                    </w:rPr>
                    <w:t>1</w:t>
                  </w:r>
                  <w:r>
                    <w:rPr>
                      <w:szCs w:val="21"/>
                    </w:rPr>
                    <w:t>2</w:t>
                  </w:r>
                  <w:r>
                    <w:rPr>
                      <w:rFonts w:hint="eastAsia"/>
                      <w:szCs w:val="21"/>
                    </w:rPr>
                    <w:t>人</w:t>
                  </w:r>
                </w:p>
              </w:tc>
              <w:tc>
                <w:tcPr>
                  <w:tcW w:w="993" w:type="pct"/>
                  <w:noWrap/>
                  <w:vAlign w:val="center"/>
                </w:tcPr>
                <w:p>
                  <w:pPr>
                    <w:jc w:val="center"/>
                    <w:rPr>
                      <w:rFonts w:eastAsia="等线"/>
                      <w:color w:val="000000"/>
                      <w:sz w:val="22"/>
                      <w:szCs w:val="22"/>
                    </w:rPr>
                  </w:pPr>
                  <w:r>
                    <w:rPr>
                      <w:rFonts w:hint="eastAsia" w:eastAsia="等线"/>
                      <w:color w:val="000000"/>
                      <w:sz w:val="22"/>
                      <w:szCs w:val="22"/>
                    </w:rPr>
                    <w:t>东北侧</w:t>
                  </w:r>
                  <w:r>
                    <w:rPr>
                      <w:rFonts w:eastAsia="等线"/>
                      <w:color w:val="000000"/>
                      <w:sz w:val="22"/>
                      <w:szCs w:val="22"/>
                    </w:rPr>
                    <w:t>784m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349" w:type="pct"/>
                  <w:noWrap/>
                  <w:vAlign w:val="center"/>
                </w:tcPr>
                <w:p>
                  <w:pPr>
                    <w:pStyle w:val="90"/>
                    <w:spacing w:line="240" w:lineRule="auto"/>
                    <w:rPr>
                      <w:szCs w:val="21"/>
                    </w:rPr>
                  </w:pPr>
                  <w:r>
                    <w:rPr>
                      <w:rFonts w:eastAsia="等线"/>
                      <w:szCs w:val="21"/>
                    </w:rPr>
                    <w:t>D4</w:t>
                  </w:r>
                </w:p>
              </w:tc>
              <w:tc>
                <w:tcPr>
                  <w:tcW w:w="588" w:type="pct"/>
                  <w:noWrap/>
                  <w:vAlign w:val="center"/>
                </w:tcPr>
                <w:p>
                  <w:pPr>
                    <w:jc w:val="center"/>
                    <w:rPr>
                      <w:rFonts w:eastAsia="等线"/>
                      <w:color w:val="000000"/>
                      <w:sz w:val="22"/>
                      <w:szCs w:val="22"/>
                    </w:rPr>
                  </w:pPr>
                  <w:r>
                    <w:rPr>
                      <w:rFonts w:eastAsia="等线"/>
                      <w:color w:val="000000"/>
                      <w:sz w:val="22"/>
                      <w:szCs w:val="22"/>
                    </w:rPr>
                    <w:t>107.2766</w:t>
                  </w:r>
                </w:p>
              </w:tc>
              <w:tc>
                <w:tcPr>
                  <w:tcW w:w="550" w:type="pct"/>
                  <w:noWrap/>
                  <w:vAlign w:val="center"/>
                </w:tcPr>
                <w:p>
                  <w:pPr>
                    <w:jc w:val="center"/>
                    <w:rPr>
                      <w:rFonts w:eastAsia="等线"/>
                      <w:color w:val="000000"/>
                      <w:sz w:val="22"/>
                      <w:szCs w:val="22"/>
                    </w:rPr>
                  </w:pPr>
                  <w:r>
                    <w:rPr>
                      <w:rFonts w:eastAsia="等线"/>
                      <w:color w:val="000000"/>
                      <w:sz w:val="22"/>
                      <w:szCs w:val="22"/>
                    </w:rPr>
                    <w:t>31.45886</w:t>
                  </w:r>
                </w:p>
              </w:tc>
              <w:tc>
                <w:tcPr>
                  <w:tcW w:w="559" w:type="pct"/>
                  <w:noWrap/>
                  <w:vAlign w:val="center"/>
                </w:tcPr>
                <w:p>
                  <w:pPr>
                    <w:jc w:val="center"/>
                    <w:rPr>
                      <w:rFonts w:eastAsia="等线"/>
                      <w:color w:val="000000"/>
                      <w:sz w:val="22"/>
                      <w:szCs w:val="22"/>
                    </w:rPr>
                  </w:pPr>
                  <w:r>
                    <w:rPr>
                      <w:rFonts w:eastAsia="等线"/>
                      <w:color w:val="000000"/>
                      <w:sz w:val="22"/>
                      <w:szCs w:val="22"/>
                    </w:rPr>
                    <w:t>528</w:t>
                  </w:r>
                </w:p>
              </w:tc>
              <w:tc>
                <w:tcPr>
                  <w:tcW w:w="513" w:type="pct"/>
                  <w:vAlign w:val="center"/>
                </w:tcPr>
                <w:p>
                  <w:pPr>
                    <w:jc w:val="center"/>
                    <w:rPr>
                      <w:rFonts w:eastAsia="等线"/>
                      <w:color w:val="000000"/>
                      <w:sz w:val="22"/>
                      <w:szCs w:val="22"/>
                    </w:rPr>
                  </w:pPr>
                  <w:r>
                    <w:rPr>
                      <w:rFonts w:eastAsia="等线"/>
                      <w:color w:val="000000"/>
                      <w:sz w:val="22"/>
                      <w:szCs w:val="22"/>
                    </w:rPr>
                    <w:t>144</w:t>
                  </w:r>
                </w:p>
              </w:tc>
              <w:tc>
                <w:tcPr>
                  <w:tcW w:w="513" w:type="pct"/>
                  <w:vMerge w:val="continue"/>
                  <w:vAlign w:val="center"/>
                </w:tcPr>
                <w:p>
                  <w:pPr>
                    <w:widowControl/>
                    <w:jc w:val="center"/>
                    <w:rPr>
                      <w:szCs w:val="21"/>
                    </w:rPr>
                  </w:pPr>
                </w:p>
              </w:tc>
              <w:tc>
                <w:tcPr>
                  <w:tcW w:w="935" w:type="pct"/>
                  <w:noWrap/>
                </w:tcPr>
                <w:p>
                  <w:r>
                    <w:rPr>
                      <w:rFonts w:hint="eastAsia"/>
                      <w:szCs w:val="21"/>
                    </w:rPr>
                    <w:t>苏坪村</w:t>
                  </w:r>
                  <w:r>
                    <w:rPr>
                      <w:szCs w:val="21"/>
                    </w:rPr>
                    <w:t>1</w:t>
                  </w:r>
                  <w:r>
                    <w:rPr>
                      <w:rFonts w:hint="eastAsia"/>
                      <w:szCs w:val="21"/>
                    </w:rPr>
                    <w:t>户</w:t>
                  </w:r>
                  <w:r>
                    <w:rPr>
                      <w:szCs w:val="21"/>
                    </w:rPr>
                    <w:t>，3</w:t>
                  </w:r>
                  <w:r>
                    <w:rPr>
                      <w:rFonts w:hint="eastAsia"/>
                      <w:szCs w:val="21"/>
                    </w:rPr>
                    <w:t>人</w:t>
                  </w:r>
                </w:p>
              </w:tc>
              <w:tc>
                <w:tcPr>
                  <w:tcW w:w="993" w:type="pct"/>
                  <w:noWrap/>
                  <w:vAlign w:val="center"/>
                </w:tcPr>
                <w:p>
                  <w:pPr>
                    <w:jc w:val="center"/>
                    <w:rPr>
                      <w:rFonts w:hint="eastAsia" w:eastAsia="等线"/>
                      <w:color w:val="000000"/>
                      <w:sz w:val="22"/>
                      <w:szCs w:val="22"/>
                    </w:rPr>
                  </w:pPr>
                  <w:r>
                    <w:rPr>
                      <w:rFonts w:hint="eastAsia" w:eastAsia="等线"/>
                      <w:color w:val="000000"/>
                      <w:sz w:val="22"/>
                      <w:szCs w:val="22"/>
                    </w:rPr>
                    <w:t>东北侧</w:t>
                  </w:r>
                  <w:r>
                    <w:rPr>
                      <w:rFonts w:eastAsia="等线"/>
                      <w:color w:val="000000"/>
                      <w:sz w:val="22"/>
                      <w:szCs w:val="22"/>
                    </w:rPr>
                    <w:t>428</w:t>
                  </w:r>
                  <w:r>
                    <w:rPr>
                      <w:rFonts w:hint="eastAsia" w:eastAsia="等线"/>
                      <w:color w:val="000000"/>
                      <w:sz w:val="22"/>
                      <w:szCs w:val="22"/>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349" w:type="pct"/>
                  <w:noWrap/>
                  <w:vAlign w:val="center"/>
                </w:tcPr>
                <w:p>
                  <w:pPr>
                    <w:pStyle w:val="90"/>
                    <w:spacing w:line="240" w:lineRule="auto"/>
                    <w:rPr>
                      <w:szCs w:val="21"/>
                    </w:rPr>
                  </w:pPr>
                  <w:r>
                    <w:rPr>
                      <w:rFonts w:eastAsia="等线"/>
                      <w:szCs w:val="21"/>
                    </w:rPr>
                    <w:t>D5</w:t>
                  </w:r>
                </w:p>
              </w:tc>
              <w:tc>
                <w:tcPr>
                  <w:tcW w:w="588" w:type="pct"/>
                  <w:noWrap/>
                  <w:vAlign w:val="center"/>
                </w:tcPr>
                <w:p>
                  <w:pPr>
                    <w:jc w:val="center"/>
                    <w:rPr>
                      <w:rFonts w:eastAsia="等线"/>
                      <w:color w:val="000000"/>
                      <w:sz w:val="22"/>
                      <w:szCs w:val="22"/>
                    </w:rPr>
                  </w:pPr>
                  <w:r>
                    <w:rPr>
                      <w:rFonts w:eastAsia="等线"/>
                      <w:color w:val="000000"/>
                      <w:sz w:val="22"/>
                      <w:szCs w:val="22"/>
                    </w:rPr>
                    <w:t>107.2782</w:t>
                  </w:r>
                </w:p>
              </w:tc>
              <w:tc>
                <w:tcPr>
                  <w:tcW w:w="550" w:type="pct"/>
                  <w:noWrap/>
                  <w:vAlign w:val="center"/>
                </w:tcPr>
                <w:p>
                  <w:pPr>
                    <w:jc w:val="center"/>
                    <w:rPr>
                      <w:rFonts w:eastAsia="等线"/>
                      <w:color w:val="000000"/>
                      <w:sz w:val="22"/>
                      <w:szCs w:val="22"/>
                    </w:rPr>
                  </w:pPr>
                  <w:r>
                    <w:rPr>
                      <w:rFonts w:eastAsia="等线"/>
                      <w:color w:val="000000"/>
                      <w:sz w:val="22"/>
                      <w:szCs w:val="22"/>
                    </w:rPr>
                    <w:t>31.45677</w:t>
                  </w:r>
                </w:p>
              </w:tc>
              <w:tc>
                <w:tcPr>
                  <w:tcW w:w="559" w:type="pct"/>
                  <w:noWrap/>
                  <w:vAlign w:val="center"/>
                </w:tcPr>
                <w:p>
                  <w:pPr>
                    <w:jc w:val="center"/>
                    <w:rPr>
                      <w:rFonts w:eastAsia="等线"/>
                      <w:color w:val="000000"/>
                      <w:sz w:val="22"/>
                      <w:szCs w:val="22"/>
                    </w:rPr>
                  </w:pPr>
                  <w:r>
                    <w:rPr>
                      <w:rFonts w:eastAsia="等线"/>
                      <w:color w:val="000000"/>
                      <w:sz w:val="22"/>
                      <w:szCs w:val="22"/>
                    </w:rPr>
                    <w:t>523</w:t>
                  </w:r>
                </w:p>
              </w:tc>
              <w:tc>
                <w:tcPr>
                  <w:tcW w:w="513" w:type="pct"/>
                  <w:vAlign w:val="center"/>
                </w:tcPr>
                <w:p>
                  <w:pPr>
                    <w:jc w:val="center"/>
                    <w:rPr>
                      <w:rFonts w:eastAsia="等线"/>
                      <w:color w:val="000000"/>
                      <w:sz w:val="22"/>
                      <w:szCs w:val="22"/>
                    </w:rPr>
                  </w:pPr>
                  <w:r>
                    <w:rPr>
                      <w:rFonts w:eastAsia="等线"/>
                      <w:color w:val="000000"/>
                      <w:sz w:val="22"/>
                      <w:szCs w:val="22"/>
                    </w:rPr>
                    <w:t>139</w:t>
                  </w:r>
                </w:p>
              </w:tc>
              <w:tc>
                <w:tcPr>
                  <w:tcW w:w="513" w:type="pct"/>
                  <w:vMerge w:val="continue"/>
                  <w:vAlign w:val="center"/>
                </w:tcPr>
                <w:p>
                  <w:pPr>
                    <w:widowControl/>
                    <w:jc w:val="center"/>
                    <w:rPr>
                      <w:szCs w:val="21"/>
                    </w:rPr>
                  </w:pPr>
                </w:p>
              </w:tc>
              <w:tc>
                <w:tcPr>
                  <w:tcW w:w="935" w:type="pct"/>
                  <w:noWrap/>
                </w:tcPr>
                <w:p>
                  <w:r>
                    <w:rPr>
                      <w:rFonts w:hint="eastAsia"/>
                      <w:szCs w:val="21"/>
                    </w:rPr>
                    <w:t>苏坪村</w:t>
                  </w:r>
                  <w:r>
                    <w:rPr>
                      <w:szCs w:val="21"/>
                    </w:rPr>
                    <w:t>2</w:t>
                  </w:r>
                  <w:r>
                    <w:rPr>
                      <w:rFonts w:hint="eastAsia"/>
                      <w:szCs w:val="21"/>
                    </w:rPr>
                    <w:t>户</w:t>
                  </w:r>
                  <w:r>
                    <w:rPr>
                      <w:szCs w:val="21"/>
                    </w:rPr>
                    <w:t>，4</w:t>
                  </w:r>
                  <w:r>
                    <w:rPr>
                      <w:rFonts w:hint="eastAsia"/>
                      <w:szCs w:val="21"/>
                    </w:rPr>
                    <w:t>人</w:t>
                  </w:r>
                </w:p>
              </w:tc>
              <w:tc>
                <w:tcPr>
                  <w:tcW w:w="993" w:type="pct"/>
                  <w:noWrap/>
                  <w:vAlign w:val="center"/>
                </w:tcPr>
                <w:p>
                  <w:pPr>
                    <w:jc w:val="center"/>
                    <w:rPr>
                      <w:rFonts w:eastAsia="等线"/>
                      <w:color w:val="000000"/>
                      <w:sz w:val="22"/>
                      <w:szCs w:val="22"/>
                    </w:rPr>
                  </w:pPr>
                  <w:r>
                    <w:rPr>
                      <w:rFonts w:hint="eastAsia" w:eastAsia="等线"/>
                      <w:color w:val="000000"/>
                      <w:sz w:val="22"/>
                      <w:szCs w:val="22"/>
                    </w:rPr>
                    <w:t>东侧</w:t>
                  </w:r>
                  <w:r>
                    <w:rPr>
                      <w:rFonts w:eastAsia="等线"/>
                      <w:color w:val="000000"/>
                      <w:sz w:val="22"/>
                      <w:szCs w:val="22"/>
                    </w:rPr>
                    <w:t>595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349" w:type="pct"/>
                  <w:noWrap/>
                  <w:vAlign w:val="center"/>
                </w:tcPr>
                <w:p>
                  <w:pPr>
                    <w:pStyle w:val="90"/>
                    <w:spacing w:line="240" w:lineRule="auto"/>
                    <w:rPr>
                      <w:szCs w:val="21"/>
                    </w:rPr>
                  </w:pPr>
                  <w:r>
                    <w:rPr>
                      <w:rFonts w:eastAsia="等线"/>
                      <w:szCs w:val="21"/>
                    </w:rPr>
                    <w:t>D6</w:t>
                  </w:r>
                </w:p>
              </w:tc>
              <w:tc>
                <w:tcPr>
                  <w:tcW w:w="588" w:type="pct"/>
                  <w:noWrap/>
                  <w:vAlign w:val="center"/>
                </w:tcPr>
                <w:p>
                  <w:pPr>
                    <w:jc w:val="center"/>
                    <w:rPr>
                      <w:rFonts w:eastAsia="等线"/>
                      <w:color w:val="000000"/>
                      <w:sz w:val="22"/>
                      <w:szCs w:val="22"/>
                    </w:rPr>
                  </w:pPr>
                  <w:r>
                    <w:rPr>
                      <w:rFonts w:eastAsia="等线"/>
                      <w:color w:val="000000"/>
                      <w:sz w:val="22"/>
                      <w:szCs w:val="22"/>
                    </w:rPr>
                    <w:t>107.2819</w:t>
                  </w:r>
                </w:p>
              </w:tc>
              <w:tc>
                <w:tcPr>
                  <w:tcW w:w="550" w:type="pct"/>
                  <w:noWrap/>
                  <w:vAlign w:val="center"/>
                </w:tcPr>
                <w:p>
                  <w:pPr>
                    <w:jc w:val="center"/>
                    <w:rPr>
                      <w:rFonts w:eastAsia="等线"/>
                      <w:color w:val="000000"/>
                      <w:sz w:val="22"/>
                      <w:szCs w:val="22"/>
                    </w:rPr>
                  </w:pPr>
                  <w:r>
                    <w:rPr>
                      <w:rFonts w:eastAsia="等线"/>
                      <w:color w:val="000000"/>
                      <w:sz w:val="22"/>
                      <w:szCs w:val="22"/>
                    </w:rPr>
                    <w:t>31.45566</w:t>
                  </w:r>
                </w:p>
              </w:tc>
              <w:tc>
                <w:tcPr>
                  <w:tcW w:w="559" w:type="pct"/>
                  <w:noWrap/>
                  <w:vAlign w:val="center"/>
                </w:tcPr>
                <w:p>
                  <w:pPr>
                    <w:jc w:val="center"/>
                    <w:rPr>
                      <w:rFonts w:eastAsia="等线"/>
                      <w:color w:val="000000"/>
                      <w:sz w:val="22"/>
                      <w:szCs w:val="22"/>
                    </w:rPr>
                  </w:pPr>
                  <w:r>
                    <w:rPr>
                      <w:rFonts w:eastAsia="等线"/>
                      <w:color w:val="000000"/>
                      <w:sz w:val="22"/>
                      <w:szCs w:val="22"/>
                    </w:rPr>
                    <w:t>576</w:t>
                  </w:r>
                </w:p>
              </w:tc>
              <w:tc>
                <w:tcPr>
                  <w:tcW w:w="513" w:type="pct"/>
                  <w:vAlign w:val="center"/>
                </w:tcPr>
                <w:p>
                  <w:pPr>
                    <w:jc w:val="center"/>
                    <w:rPr>
                      <w:rFonts w:eastAsia="等线"/>
                      <w:color w:val="000000"/>
                      <w:sz w:val="22"/>
                      <w:szCs w:val="22"/>
                    </w:rPr>
                  </w:pPr>
                  <w:r>
                    <w:rPr>
                      <w:rFonts w:eastAsia="等线"/>
                      <w:color w:val="000000"/>
                      <w:sz w:val="22"/>
                      <w:szCs w:val="22"/>
                    </w:rPr>
                    <w:t>192</w:t>
                  </w:r>
                </w:p>
              </w:tc>
              <w:tc>
                <w:tcPr>
                  <w:tcW w:w="513" w:type="pct"/>
                  <w:vMerge w:val="continue"/>
                  <w:vAlign w:val="center"/>
                </w:tcPr>
                <w:p>
                  <w:pPr>
                    <w:widowControl/>
                    <w:jc w:val="center"/>
                    <w:rPr>
                      <w:szCs w:val="21"/>
                    </w:rPr>
                  </w:pPr>
                </w:p>
              </w:tc>
              <w:tc>
                <w:tcPr>
                  <w:tcW w:w="935" w:type="pct"/>
                  <w:noWrap/>
                </w:tcPr>
                <w:p>
                  <w:r>
                    <w:rPr>
                      <w:rFonts w:hint="eastAsia"/>
                      <w:szCs w:val="21"/>
                    </w:rPr>
                    <w:t>苏坪村</w:t>
                  </w:r>
                  <w:r>
                    <w:rPr>
                      <w:szCs w:val="21"/>
                    </w:rPr>
                    <w:t>1</w:t>
                  </w:r>
                  <w:r>
                    <w:rPr>
                      <w:rFonts w:hint="eastAsia"/>
                      <w:szCs w:val="21"/>
                    </w:rPr>
                    <w:t>户</w:t>
                  </w:r>
                  <w:r>
                    <w:rPr>
                      <w:szCs w:val="21"/>
                    </w:rPr>
                    <w:t>，3</w:t>
                  </w:r>
                  <w:r>
                    <w:rPr>
                      <w:rFonts w:hint="eastAsia"/>
                      <w:szCs w:val="21"/>
                    </w:rPr>
                    <w:t>人</w:t>
                  </w:r>
                </w:p>
              </w:tc>
              <w:tc>
                <w:tcPr>
                  <w:tcW w:w="993" w:type="pct"/>
                  <w:noWrap/>
                  <w:vAlign w:val="center"/>
                </w:tcPr>
                <w:p>
                  <w:pPr>
                    <w:jc w:val="center"/>
                    <w:rPr>
                      <w:rFonts w:eastAsia="等线"/>
                      <w:color w:val="000000"/>
                      <w:sz w:val="22"/>
                      <w:szCs w:val="22"/>
                    </w:rPr>
                  </w:pPr>
                  <w:r>
                    <w:rPr>
                      <w:rFonts w:hint="eastAsia" w:eastAsia="等线"/>
                      <w:color w:val="000000"/>
                      <w:sz w:val="22"/>
                      <w:szCs w:val="22"/>
                    </w:rPr>
                    <w:t>东侧</w:t>
                  </w:r>
                  <w:r>
                    <w:rPr>
                      <w:rFonts w:eastAsia="等线"/>
                      <w:color w:val="000000"/>
                      <w:sz w:val="22"/>
                      <w:szCs w:val="22"/>
                    </w:rPr>
                    <w:t>964m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349" w:type="pct"/>
                  <w:noWrap/>
                  <w:vAlign w:val="center"/>
                </w:tcPr>
                <w:p>
                  <w:pPr>
                    <w:pStyle w:val="90"/>
                    <w:spacing w:line="240" w:lineRule="auto"/>
                    <w:rPr>
                      <w:rFonts w:eastAsia="等线"/>
                      <w:szCs w:val="21"/>
                    </w:rPr>
                  </w:pPr>
                  <w:r>
                    <w:rPr>
                      <w:rFonts w:eastAsia="等线"/>
                      <w:szCs w:val="21"/>
                    </w:rPr>
                    <w:t>D7</w:t>
                  </w:r>
                </w:p>
              </w:tc>
              <w:tc>
                <w:tcPr>
                  <w:tcW w:w="588" w:type="pct"/>
                  <w:noWrap/>
                  <w:vAlign w:val="center"/>
                </w:tcPr>
                <w:p>
                  <w:pPr>
                    <w:jc w:val="center"/>
                    <w:rPr>
                      <w:rFonts w:eastAsia="等线"/>
                      <w:color w:val="000000"/>
                      <w:sz w:val="22"/>
                      <w:szCs w:val="22"/>
                    </w:rPr>
                  </w:pPr>
                  <w:r>
                    <w:rPr>
                      <w:rFonts w:eastAsia="等线"/>
                      <w:color w:val="000000"/>
                      <w:sz w:val="22"/>
                      <w:szCs w:val="22"/>
                    </w:rPr>
                    <w:t>107.2749</w:t>
                  </w:r>
                </w:p>
              </w:tc>
              <w:tc>
                <w:tcPr>
                  <w:tcW w:w="550" w:type="pct"/>
                  <w:noWrap/>
                  <w:vAlign w:val="center"/>
                </w:tcPr>
                <w:p>
                  <w:pPr>
                    <w:jc w:val="center"/>
                    <w:rPr>
                      <w:rFonts w:eastAsia="等线"/>
                      <w:color w:val="000000"/>
                      <w:sz w:val="22"/>
                      <w:szCs w:val="22"/>
                    </w:rPr>
                  </w:pPr>
                  <w:r>
                    <w:rPr>
                      <w:rFonts w:eastAsia="等线"/>
                      <w:color w:val="000000"/>
                      <w:sz w:val="22"/>
                      <w:szCs w:val="22"/>
                    </w:rPr>
                    <w:t>31.46382</w:t>
                  </w:r>
                </w:p>
              </w:tc>
              <w:tc>
                <w:tcPr>
                  <w:tcW w:w="559" w:type="pct"/>
                  <w:noWrap/>
                  <w:vAlign w:val="center"/>
                </w:tcPr>
                <w:p>
                  <w:pPr>
                    <w:jc w:val="center"/>
                    <w:rPr>
                      <w:rFonts w:eastAsia="等线"/>
                      <w:color w:val="000000"/>
                      <w:sz w:val="22"/>
                      <w:szCs w:val="22"/>
                    </w:rPr>
                  </w:pPr>
                  <w:r>
                    <w:rPr>
                      <w:rFonts w:eastAsia="等线"/>
                      <w:color w:val="000000"/>
                      <w:sz w:val="22"/>
                      <w:szCs w:val="22"/>
                    </w:rPr>
                    <w:t>407</w:t>
                  </w:r>
                </w:p>
              </w:tc>
              <w:tc>
                <w:tcPr>
                  <w:tcW w:w="513" w:type="pct"/>
                  <w:vAlign w:val="center"/>
                </w:tcPr>
                <w:p>
                  <w:pPr>
                    <w:jc w:val="center"/>
                    <w:rPr>
                      <w:rFonts w:eastAsia="等线"/>
                      <w:color w:val="000000"/>
                      <w:sz w:val="22"/>
                      <w:szCs w:val="22"/>
                    </w:rPr>
                  </w:pPr>
                  <w:r>
                    <w:rPr>
                      <w:rFonts w:eastAsia="等线"/>
                      <w:color w:val="000000"/>
                      <w:sz w:val="22"/>
                      <w:szCs w:val="22"/>
                    </w:rPr>
                    <w:t>23</w:t>
                  </w:r>
                </w:p>
              </w:tc>
              <w:tc>
                <w:tcPr>
                  <w:tcW w:w="513" w:type="pct"/>
                  <w:vMerge w:val="continue"/>
                  <w:vAlign w:val="center"/>
                </w:tcPr>
                <w:p>
                  <w:pPr>
                    <w:widowControl/>
                    <w:jc w:val="center"/>
                    <w:rPr>
                      <w:szCs w:val="21"/>
                    </w:rPr>
                  </w:pPr>
                </w:p>
              </w:tc>
              <w:tc>
                <w:tcPr>
                  <w:tcW w:w="935" w:type="pct"/>
                  <w:noWrap/>
                </w:tcPr>
                <w:p>
                  <w:r>
                    <w:rPr>
                      <w:rFonts w:hint="eastAsia"/>
                      <w:szCs w:val="21"/>
                    </w:rPr>
                    <w:t>苏坪村</w:t>
                  </w:r>
                  <w:r>
                    <w:rPr>
                      <w:szCs w:val="21"/>
                    </w:rPr>
                    <w:t>4</w:t>
                  </w:r>
                  <w:r>
                    <w:rPr>
                      <w:rFonts w:hint="eastAsia"/>
                      <w:szCs w:val="21"/>
                    </w:rPr>
                    <w:t>户</w:t>
                  </w:r>
                  <w:r>
                    <w:rPr>
                      <w:szCs w:val="21"/>
                    </w:rPr>
                    <w:t>，</w:t>
                  </w:r>
                  <w:r>
                    <w:rPr>
                      <w:rFonts w:hint="eastAsia"/>
                      <w:szCs w:val="21"/>
                    </w:rPr>
                    <w:t>1</w:t>
                  </w:r>
                  <w:r>
                    <w:rPr>
                      <w:szCs w:val="21"/>
                    </w:rPr>
                    <w:t>4</w:t>
                  </w:r>
                  <w:r>
                    <w:rPr>
                      <w:rFonts w:hint="eastAsia"/>
                      <w:szCs w:val="21"/>
                    </w:rPr>
                    <w:t>人</w:t>
                  </w:r>
                </w:p>
              </w:tc>
              <w:tc>
                <w:tcPr>
                  <w:tcW w:w="993" w:type="pct"/>
                  <w:noWrap/>
                  <w:vAlign w:val="center"/>
                </w:tcPr>
                <w:p>
                  <w:pPr>
                    <w:jc w:val="center"/>
                    <w:rPr>
                      <w:rFonts w:eastAsia="等线"/>
                      <w:color w:val="000000"/>
                      <w:sz w:val="22"/>
                      <w:szCs w:val="22"/>
                    </w:rPr>
                  </w:pPr>
                  <w:r>
                    <w:rPr>
                      <w:rFonts w:hint="eastAsia" w:eastAsia="等线"/>
                      <w:color w:val="000000"/>
                      <w:sz w:val="22"/>
                      <w:szCs w:val="22"/>
                    </w:rPr>
                    <w:t>北侧</w:t>
                  </w:r>
                  <w:r>
                    <w:rPr>
                      <w:rFonts w:eastAsia="等线"/>
                      <w:color w:val="000000"/>
                      <w:sz w:val="22"/>
                      <w:szCs w:val="22"/>
                    </w:rPr>
                    <w:t>690m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349" w:type="pct"/>
                  <w:noWrap/>
                  <w:vAlign w:val="center"/>
                </w:tcPr>
                <w:p>
                  <w:pPr>
                    <w:pStyle w:val="90"/>
                    <w:spacing w:line="240" w:lineRule="auto"/>
                    <w:rPr>
                      <w:rFonts w:eastAsia="等线"/>
                      <w:szCs w:val="21"/>
                    </w:rPr>
                  </w:pPr>
                  <w:r>
                    <w:rPr>
                      <w:rFonts w:eastAsia="等线"/>
                      <w:szCs w:val="21"/>
                    </w:rPr>
                    <w:t>D8</w:t>
                  </w:r>
                </w:p>
              </w:tc>
              <w:tc>
                <w:tcPr>
                  <w:tcW w:w="588" w:type="pct"/>
                  <w:noWrap/>
                  <w:vAlign w:val="center"/>
                </w:tcPr>
                <w:p>
                  <w:pPr>
                    <w:jc w:val="center"/>
                    <w:rPr>
                      <w:rFonts w:eastAsia="等线"/>
                      <w:color w:val="000000"/>
                      <w:sz w:val="22"/>
                      <w:szCs w:val="22"/>
                    </w:rPr>
                  </w:pPr>
                  <w:r>
                    <w:rPr>
                      <w:rFonts w:eastAsia="等线"/>
                      <w:color w:val="000000"/>
                      <w:sz w:val="22"/>
                      <w:szCs w:val="22"/>
                    </w:rPr>
                    <w:t>107.2828</w:t>
                  </w:r>
                </w:p>
              </w:tc>
              <w:tc>
                <w:tcPr>
                  <w:tcW w:w="550" w:type="pct"/>
                  <w:noWrap/>
                  <w:vAlign w:val="center"/>
                </w:tcPr>
                <w:p>
                  <w:pPr>
                    <w:jc w:val="center"/>
                    <w:rPr>
                      <w:rFonts w:eastAsia="等线"/>
                      <w:color w:val="000000"/>
                      <w:sz w:val="22"/>
                      <w:szCs w:val="22"/>
                    </w:rPr>
                  </w:pPr>
                  <w:r>
                    <w:rPr>
                      <w:rFonts w:eastAsia="等线"/>
                      <w:color w:val="000000"/>
                      <w:sz w:val="22"/>
                      <w:szCs w:val="22"/>
                    </w:rPr>
                    <w:t>31.46085</w:t>
                  </w:r>
                </w:p>
              </w:tc>
              <w:tc>
                <w:tcPr>
                  <w:tcW w:w="559" w:type="pct"/>
                  <w:noWrap/>
                  <w:vAlign w:val="center"/>
                </w:tcPr>
                <w:p>
                  <w:pPr>
                    <w:jc w:val="center"/>
                    <w:rPr>
                      <w:rFonts w:eastAsia="等线"/>
                      <w:color w:val="000000"/>
                      <w:sz w:val="22"/>
                      <w:szCs w:val="22"/>
                    </w:rPr>
                  </w:pPr>
                  <w:r>
                    <w:rPr>
                      <w:rFonts w:eastAsia="等线"/>
                      <w:color w:val="000000"/>
                      <w:sz w:val="22"/>
                      <w:szCs w:val="22"/>
                    </w:rPr>
                    <w:t>537</w:t>
                  </w:r>
                </w:p>
              </w:tc>
              <w:tc>
                <w:tcPr>
                  <w:tcW w:w="513" w:type="pct"/>
                  <w:vAlign w:val="center"/>
                </w:tcPr>
                <w:p>
                  <w:pPr>
                    <w:jc w:val="center"/>
                    <w:rPr>
                      <w:rFonts w:eastAsia="等线"/>
                      <w:color w:val="000000"/>
                      <w:sz w:val="22"/>
                      <w:szCs w:val="22"/>
                    </w:rPr>
                  </w:pPr>
                  <w:r>
                    <w:rPr>
                      <w:rFonts w:eastAsia="等线"/>
                      <w:color w:val="000000"/>
                      <w:sz w:val="22"/>
                      <w:szCs w:val="22"/>
                    </w:rPr>
                    <w:t>153</w:t>
                  </w:r>
                </w:p>
              </w:tc>
              <w:tc>
                <w:tcPr>
                  <w:tcW w:w="513" w:type="pct"/>
                  <w:vMerge w:val="continue"/>
                  <w:vAlign w:val="center"/>
                </w:tcPr>
                <w:p>
                  <w:pPr>
                    <w:widowControl/>
                    <w:jc w:val="center"/>
                    <w:rPr>
                      <w:szCs w:val="21"/>
                    </w:rPr>
                  </w:pPr>
                </w:p>
              </w:tc>
              <w:tc>
                <w:tcPr>
                  <w:tcW w:w="935" w:type="pct"/>
                  <w:noWrap/>
                </w:tcPr>
                <w:p>
                  <w:r>
                    <w:rPr>
                      <w:rFonts w:hint="eastAsia"/>
                      <w:szCs w:val="21"/>
                    </w:rPr>
                    <w:t>苏坪村</w:t>
                  </w:r>
                  <w:r>
                    <w:rPr>
                      <w:szCs w:val="21"/>
                    </w:rPr>
                    <w:t>2</w:t>
                  </w:r>
                  <w:r>
                    <w:rPr>
                      <w:rFonts w:hint="eastAsia"/>
                      <w:szCs w:val="21"/>
                    </w:rPr>
                    <w:t>户</w:t>
                  </w:r>
                  <w:r>
                    <w:rPr>
                      <w:szCs w:val="21"/>
                    </w:rPr>
                    <w:t>，6</w:t>
                  </w:r>
                  <w:r>
                    <w:rPr>
                      <w:rFonts w:hint="eastAsia"/>
                      <w:szCs w:val="21"/>
                    </w:rPr>
                    <w:t>人</w:t>
                  </w:r>
                </w:p>
              </w:tc>
              <w:tc>
                <w:tcPr>
                  <w:tcW w:w="993" w:type="pct"/>
                  <w:noWrap/>
                  <w:vAlign w:val="center"/>
                </w:tcPr>
                <w:p>
                  <w:pPr>
                    <w:jc w:val="center"/>
                    <w:rPr>
                      <w:rFonts w:eastAsia="等线"/>
                      <w:color w:val="000000"/>
                      <w:sz w:val="22"/>
                      <w:szCs w:val="22"/>
                    </w:rPr>
                  </w:pPr>
                  <w:r>
                    <w:rPr>
                      <w:rFonts w:hint="eastAsia" w:eastAsia="等线"/>
                      <w:color w:val="000000"/>
                      <w:sz w:val="22"/>
                      <w:szCs w:val="22"/>
                    </w:rPr>
                    <w:t>东北侧</w:t>
                  </w:r>
                  <w:r>
                    <w:rPr>
                      <w:rFonts w:eastAsia="等线"/>
                      <w:color w:val="000000"/>
                      <w:sz w:val="22"/>
                      <w:szCs w:val="22"/>
                    </w:rPr>
                    <w:t>1060m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349" w:type="pct"/>
                  <w:noWrap/>
                  <w:vAlign w:val="center"/>
                </w:tcPr>
                <w:p>
                  <w:pPr>
                    <w:pStyle w:val="90"/>
                    <w:spacing w:line="240" w:lineRule="auto"/>
                    <w:rPr>
                      <w:rFonts w:eastAsia="等线"/>
                      <w:szCs w:val="21"/>
                    </w:rPr>
                  </w:pPr>
                  <w:r>
                    <w:rPr>
                      <w:rFonts w:eastAsia="等线"/>
                      <w:szCs w:val="21"/>
                    </w:rPr>
                    <w:t>D9</w:t>
                  </w:r>
                </w:p>
              </w:tc>
              <w:tc>
                <w:tcPr>
                  <w:tcW w:w="588" w:type="pct"/>
                  <w:noWrap/>
                  <w:vAlign w:val="center"/>
                </w:tcPr>
                <w:p>
                  <w:pPr>
                    <w:jc w:val="center"/>
                    <w:rPr>
                      <w:rFonts w:eastAsia="等线"/>
                      <w:color w:val="000000"/>
                      <w:sz w:val="22"/>
                      <w:szCs w:val="22"/>
                    </w:rPr>
                  </w:pPr>
                  <w:r>
                    <w:rPr>
                      <w:rFonts w:eastAsia="等线"/>
                      <w:color w:val="000000"/>
                      <w:sz w:val="22"/>
                      <w:szCs w:val="22"/>
                    </w:rPr>
                    <w:t>107.2837</w:t>
                  </w:r>
                </w:p>
              </w:tc>
              <w:tc>
                <w:tcPr>
                  <w:tcW w:w="550" w:type="pct"/>
                  <w:noWrap/>
                  <w:vAlign w:val="center"/>
                </w:tcPr>
                <w:p>
                  <w:pPr>
                    <w:jc w:val="center"/>
                    <w:rPr>
                      <w:rFonts w:eastAsia="等线"/>
                      <w:color w:val="000000"/>
                      <w:sz w:val="22"/>
                      <w:szCs w:val="22"/>
                    </w:rPr>
                  </w:pPr>
                  <w:r>
                    <w:rPr>
                      <w:rFonts w:eastAsia="等线"/>
                      <w:color w:val="000000"/>
                      <w:sz w:val="22"/>
                      <w:szCs w:val="22"/>
                    </w:rPr>
                    <w:t>31.45893</w:t>
                  </w:r>
                </w:p>
              </w:tc>
              <w:tc>
                <w:tcPr>
                  <w:tcW w:w="559" w:type="pct"/>
                  <w:noWrap/>
                  <w:vAlign w:val="center"/>
                </w:tcPr>
                <w:p>
                  <w:pPr>
                    <w:jc w:val="center"/>
                    <w:rPr>
                      <w:rFonts w:eastAsia="等线"/>
                      <w:color w:val="000000"/>
                      <w:sz w:val="22"/>
                      <w:szCs w:val="22"/>
                    </w:rPr>
                  </w:pPr>
                  <w:r>
                    <w:rPr>
                      <w:rFonts w:eastAsia="等线"/>
                      <w:color w:val="000000"/>
                      <w:sz w:val="22"/>
                      <w:szCs w:val="22"/>
                    </w:rPr>
                    <w:t>587</w:t>
                  </w:r>
                </w:p>
              </w:tc>
              <w:tc>
                <w:tcPr>
                  <w:tcW w:w="513" w:type="pct"/>
                  <w:vAlign w:val="center"/>
                </w:tcPr>
                <w:p>
                  <w:pPr>
                    <w:jc w:val="center"/>
                    <w:rPr>
                      <w:rFonts w:eastAsia="等线"/>
                      <w:color w:val="000000"/>
                      <w:sz w:val="22"/>
                      <w:szCs w:val="22"/>
                    </w:rPr>
                  </w:pPr>
                  <w:r>
                    <w:rPr>
                      <w:rFonts w:eastAsia="等线"/>
                      <w:color w:val="000000"/>
                      <w:sz w:val="22"/>
                      <w:szCs w:val="22"/>
                    </w:rPr>
                    <w:t>203</w:t>
                  </w:r>
                </w:p>
              </w:tc>
              <w:tc>
                <w:tcPr>
                  <w:tcW w:w="513" w:type="pct"/>
                  <w:vMerge w:val="continue"/>
                  <w:vAlign w:val="center"/>
                </w:tcPr>
                <w:p>
                  <w:pPr>
                    <w:widowControl/>
                    <w:jc w:val="center"/>
                    <w:rPr>
                      <w:szCs w:val="21"/>
                    </w:rPr>
                  </w:pPr>
                </w:p>
              </w:tc>
              <w:tc>
                <w:tcPr>
                  <w:tcW w:w="935" w:type="pct"/>
                  <w:noWrap/>
                </w:tcPr>
                <w:p>
                  <w:r>
                    <w:rPr>
                      <w:rFonts w:hint="eastAsia"/>
                      <w:szCs w:val="21"/>
                    </w:rPr>
                    <w:t>苏坪村3户</w:t>
                  </w:r>
                  <w:r>
                    <w:rPr>
                      <w:szCs w:val="21"/>
                    </w:rPr>
                    <w:t>，9</w:t>
                  </w:r>
                  <w:r>
                    <w:rPr>
                      <w:rFonts w:hint="eastAsia"/>
                      <w:szCs w:val="21"/>
                    </w:rPr>
                    <w:t>人</w:t>
                  </w:r>
                </w:p>
              </w:tc>
              <w:tc>
                <w:tcPr>
                  <w:tcW w:w="993" w:type="pct"/>
                  <w:noWrap/>
                  <w:vAlign w:val="center"/>
                </w:tcPr>
                <w:p>
                  <w:pPr>
                    <w:jc w:val="center"/>
                    <w:rPr>
                      <w:rFonts w:eastAsia="等线"/>
                      <w:color w:val="000000"/>
                      <w:sz w:val="22"/>
                      <w:szCs w:val="22"/>
                    </w:rPr>
                  </w:pPr>
                  <w:r>
                    <w:rPr>
                      <w:rFonts w:hint="eastAsia" w:eastAsia="等线"/>
                      <w:color w:val="000000"/>
                      <w:sz w:val="22"/>
                      <w:szCs w:val="22"/>
                    </w:rPr>
                    <w:t>东北侧</w:t>
                  </w:r>
                  <w:r>
                    <w:rPr>
                      <w:rFonts w:eastAsia="等线"/>
                      <w:color w:val="000000"/>
                      <w:sz w:val="22"/>
                      <w:szCs w:val="22"/>
                    </w:rPr>
                    <w:t>1098m</w:t>
                  </w:r>
                </w:p>
              </w:tc>
            </w:tr>
          </w:tbl>
          <w:p>
            <w:pPr>
              <w:adjustRightInd w:val="0"/>
              <w:snapToGrid w:val="0"/>
              <w:spacing w:line="360" w:lineRule="auto"/>
              <w:ind w:firstLine="420" w:firstLineChars="200"/>
              <w:rPr>
                <w:kern w:val="0"/>
                <w:szCs w:val="21"/>
              </w:rPr>
            </w:pPr>
          </w:p>
          <w:p>
            <w:pPr>
              <w:adjustRightInd w:val="0"/>
              <w:snapToGrid w:val="0"/>
              <w:spacing w:line="360" w:lineRule="auto"/>
              <w:ind w:firstLine="420" w:firstLineChars="200"/>
              <w:rPr>
                <w:kern w:val="0"/>
                <w:szCs w:val="21"/>
              </w:rPr>
            </w:pPr>
            <w:r>
              <w:rPr>
                <w:kern w:val="0"/>
                <w:szCs w:val="21"/>
              </w:rPr>
              <w:t>4、土壤环境敏感目标</w:t>
            </w:r>
          </w:p>
          <w:p>
            <w:pPr>
              <w:adjustRightInd w:val="0"/>
              <w:snapToGrid w:val="0"/>
              <w:spacing w:line="360" w:lineRule="auto"/>
              <w:ind w:firstLine="420" w:firstLineChars="200"/>
              <w:rPr>
                <w:kern w:val="0"/>
                <w:szCs w:val="21"/>
              </w:rPr>
            </w:pPr>
            <w:r>
              <w:rPr>
                <w:kern w:val="0"/>
                <w:szCs w:val="21"/>
              </w:rPr>
              <w:t>井口周边200m范围内分布的耕地。</w:t>
            </w:r>
          </w:p>
          <w:p>
            <w:pPr>
              <w:pStyle w:val="331"/>
              <w:numPr>
                <w:ilvl w:val="0"/>
                <w:numId w:val="6"/>
              </w:numPr>
              <w:adjustRightInd w:val="0"/>
              <w:snapToGrid w:val="0"/>
              <w:spacing w:line="360" w:lineRule="auto"/>
              <w:ind w:left="0" w:firstLine="0" w:firstLineChars="0"/>
              <w:jc w:val="center"/>
              <w:rPr>
                <w:b/>
                <w:bCs/>
                <w:kern w:val="0"/>
                <w:szCs w:val="21"/>
              </w:rPr>
            </w:pPr>
            <w:r>
              <w:rPr>
                <w:rFonts w:hint="eastAsia"/>
                <w:b/>
                <w:bCs/>
                <w:kern w:val="0"/>
                <w:szCs w:val="21"/>
              </w:rPr>
              <w:t>土壤环境保护目标表</w:t>
            </w:r>
          </w:p>
          <w:tbl>
            <w:tblPr>
              <w:tblStyle w:val="42"/>
              <w:tblpPr w:vertAnchor="text" w:tblpXSpec="center" w:tblpY="1"/>
              <w:tblW w:w="5000" w:type="pct"/>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40"/>
              <w:gridCol w:w="1133"/>
              <w:gridCol w:w="3428"/>
              <w:gridCol w:w="2826"/>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99" w:type="pct"/>
                  <w:tcBorders>
                    <w:top w:val="single" w:color="auto" w:sz="4" w:space="0"/>
                    <w:left w:val="single" w:color="auto" w:sz="4" w:space="0"/>
                    <w:bottom w:val="single" w:color="auto" w:sz="6" w:space="0"/>
                    <w:right w:val="single" w:color="auto" w:sz="6" w:space="0"/>
                  </w:tcBorders>
                  <w:vAlign w:val="center"/>
                </w:tcPr>
                <w:p>
                  <w:pPr>
                    <w:pStyle w:val="90"/>
                    <w:spacing w:line="240" w:lineRule="auto"/>
                    <w:rPr>
                      <w:kern w:val="0"/>
                      <w:szCs w:val="21"/>
                    </w:rPr>
                  </w:pPr>
                  <w:r>
                    <w:rPr>
                      <w:rFonts w:hint="eastAsia"/>
                      <w:szCs w:val="21"/>
                    </w:rPr>
                    <w:t>序号</w:t>
                  </w:r>
                </w:p>
              </w:tc>
              <w:tc>
                <w:tcPr>
                  <w:tcW w:w="706" w:type="pct"/>
                  <w:tcBorders>
                    <w:top w:val="single" w:color="auto" w:sz="4" w:space="0"/>
                    <w:left w:val="single" w:color="auto" w:sz="6" w:space="0"/>
                    <w:bottom w:val="single" w:color="auto" w:sz="6" w:space="0"/>
                    <w:right w:val="single" w:color="auto" w:sz="6" w:space="0"/>
                  </w:tcBorders>
                  <w:vAlign w:val="center"/>
                </w:tcPr>
                <w:p>
                  <w:pPr>
                    <w:pStyle w:val="90"/>
                    <w:spacing w:line="240" w:lineRule="auto"/>
                    <w:rPr>
                      <w:szCs w:val="21"/>
                    </w:rPr>
                  </w:pPr>
                  <w:r>
                    <w:rPr>
                      <w:rFonts w:hint="eastAsia"/>
                      <w:szCs w:val="21"/>
                    </w:rPr>
                    <w:t>保护目标</w:t>
                  </w:r>
                </w:p>
              </w:tc>
              <w:tc>
                <w:tcPr>
                  <w:tcW w:w="2135" w:type="pct"/>
                  <w:tcBorders>
                    <w:top w:val="single" w:color="auto" w:sz="4" w:space="0"/>
                    <w:left w:val="single" w:color="auto" w:sz="6" w:space="0"/>
                    <w:bottom w:val="single" w:color="auto" w:sz="6" w:space="0"/>
                    <w:right w:val="single" w:color="auto" w:sz="6" w:space="0"/>
                  </w:tcBorders>
                  <w:vAlign w:val="center"/>
                </w:tcPr>
                <w:p>
                  <w:pPr>
                    <w:pStyle w:val="90"/>
                    <w:spacing w:line="240" w:lineRule="auto"/>
                    <w:rPr>
                      <w:szCs w:val="21"/>
                    </w:rPr>
                  </w:pPr>
                  <w:r>
                    <w:rPr>
                      <w:rFonts w:hint="eastAsia"/>
                      <w:szCs w:val="21"/>
                    </w:rPr>
                    <w:t>位置关系</w:t>
                  </w:r>
                </w:p>
              </w:tc>
              <w:tc>
                <w:tcPr>
                  <w:tcW w:w="1760" w:type="pct"/>
                  <w:tcBorders>
                    <w:top w:val="single" w:color="auto" w:sz="4" w:space="0"/>
                    <w:left w:val="single" w:color="auto" w:sz="6" w:space="0"/>
                    <w:bottom w:val="single" w:color="auto" w:sz="6" w:space="0"/>
                    <w:right w:val="single" w:color="auto" w:sz="4" w:space="0"/>
                  </w:tcBorders>
                  <w:vAlign w:val="center"/>
                </w:tcPr>
                <w:p>
                  <w:pPr>
                    <w:pStyle w:val="90"/>
                    <w:spacing w:line="240" w:lineRule="auto"/>
                    <w:rPr>
                      <w:szCs w:val="21"/>
                    </w:rPr>
                  </w:pPr>
                  <w:r>
                    <w:rPr>
                      <w:rFonts w:hint="eastAsia"/>
                      <w:szCs w:val="21"/>
                    </w:rPr>
                    <w:t>环境敏感特性</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99" w:type="pct"/>
                  <w:tcBorders>
                    <w:top w:val="single" w:color="auto" w:sz="6" w:space="0"/>
                    <w:left w:val="single" w:color="auto" w:sz="4" w:space="0"/>
                    <w:bottom w:val="single" w:color="auto" w:sz="4" w:space="0"/>
                    <w:right w:val="single" w:color="auto" w:sz="6" w:space="0"/>
                  </w:tcBorders>
                  <w:vAlign w:val="center"/>
                </w:tcPr>
                <w:p>
                  <w:pPr>
                    <w:pStyle w:val="90"/>
                    <w:spacing w:line="240" w:lineRule="auto"/>
                    <w:rPr>
                      <w:szCs w:val="21"/>
                    </w:rPr>
                  </w:pPr>
                  <w:r>
                    <w:rPr>
                      <w:szCs w:val="21"/>
                    </w:rPr>
                    <w:t>1</w:t>
                  </w:r>
                </w:p>
              </w:tc>
              <w:tc>
                <w:tcPr>
                  <w:tcW w:w="706" w:type="pct"/>
                  <w:tcBorders>
                    <w:top w:val="single" w:color="auto" w:sz="6" w:space="0"/>
                    <w:left w:val="single" w:color="auto" w:sz="6" w:space="0"/>
                    <w:bottom w:val="single" w:color="auto" w:sz="4" w:space="0"/>
                    <w:right w:val="single" w:color="auto" w:sz="6" w:space="0"/>
                  </w:tcBorders>
                  <w:vAlign w:val="center"/>
                </w:tcPr>
                <w:p>
                  <w:pPr>
                    <w:pStyle w:val="90"/>
                    <w:spacing w:line="240" w:lineRule="auto"/>
                    <w:rPr>
                      <w:szCs w:val="21"/>
                    </w:rPr>
                  </w:pPr>
                  <w:r>
                    <w:rPr>
                      <w:rFonts w:hint="eastAsia"/>
                      <w:szCs w:val="21"/>
                    </w:rPr>
                    <w:t>耕地</w:t>
                  </w:r>
                </w:p>
              </w:tc>
              <w:tc>
                <w:tcPr>
                  <w:tcW w:w="2135" w:type="pct"/>
                  <w:tcBorders>
                    <w:top w:val="single" w:color="auto" w:sz="6" w:space="0"/>
                    <w:left w:val="single" w:color="auto" w:sz="6" w:space="0"/>
                    <w:bottom w:val="single" w:color="auto" w:sz="4" w:space="0"/>
                    <w:right w:val="single" w:color="auto" w:sz="6" w:space="0"/>
                  </w:tcBorders>
                  <w:vAlign w:val="center"/>
                </w:tcPr>
                <w:p>
                  <w:pPr>
                    <w:pStyle w:val="90"/>
                    <w:spacing w:line="240" w:lineRule="auto"/>
                    <w:rPr>
                      <w:szCs w:val="21"/>
                    </w:rPr>
                  </w:pPr>
                  <w:r>
                    <w:rPr>
                      <w:rFonts w:hint="eastAsia"/>
                      <w:szCs w:val="21"/>
                    </w:rPr>
                    <w:t>占地范围及占地范围外</w:t>
                  </w:r>
                  <w:r>
                    <w:rPr>
                      <w:szCs w:val="21"/>
                    </w:rPr>
                    <w:t>200m</w:t>
                  </w:r>
                  <w:r>
                    <w:rPr>
                      <w:rFonts w:hint="eastAsia"/>
                      <w:szCs w:val="21"/>
                    </w:rPr>
                    <w:t>范围内的耕地。</w:t>
                  </w:r>
                </w:p>
              </w:tc>
              <w:tc>
                <w:tcPr>
                  <w:tcW w:w="1760" w:type="pct"/>
                  <w:tcBorders>
                    <w:top w:val="single" w:color="auto" w:sz="6" w:space="0"/>
                    <w:left w:val="single" w:color="auto" w:sz="6" w:space="0"/>
                    <w:bottom w:val="single" w:color="auto" w:sz="4" w:space="0"/>
                    <w:right w:val="single" w:color="auto" w:sz="4" w:space="0"/>
                  </w:tcBorders>
                  <w:vAlign w:val="center"/>
                </w:tcPr>
                <w:p>
                  <w:pPr>
                    <w:pStyle w:val="90"/>
                    <w:spacing w:line="240" w:lineRule="auto"/>
                    <w:rPr>
                      <w:szCs w:val="21"/>
                    </w:rPr>
                  </w:pPr>
                  <w:r>
                    <w:rPr>
                      <w:rFonts w:hint="eastAsia"/>
                      <w:szCs w:val="21"/>
                    </w:rPr>
                    <w:t>土壤类型为中性紫色土居民为农村分散居民点</w:t>
                  </w:r>
                </w:p>
              </w:tc>
            </w:tr>
          </w:tbl>
          <w:p>
            <w:pPr>
              <w:adjustRightInd w:val="0"/>
              <w:snapToGrid w:val="0"/>
              <w:spacing w:line="360" w:lineRule="auto"/>
              <w:ind w:firstLine="420" w:firstLineChars="200"/>
              <w:rPr>
                <w:kern w:val="0"/>
                <w:szCs w:val="21"/>
              </w:rPr>
            </w:pPr>
          </w:p>
          <w:p>
            <w:pPr>
              <w:adjustRightInd w:val="0"/>
              <w:snapToGrid w:val="0"/>
              <w:spacing w:line="360" w:lineRule="auto"/>
              <w:ind w:firstLine="420" w:firstLineChars="200"/>
              <w:rPr>
                <w:kern w:val="0"/>
                <w:szCs w:val="21"/>
              </w:rPr>
            </w:pPr>
            <w:r>
              <w:rPr>
                <w:kern w:val="0"/>
                <w:szCs w:val="21"/>
              </w:rPr>
              <w:t>5、声环境敏感目标</w:t>
            </w:r>
          </w:p>
          <w:p>
            <w:pPr>
              <w:adjustRightInd w:val="0"/>
              <w:snapToGrid w:val="0"/>
              <w:spacing w:line="360" w:lineRule="auto"/>
              <w:ind w:firstLine="420" w:firstLineChars="200"/>
              <w:rPr>
                <w:kern w:val="0"/>
                <w:szCs w:val="21"/>
              </w:rPr>
            </w:pPr>
            <w:r>
              <w:rPr>
                <w:kern w:val="0"/>
                <w:szCs w:val="21"/>
              </w:rPr>
              <w:t>井口周边200m范围内居民。</w:t>
            </w:r>
          </w:p>
          <w:p>
            <w:pPr>
              <w:pStyle w:val="331"/>
              <w:numPr>
                <w:ilvl w:val="0"/>
                <w:numId w:val="6"/>
              </w:numPr>
              <w:adjustRightInd w:val="0"/>
              <w:snapToGrid w:val="0"/>
              <w:spacing w:line="360" w:lineRule="auto"/>
              <w:ind w:left="0" w:firstLine="0" w:firstLineChars="0"/>
              <w:jc w:val="center"/>
              <w:rPr>
                <w:b/>
                <w:bCs/>
                <w:kern w:val="0"/>
                <w:szCs w:val="21"/>
              </w:rPr>
            </w:pPr>
            <w:r>
              <w:rPr>
                <w:rFonts w:hint="eastAsia"/>
                <w:b/>
                <w:bCs/>
                <w:kern w:val="0"/>
                <w:szCs w:val="21"/>
              </w:rPr>
              <w:t>声环境主要保护目标一览表</w:t>
            </w:r>
          </w:p>
          <w:tbl>
            <w:tblPr>
              <w:tblStyle w:val="42"/>
              <w:tblpPr w:vertAnchor="text" w:tblpXSpec="center" w:tblpY="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68" w:type="dxa"/>
                <w:bottom w:w="0" w:type="dxa"/>
                <w:right w:w="68" w:type="dxa"/>
              </w:tblCellMar>
            </w:tblPr>
            <w:tblGrid>
              <w:gridCol w:w="705"/>
              <w:gridCol w:w="1235"/>
              <w:gridCol w:w="759"/>
              <w:gridCol w:w="759"/>
              <w:gridCol w:w="763"/>
              <w:gridCol w:w="761"/>
              <w:gridCol w:w="761"/>
              <w:gridCol w:w="1117"/>
              <w:gridCol w:w="11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8" w:type="dxa"/>
                  <w:bottom w:w="0" w:type="dxa"/>
                  <w:right w:w="68" w:type="dxa"/>
                </w:tblCellMar>
              </w:tblPrEx>
              <w:trPr>
                <w:trHeight w:val="369" w:hRule="atLeast"/>
                <w:tblHeader/>
              </w:trPr>
              <w:tc>
                <w:tcPr>
                  <w:tcW w:w="439" w:type="pct"/>
                  <w:vMerge w:val="restart"/>
                  <w:tcBorders>
                    <w:top w:val="single" w:color="auto" w:sz="4" w:space="0"/>
                    <w:left w:val="single" w:color="auto" w:sz="4" w:space="0"/>
                    <w:right w:val="single" w:color="auto" w:sz="4" w:space="0"/>
                  </w:tcBorders>
                  <w:noWrap/>
                  <w:vAlign w:val="center"/>
                </w:tcPr>
                <w:p>
                  <w:pPr>
                    <w:pStyle w:val="90"/>
                    <w:spacing w:line="240" w:lineRule="auto"/>
                    <w:rPr>
                      <w:color w:val="00B0F0"/>
                      <w:kern w:val="0"/>
                      <w:szCs w:val="18"/>
                    </w:rPr>
                  </w:pPr>
                  <w:r>
                    <w:rPr>
                      <w:color w:val="00B0F0"/>
                      <w:szCs w:val="18"/>
                    </w:rPr>
                    <w:t>序号</w:t>
                  </w:r>
                </w:p>
              </w:tc>
              <w:tc>
                <w:tcPr>
                  <w:tcW w:w="769" w:type="pct"/>
                  <w:vMerge w:val="restart"/>
                  <w:tcBorders>
                    <w:top w:val="single" w:color="auto" w:sz="4" w:space="0"/>
                    <w:left w:val="single" w:color="auto" w:sz="4" w:space="0"/>
                    <w:right w:val="single" w:color="auto" w:sz="4" w:space="0"/>
                  </w:tcBorders>
                  <w:vAlign w:val="center"/>
                </w:tcPr>
                <w:p>
                  <w:pPr>
                    <w:pStyle w:val="90"/>
                    <w:spacing w:line="240" w:lineRule="auto"/>
                    <w:rPr>
                      <w:color w:val="00B0F0"/>
                      <w:szCs w:val="18"/>
                    </w:rPr>
                  </w:pPr>
                  <w:r>
                    <w:rPr>
                      <w:color w:val="00B0F0"/>
                      <w:szCs w:val="18"/>
                    </w:rPr>
                    <w:t>声环境保护目标名称</w:t>
                  </w:r>
                </w:p>
              </w:tc>
              <w:tc>
                <w:tcPr>
                  <w:tcW w:w="1421" w:type="pct"/>
                  <w:gridSpan w:val="3"/>
                  <w:tcBorders>
                    <w:top w:val="single" w:color="auto" w:sz="4" w:space="0"/>
                    <w:left w:val="single" w:color="auto" w:sz="4" w:space="0"/>
                    <w:bottom w:val="single" w:color="auto" w:sz="4" w:space="0"/>
                    <w:right w:val="single" w:color="auto" w:sz="4" w:space="0"/>
                  </w:tcBorders>
                  <w:vAlign w:val="center"/>
                </w:tcPr>
                <w:p>
                  <w:pPr>
                    <w:pStyle w:val="90"/>
                    <w:spacing w:line="240" w:lineRule="auto"/>
                    <w:rPr>
                      <w:color w:val="00B0F0"/>
                      <w:szCs w:val="18"/>
                    </w:rPr>
                  </w:pPr>
                  <w:r>
                    <w:rPr>
                      <w:color w:val="00B0F0"/>
                      <w:szCs w:val="18"/>
                    </w:rPr>
                    <w:t>空间相对位置</w:t>
                  </w:r>
                </w:p>
              </w:tc>
              <w:tc>
                <w:tcPr>
                  <w:tcW w:w="474" w:type="pct"/>
                  <w:vMerge w:val="restart"/>
                  <w:tcBorders>
                    <w:top w:val="single" w:color="auto" w:sz="4" w:space="0"/>
                    <w:left w:val="single" w:color="auto" w:sz="4" w:space="0"/>
                    <w:right w:val="single" w:color="auto" w:sz="4" w:space="0"/>
                  </w:tcBorders>
                  <w:vAlign w:val="center"/>
                </w:tcPr>
                <w:p>
                  <w:pPr>
                    <w:pStyle w:val="90"/>
                    <w:spacing w:line="240" w:lineRule="auto"/>
                    <w:rPr>
                      <w:color w:val="00B0F0"/>
                      <w:szCs w:val="18"/>
                    </w:rPr>
                  </w:pPr>
                  <w:r>
                    <w:rPr>
                      <w:color w:val="00B0F0"/>
                      <w:szCs w:val="18"/>
                    </w:rPr>
                    <w:t>距井场最近距离/m</w:t>
                  </w:r>
                </w:p>
              </w:tc>
              <w:tc>
                <w:tcPr>
                  <w:tcW w:w="474" w:type="pct"/>
                  <w:vMerge w:val="restart"/>
                  <w:tcBorders>
                    <w:top w:val="single" w:color="auto" w:sz="4" w:space="0"/>
                    <w:left w:val="single" w:color="auto" w:sz="4" w:space="0"/>
                    <w:right w:val="single" w:color="auto" w:sz="4" w:space="0"/>
                  </w:tcBorders>
                  <w:vAlign w:val="center"/>
                </w:tcPr>
                <w:p>
                  <w:pPr>
                    <w:pStyle w:val="90"/>
                    <w:spacing w:line="240" w:lineRule="auto"/>
                    <w:rPr>
                      <w:color w:val="00B0F0"/>
                      <w:szCs w:val="18"/>
                    </w:rPr>
                  </w:pPr>
                  <w:r>
                    <w:rPr>
                      <w:color w:val="00B0F0"/>
                      <w:szCs w:val="18"/>
                    </w:rPr>
                    <w:t>方位</w:t>
                  </w:r>
                </w:p>
              </w:tc>
              <w:tc>
                <w:tcPr>
                  <w:tcW w:w="696" w:type="pct"/>
                  <w:vMerge w:val="restart"/>
                  <w:tcBorders>
                    <w:top w:val="single" w:color="auto" w:sz="4" w:space="0"/>
                    <w:left w:val="single" w:color="auto" w:sz="4" w:space="0"/>
                    <w:right w:val="single" w:color="auto" w:sz="4" w:space="0"/>
                  </w:tcBorders>
                  <w:vAlign w:val="center"/>
                </w:tcPr>
                <w:p>
                  <w:pPr>
                    <w:pStyle w:val="90"/>
                    <w:spacing w:line="240" w:lineRule="auto"/>
                    <w:rPr>
                      <w:color w:val="00B0F0"/>
                      <w:szCs w:val="18"/>
                    </w:rPr>
                  </w:pPr>
                  <w:r>
                    <w:rPr>
                      <w:color w:val="00B0F0"/>
                      <w:szCs w:val="18"/>
                    </w:rPr>
                    <w:t>执行标准/功能类别</w:t>
                  </w:r>
                </w:p>
              </w:tc>
              <w:tc>
                <w:tcPr>
                  <w:tcW w:w="727" w:type="pct"/>
                  <w:vMerge w:val="restart"/>
                  <w:tcBorders>
                    <w:top w:val="single" w:color="auto" w:sz="4" w:space="0"/>
                    <w:left w:val="single" w:color="auto" w:sz="4" w:space="0"/>
                    <w:right w:val="single" w:color="auto" w:sz="4" w:space="0"/>
                  </w:tcBorders>
                  <w:vAlign w:val="center"/>
                </w:tcPr>
                <w:p>
                  <w:pPr>
                    <w:pStyle w:val="90"/>
                    <w:spacing w:line="240" w:lineRule="auto"/>
                    <w:rPr>
                      <w:color w:val="00B0F0"/>
                      <w:szCs w:val="18"/>
                    </w:rPr>
                  </w:pPr>
                  <w:r>
                    <w:rPr>
                      <w:color w:val="00B0F0"/>
                      <w:szCs w:val="18"/>
                    </w:rPr>
                    <w:t>声环境保护目标情况说明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8" w:type="dxa"/>
                  <w:bottom w:w="0" w:type="dxa"/>
                  <w:right w:w="68" w:type="dxa"/>
                </w:tblCellMar>
              </w:tblPrEx>
              <w:trPr>
                <w:trHeight w:val="369" w:hRule="atLeast"/>
                <w:tblHeader/>
              </w:trPr>
              <w:tc>
                <w:tcPr>
                  <w:tcW w:w="439" w:type="pct"/>
                  <w:vMerge w:val="continue"/>
                  <w:tcBorders>
                    <w:left w:val="single" w:color="auto" w:sz="4" w:space="0"/>
                    <w:bottom w:val="single" w:color="auto" w:sz="4" w:space="0"/>
                    <w:right w:val="single" w:color="auto" w:sz="4" w:space="0"/>
                  </w:tcBorders>
                  <w:noWrap/>
                  <w:vAlign w:val="center"/>
                </w:tcPr>
                <w:p>
                  <w:pPr>
                    <w:pStyle w:val="90"/>
                    <w:spacing w:line="240" w:lineRule="auto"/>
                    <w:rPr>
                      <w:color w:val="00B0F0"/>
                      <w:szCs w:val="18"/>
                    </w:rPr>
                  </w:pPr>
                </w:p>
              </w:tc>
              <w:tc>
                <w:tcPr>
                  <w:tcW w:w="769" w:type="pct"/>
                  <w:vMerge w:val="continue"/>
                  <w:tcBorders>
                    <w:left w:val="single" w:color="auto" w:sz="4" w:space="0"/>
                    <w:bottom w:val="single" w:color="auto" w:sz="4" w:space="0"/>
                    <w:right w:val="single" w:color="auto" w:sz="4" w:space="0"/>
                  </w:tcBorders>
                  <w:vAlign w:val="center"/>
                </w:tcPr>
                <w:p>
                  <w:pPr>
                    <w:pStyle w:val="90"/>
                    <w:spacing w:line="240" w:lineRule="auto"/>
                    <w:rPr>
                      <w:color w:val="00B0F0"/>
                      <w:szCs w:val="18"/>
                    </w:rPr>
                  </w:pPr>
                </w:p>
              </w:tc>
              <w:tc>
                <w:tcPr>
                  <w:tcW w:w="473" w:type="pct"/>
                  <w:tcBorders>
                    <w:top w:val="single" w:color="auto" w:sz="4" w:space="0"/>
                    <w:left w:val="single" w:color="auto" w:sz="4" w:space="0"/>
                    <w:bottom w:val="single" w:color="auto" w:sz="4" w:space="0"/>
                    <w:right w:val="single" w:color="auto" w:sz="4" w:space="0"/>
                  </w:tcBorders>
                  <w:vAlign w:val="center"/>
                </w:tcPr>
                <w:p>
                  <w:pPr>
                    <w:pStyle w:val="90"/>
                    <w:spacing w:line="240" w:lineRule="auto"/>
                    <w:rPr>
                      <w:color w:val="00B0F0"/>
                      <w:szCs w:val="18"/>
                    </w:rPr>
                  </w:pPr>
                  <w:r>
                    <w:rPr>
                      <w:color w:val="00B0F0"/>
                      <w:szCs w:val="18"/>
                    </w:rPr>
                    <w:t>X</w:t>
                  </w:r>
                </w:p>
              </w:tc>
              <w:tc>
                <w:tcPr>
                  <w:tcW w:w="473" w:type="pct"/>
                  <w:tcBorders>
                    <w:top w:val="single" w:color="auto" w:sz="4" w:space="0"/>
                    <w:left w:val="single" w:color="auto" w:sz="4" w:space="0"/>
                    <w:bottom w:val="single" w:color="auto" w:sz="4" w:space="0"/>
                    <w:right w:val="single" w:color="auto" w:sz="4" w:space="0"/>
                  </w:tcBorders>
                  <w:vAlign w:val="center"/>
                </w:tcPr>
                <w:p>
                  <w:pPr>
                    <w:pStyle w:val="90"/>
                    <w:spacing w:line="240" w:lineRule="auto"/>
                    <w:rPr>
                      <w:color w:val="00B0F0"/>
                      <w:szCs w:val="18"/>
                    </w:rPr>
                  </w:pPr>
                  <w:r>
                    <w:rPr>
                      <w:color w:val="00B0F0"/>
                      <w:szCs w:val="18"/>
                    </w:rPr>
                    <w:t>Y</w:t>
                  </w:r>
                </w:p>
              </w:tc>
              <w:tc>
                <w:tcPr>
                  <w:tcW w:w="475" w:type="pct"/>
                  <w:tcBorders>
                    <w:top w:val="single" w:color="auto" w:sz="4" w:space="0"/>
                    <w:left w:val="single" w:color="auto" w:sz="4" w:space="0"/>
                    <w:bottom w:val="single" w:color="auto" w:sz="4" w:space="0"/>
                    <w:right w:val="single" w:color="auto" w:sz="4" w:space="0"/>
                  </w:tcBorders>
                  <w:vAlign w:val="center"/>
                </w:tcPr>
                <w:p>
                  <w:pPr>
                    <w:pStyle w:val="90"/>
                    <w:spacing w:line="240" w:lineRule="auto"/>
                    <w:rPr>
                      <w:color w:val="00B0F0"/>
                      <w:szCs w:val="18"/>
                    </w:rPr>
                  </w:pPr>
                  <w:r>
                    <w:rPr>
                      <w:color w:val="00B0F0"/>
                      <w:szCs w:val="18"/>
                    </w:rPr>
                    <w:t>Z</w:t>
                  </w:r>
                </w:p>
              </w:tc>
              <w:tc>
                <w:tcPr>
                  <w:tcW w:w="474" w:type="pct"/>
                  <w:vMerge w:val="continue"/>
                  <w:tcBorders>
                    <w:left w:val="single" w:color="auto" w:sz="4" w:space="0"/>
                    <w:bottom w:val="single" w:color="auto" w:sz="4" w:space="0"/>
                    <w:right w:val="single" w:color="auto" w:sz="4" w:space="0"/>
                  </w:tcBorders>
                  <w:vAlign w:val="center"/>
                </w:tcPr>
                <w:p>
                  <w:pPr>
                    <w:pStyle w:val="90"/>
                    <w:spacing w:line="240" w:lineRule="auto"/>
                    <w:rPr>
                      <w:color w:val="00B0F0"/>
                      <w:szCs w:val="18"/>
                    </w:rPr>
                  </w:pPr>
                </w:p>
              </w:tc>
              <w:tc>
                <w:tcPr>
                  <w:tcW w:w="474" w:type="pct"/>
                  <w:vMerge w:val="continue"/>
                  <w:tcBorders>
                    <w:left w:val="single" w:color="auto" w:sz="4" w:space="0"/>
                    <w:bottom w:val="single" w:color="auto" w:sz="4" w:space="0"/>
                    <w:right w:val="single" w:color="auto" w:sz="4" w:space="0"/>
                  </w:tcBorders>
                  <w:vAlign w:val="center"/>
                </w:tcPr>
                <w:p>
                  <w:pPr>
                    <w:pStyle w:val="90"/>
                    <w:spacing w:line="240" w:lineRule="auto"/>
                    <w:rPr>
                      <w:color w:val="00B0F0"/>
                      <w:szCs w:val="18"/>
                    </w:rPr>
                  </w:pPr>
                </w:p>
              </w:tc>
              <w:tc>
                <w:tcPr>
                  <w:tcW w:w="696" w:type="pct"/>
                  <w:vMerge w:val="continue"/>
                  <w:tcBorders>
                    <w:left w:val="single" w:color="auto" w:sz="4" w:space="0"/>
                    <w:bottom w:val="single" w:color="auto" w:sz="4" w:space="0"/>
                    <w:right w:val="single" w:color="auto" w:sz="4" w:space="0"/>
                  </w:tcBorders>
                  <w:vAlign w:val="center"/>
                </w:tcPr>
                <w:p>
                  <w:pPr>
                    <w:pStyle w:val="90"/>
                    <w:spacing w:line="240" w:lineRule="auto"/>
                    <w:rPr>
                      <w:color w:val="00B0F0"/>
                      <w:szCs w:val="18"/>
                    </w:rPr>
                  </w:pPr>
                </w:p>
              </w:tc>
              <w:tc>
                <w:tcPr>
                  <w:tcW w:w="727" w:type="pct"/>
                  <w:vMerge w:val="continue"/>
                  <w:tcBorders>
                    <w:left w:val="single" w:color="auto" w:sz="4" w:space="0"/>
                    <w:bottom w:val="single" w:color="auto" w:sz="4" w:space="0"/>
                    <w:right w:val="single" w:color="auto" w:sz="4" w:space="0"/>
                  </w:tcBorders>
                  <w:vAlign w:val="center"/>
                </w:tcPr>
                <w:p>
                  <w:pPr>
                    <w:pStyle w:val="90"/>
                    <w:spacing w:line="240" w:lineRule="auto"/>
                    <w:rPr>
                      <w:color w:val="00B0F0"/>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8" w:type="dxa"/>
                  <w:bottom w:w="0" w:type="dxa"/>
                  <w:right w:w="68" w:type="dxa"/>
                </w:tblCellMar>
              </w:tblPrEx>
              <w:trPr>
                <w:trHeight w:val="369" w:hRule="atLeast"/>
              </w:trPr>
              <w:tc>
                <w:tcPr>
                  <w:tcW w:w="439" w:type="pct"/>
                  <w:tcBorders>
                    <w:top w:val="single" w:color="auto" w:sz="4" w:space="0"/>
                    <w:left w:val="single" w:color="auto" w:sz="4" w:space="0"/>
                    <w:bottom w:val="single" w:color="auto" w:sz="4" w:space="0"/>
                    <w:right w:val="single" w:color="auto" w:sz="4" w:space="0"/>
                  </w:tcBorders>
                  <w:noWrap/>
                  <w:vAlign w:val="center"/>
                </w:tcPr>
                <w:p>
                  <w:pPr>
                    <w:pStyle w:val="90"/>
                    <w:spacing w:line="240" w:lineRule="auto"/>
                    <w:rPr>
                      <w:color w:val="00B0F0"/>
                      <w:szCs w:val="18"/>
                    </w:rPr>
                  </w:pPr>
                  <w:r>
                    <w:rPr>
                      <w:color w:val="00B0F0"/>
                      <w:szCs w:val="18"/>
                    </w:rPr>
                    <w:t>1</w:t>
                  </w:r>
                </w:p>
              </w:tc>
              <w:tc>
                <w:tcPr>
                  <w:tcW w:w="769" w:type="pct"/>
                  <w:tcBorders>
                    <w:top w:val="single" w:color="auto" w:sz="4" w:space="0"/>
                    <w:left w:val="single" w:color="auto" w:sz="4" w:space="0"/>
                    <w:bottom w:val="single" w:color="auto" w:sz="4" w:space="0"/>
                    <w:right w:val="single" w:color="auto" w:sz="4" w:space="0"/>
                  </w:tcBorders>
                  <w:vAlign w:val="center"/>
                </w:tcPr>
                <w:p>
                  <w:pPr>
                    <w:pStyle w:val="90"/>
                    <w:spacing w:line="240" w:lineRule="auto"/>
                    <w:rPr>
                      <w:color w:val="00B0F0"/>
                      <w:szCs w:val="18"/>
                    </w:rPr>
                  </w:pPr>
                  <w:r>
                    <w:rPr>
                      <w:color w:val="00B0F0"/>
                      <w:szCs w:val="18"/>
                    </w:rPr>
                    <w:t>2##居民点</w:t>
                  </w:r>
                </w:p>
              </w:tc>
              <w:tc>
                <w:tcPr>
                  <w:tcW w:w="473" w:type="pct"/>
                  <w:tcBorders>
                    <w:top w:val="single" w:color="auto" w:sz="4" w:space="0"/>
                    <w:left w:val="single" w:color="auto" w:sz="4" w:space="0"/>
                    <w:bottom w:val="single" w:color="auto" w:sz="4" w:space="0"/>
                    <w:right w:val="single" w:color="auto" w:sz="4" w:space="0"/>
                  </w:tcBorders>
                  <w:vAlign w:val="center"/>
                </w:tcPr>
                <w:p>
                  <w:pPr>
                    <w:pStyle w:val="90"/>
                    <w:spacing w:line="240" w:lineRule="auto"/>
                    <w:rPr>
                      <w:color w:val="00B0F0"/>
                      <w:szCs w:val="18"/>
                    </w:rPr>
                  </w:pPr>
                  <w:r>
                    <w:rPr>
                      <w:rFonts w:hint="eastAsia"/>
                      <w:color w:val="00B0F0"/>
                      <w:szCs w:val="18"/>
                    </w:rPr>
                    <w:t>143</w:t>
                  </w:r>
                </w:p>
              </w:tc>
              <w:tc>
                <w:tcPr>
                  <w:tcW w:w="473" w:type="pct"/>
                  <w:tcBorders>
                    <w:top w:val="single" w:color="auto" w:sz="4" w:space="0"/>
                    <w:left w:val="single" w:color="auto" w:sz="4" w:space="0"/>
                    <w:bottom w:val="single" w:color="auto" w:sz="4" w:space="0"/>
                    <w:right w:val="single" w:color="auto" w:sz="4" w:space="0"/>
                  </w:tcBorders>
                  <w:vAlign w:val="center"/>
                </w:tcPr>
                <w:p>
                  <w:pPr>
                    <w:pStyle w:val="90"/>
                    <w:spacing w:line="240" w:lineRule="auto"/>
                    <w:rPr>
                      <w:color w:val="00B0F0"/>
                      <w:szCs w:val="18"/>
                    </w:rPr>
                  </w:pPr>
                  <w:r>
                    <w:rPr>
                      <w:rFonts w:hint="eastAsia"/>
                      <w:color w:val="00B0F0"/>
                      <w:szCs w:val="18"/>
                    </w:rPr>
                    <w:t>53</w:t>
                  </w:r>
                </w:p>
              </w:tc>
              <w:tc>
                <w:tcPr>
                  <w:tcW w:w="475" w:type="pct"/>
                  <w:tcBorders>
                    <w:top w:val="single" w:color="auto" w:sz="4" w:space="0"/>
                    <w:left w:val="single" w:color="auto" w:sz="4" w:space="0"/>
                    <w:bottom w:val="single" w:color="auto" w:sz="4" w:space="0"/>
                    <w:right w:val="single" w:color="auto" w:sz="4" w:space="0"/>
                  </w:tcBorders>
                  <w:vAlign w:val="center"/>
                </w:tcPr>
                <w:p>
                  <w:pPr>
                    <w:pStyle w:val="90"/>
                    <w:spacing w:line="240" w:lineRule="auto"/>
                    <w:rPr>
                      <w:color w:val="00B0F0"/>
                      <w:szCs w:val="18"/>
                    </w:rPr>
                  </w:pPr>
                  <w:r>
                    <w:rPr>
                      <w:rFonts w:hint="eastAsia"/>
                      <w:color w:val="00B0F0"/>
                      <w:szCs w:val="18"/>
                    </w:rPr>
                    <w:t>5</w:t>
                  </w:r>
                </w:p>
              </w:tc>
              <w:tc>
                <w:tcPr>
                  <w:tcW w:w="474" w:type="pct"/>
                  <w:tcBorders>
                    <w:top w:val="single" w:color="auto" w:sz="4" w:space="0"/>
                    <w:left w:val="single" w:color="auto" w:sz="4" w:space="0"/>
                    <w:bottom w:val="single" w:color="auto" w:sz="4" w:space="0"/>
                    <w:right w:val="single" w:color="auto" w:sz="4" w:space="0"/>
                  </w:tcBorders>
                  <w:vAlign w:val="center"/>
                </w:tcPr>
                <w:p>
                  <w:pPr>
                    <w:spacing w:line="280" w:lineRule="exact"/>
                    <w:jc w:val="center"/>
                    <w:rPr>
                      <w:color w:val="00B0F0"/>
                    </w:rPr>
                  </w:pPr>
                  <w:r>
                    <w:rPr>
                      <w:rFonts w:hint="eastAsia"/>
                      <w:kern w:val="0"/>
                      <w:szCs w:val="21"/>
                    </w:rPr>
                    <w:t>129</w:t>
                  </w:r>
                </w:p>
              </w:tc>
              <w:tc>
                <w:tcPr>
                  <w:tcW w:w="474" w:type="pct"/>
                  <w:tcBorders>
                    <w:top w:val="single" w:color="auto" w:sz="4" w:space="0"/>
                    <w:left w:val="single" w:color="auto" w:sz="4" w:space="0"/>
                    <w:bottom w:val="single" w:color="auto" w:sz="4" w:space="0"/>
                    <w:right w:val="single" w:color="auto" w:sz="4" w:space="0"/>
                  </w:tcBorders>
                  <w:vAlign w:val="center"/>
                </w:tcPr>
                <w:p>
                  <w:pPr>
                    <w:spacing w:line="280" w:lineRule="exact"/>
                    <w:jc w:val="center"/>
                    <w:rPr>
                      <w:color w:val="00B0F0"/>
                    </w:rPr>
                  </w:pPr>
                  <w:r>
                    <w:rPr>
                      <w:color w:val="00B0F0"/>
                    </w:rPr>
                    <w:t>E</w:t>
                  </w:r>
                </w:p>
              </w:tc>
              <w:tc>
                <w:tcPr>
                  <w:tcW w:w="696" w:type="pct"/>
                  <w:vMerge w:val="restart"/>
                  <w:tcBorders>
                    <w:top w:val="single" w:color="auto" w:sz="4" w:space="0"/>
                    <w:left w:val="single" w:color="auto" w:sz="4" w:space="0"/>
                    <w:right w:val="single" w:color="auto" w:sz="4" w:space="0"/>
                  </w:tcBorders>
                  <w:vAlign w:val="center"/>
                </w:tcPr>
                <w:p>
                  <w:pPr>
                    <w:pStyle w:val="90"/>
                    <w:spacing w:line="240" w:lineRule="auto"/>
                    <w:rPr>
                      <w:color w:val="00B0F0"/>
                      <w:szCs w:val="18"/>
                    </w:rPr>
                  </w:pPr>
                  <w:r>
                    <w:rPr>
                      <w:color w:val="00B0F0"/>
                      <w:szCs w:val="18"/>
                    </w:rPr>
                    <w:t>《声环境质量标准》（GB3096-2008）规定的2类地区</w:t>
                  </w:r>
                </w:p>
              </w:tc>
              <w:tc>
                <w:tcPr>
                  <w:tcW w:w="727" w:type="pct"/>
                  <w:tcBorders>
                    <w:top w:val="single" w:color="auto" w:sz="4" w:space="0"/>
                    <w:left w:val="single" w:color="auto" w:sz="4" w:space="0"/>
                    <w:bottom w:val="single" w:color="auto" w:sz="4" w:space="0"/>
                    <w:right w:val="single" w:color="auto" w:sz="4" w:space="0"/>
                  </w:tcBorders>
                  <w:vAlign w:val="center"/>
                </w:tcPr>
                <w:p>
                  <w:pPr>
                    <w:jc w:val="center"/>
                    <w:rPr>
                      <w:color w:val="00B0F0"/>
                      <w:sz w:val="22"/>
                    </w:rPr>
                  </w:pPr>
                  <w:r>
                    <w:rPr>
                      <w:rFonts w:eastAsia="等线"/>
                      <w:szCs w:val="21"/>
                    </w:rPr>
                    <w:t>4</w:t>
                  </w:r>
                  <w:r>
                    <w:rPr>
                      <w:szCs w:val="21"/>
                    </w:rPr>
                    <w:t>户，</w:t>
                  </w:r>
                  <w:r>
                    <w:rPr>
                      <w:rFonts w:eastAsia="等线"/>
                      <w:szCs w:val="21"/>
                    </w:rPr>
                    <w:t>6</w:t>
                  </w:r>
                  <w:r>
                    <w:rPr>
                      <w:szCs w:val="21"/>
                    </w:rPr>
                    <w:t>口人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8" w:type="dxa"/>
                  <w:bottom w:w="0" w:type="dxa"/>
                  <w:right w:w="68" w:type="dxa"/>
                </w:tblCellMar>
              </w:tblPrEx>
              <w:trPr>
                <w:trHeight w:val="369" w:hRule="atLeast"/>
              </w:trPr>
              <w:tc>
                <w:tcPr>
                  <w:tcW w:w="439" w:type="pct"/>
                  <w:tcBorders>
                    <w:top w:val="single" w:color="auto" w:sz="4" w:space="0"/>
                    <w:left w:val="single" w:color="auto" w:sz="4" w:space="0"/>
                    <w:bottom w:val="single" w:color="auto" w:sz="4" w:space="0"/>
                    <w:right w:val="single" w:color="auto" w:sz="4" w:space="0"/>
                  </w:tcBorders>
                  <w:noWrap/>
                  <w:vAlign w:val="center"/>
                </w:tcPr>
                <w:p>
                  <w:pPr>
                    <w:pStyle w:val="90"/>
                    <w:spacing w:line="240" w:lineRule="auto"/>
                    <w:rPr>
                      <w:color w:val="00B0F0"/>
                      <w:szCs w:val="18"/>
                    </w:rPr>
                  </w:pPr>
                  <w:r>
                    <w:rPr>
                      <w:color w:val="00B0F0"/>
                      <w:szCs w:val="18"/>
                    </w:rPr>
                    <w:t>2</w:t>
                  </w:r>
                </w:p>
              </w:tc>
              <w:tc>
                <w:tcPr>
                  <w:tcW w:w="769" w:type="pct"/>
                  <w:tcBorders>
                    <w:top w:val="single" w:color="auto" w:sz="4" w:space="0"/>
                    <w:left w:val="single" w:color="auto" w:sz="4" w:space="0"/>
                    <w:bottom w:val="single" w:color="auto" w:sz="4" w:space="0"/>
                    <w:right w:val="single" w:color="auto" w:sz="4" w:space="0"/>
                  </w:tcBorders>
                  <w:vAlign w:val="center"/>
                </w:tcPr>
                <w:p>
                  <w:pPr>
                    <w:pStyle w:val="90"/>
                    <w:spacing w:line="240" w:lineRule="auto"/>
                    <w:rPr>
                      <w:color w:val="00B0F0"/>
                      <w:szCs w:val="18"/>
                    </w:rPr>
                  </w:pPr>
                  <w:r>
                    <w:rPr>
                      <w:color w:val="00B0F0"/>
                      <w:szCs w:val="18"/>
                    </w:rPr>
                    <w:t>3#居民点</w:t>
                  </w:r>
                </w:p>
              </w:tc>
              <w:tc>
                <w:tcPr>
                  <w:tcW w:w="473" w:type="pct"/>
                  <w:tcBorders>
                    <w:top w:val="single" w:color="auto" w:sz="4" w:space="0"/>
                    <w:left w:val="single" w:color="auto" w:sz="4" w:space="0"/>
                    <w:bottom w:val="single" w:color="auto" w:sz="4" w:space="0"/>
                    <w:right w:val="single" w:color="auto" w:sz="4" w:space="0"/>
                  </w:tcBorders>
                  <w:vAlign w:val="center"/>
                </w:tcPr>
                <w:p>
                  <w:pPr>
                    <w:pStyle w:val="90"/>
                    <w:spacing w:line="240" w:lineRule="auto"/>
                    <w:rPr>
                      <w:color w:val="00B0F0"/>
                      <w:szCs w:val="18"/>
                    </w:rPr>
                  </w:pPr>
                  <w:r>
                    <w:rPr>
                      <w:rFonts w:hint="eastAsia"/>
                      <w:color w:val="00B0F0"/>
                      <w:szCs w:val="18"/>
                    </w:rPr>
                    <w:t>64</w:t>
                  </w:r>
                </w:p>
              </w:tc>
              <w:tc>
                <w:tcPr>
                  <w:tcW w:w="473" w:type="pct"/>
                  <w:tcBorders>
                    <w:top w:val="single" w:color="auto" w:sz="4" w:space="0"/>
                    <w:left w:val="single" w:color="auto" w:sz="4" w:space="0"/>
                    <w:bottom w:val="single" w:color="auto" w:sz="4" w:space="0"/>
                    <w:right w:val="single" w:color="auto" w:sz="4" w:space="0"/>
                  </w:tcBorders>
                  <w:vAlign w:val="center"/>
                </w:tcPr>
                <w:p>
                  <w:pPr>
                    <w:pStyle w:val="90"/>
                    <w:spacing w:line="240" w:lineRule="auto"/>
                    <w:rPr>
                      <w:color w:val="00B0F0"/>
                      <w:szCs w:val="18"/>
                    </w:rPr>
                  </w:pPr>
                  <w:r>
                    <w:rPr>
                      <w:rFonts w:hint="eastAsia"/>
                      <w:color w:val="00B0F0"/>
                      <w:szCs w:val="18"/>
                    </w:rPr>
                    <w:t>92</w:t>
                  </w:r>
                </w:p>
              </w:tc>
              <w:tc>
                <w:tcPr>
                  <w:tcW w:w="475" w:type="pct"/>
                  <w:tcBorders>
                    <w:top w:val="single" w:color="auto" w:sz="4" w:space="0"/>
                    <w:left w:val="single" w:color="auto" w:sz="4" w:space="0"/>
                    <w:bottom w:val="single" w:color="auto" w:sz="4" w:space="0"/>
                    <w:right w:val="single" w:color="auto" w:sz="4" w:space="0"/>
                  </w:tcBorders>
                  <w:vAlign w:val="center"/>
                </w:tcPr>
                <w:p>
                  <w:pPr>
                    <w:pStyle w:val="90"/>
                    <w:spacing w:line="240" w:lineRule="auto"/>
                    <w:rPr>
                      <w:color w:val="00B0F0"/>
                      <w:szCs w:val="18"/>
                    </w:rPr>
                  </w:pPr>
                  <w:r>
                    <w:rPr>
                      <w:rFonts w:hint="eastAsia"/>
                      <w:color w:val="00B0F0"/>
                      <w:szCs w:val="18"/>
                    </w:rPr>
                    <w:t>3</w:t>
                  </w:r>
                </w:p>
              </w:tc>
              <w:tc>
                <w:tcPr>
                  <w:tcW w:w="474" w:type="pct"/>
                  <w:tcBorders>
                    <w:top w:val="single" w:color="auto" w:sz="4" w:space="0"/>
                    <w:left w:val="single" w:color="auto" w:sz="4" w:space="0"/>
                    <w:bottom w:val="single" w:color="auto" w:sz="4" w:space="0"/>
                    <w:right w:val="single" w:color="auto" w:sz="4" w:space="0"/>
                  </w:tcBorders>
                  <w:vAlign w:val="center"/>
                </w:tcPr>
                <w:p>
                  <w:pPr>
                    <w:spacing w:line="280" w:lineRule="exact"/>
                    <w:jc w:val="center"/>
                    <w:rPr>
                      <w:color w:val="00B0F0"/>
                    </w:rPr>
                  </w:pPr>
                  <w:r>
                    <w:rPr>
                      <w:rFonts w:hint="eastAsia"/>
                      <w:szCs w:val="21"/>
                    </w:rPr>
                    <w:t>84</w:t>
                  </w:r>
                </w:p>
              </w:tc>
              <w:tc>
                <w:tcPr>
                  <w:tcW w:w="474" w:type="pct"/>
                  <w:tcBorders>
                    <w:top w:val="single" w:color="auto" w:sz="4" w:space="0"/>
                    <w:left w:val="single" w:color="auto" w:sz="4" w:space="0"/>
                    <w:bottom w:val="single" w:color="auto" w:sz="4" w:space="0"/>
                    <w:right w:val="single" w:color="auto" w:sz="4" w:space="0"/>
                  </w:tcBorders>
                  <w:vAlign w:val="center"/>
                </w:tcPr>
                <w:p>
                  <w:pPr>
                    <w:spacing w:line="280" w:lineRule="exact"/>
                    <w:jc w:val="center"/>
                    <w:rPr>
                      <w:color w:val="00B0F0"/>
                    </w:rPr>
                  </w:pPr>
                  <w:r>
                    <w:rPr>
                      <w:rFonts w:hint="eastAsia"/>
                      <w:color w:val="00B0F0"/>
                    </w:rPr>
                    <w:t>NW</w:t>
                  </w:r>
                </w:p>
              </w:tc>
              <w:tc>
                <w:tcPr>
                  <w:tcW w:w="696" w:type="pct"/>
                  <w:vMerge w:val="continue"/>
                  <w:tcBorders>
                    <w:left w:val="single" w:color="auto" w:sz="4" w:space="0"/>
                    <w:right w:val="single" w:color="auto" w:sz="4" w:space="0"/>
                  </w:tcBorders>
                  <w:vAlign w:val="center"/>
                </w:tcPr>
                <w:p>
                  <w:pPr>
                    <w:pStyle w:val="90"/>
                    <w:spacing w:line="240" w:lineRule="auto"/>
                    <w:rPr>
                      <w:color w:val="00B0F0"/>
                      <w:szCs w:val="18"/>
                    </w:rPr>
                  </w:pPr>
                </w:p>
              </w:tc>
              <w:tc>
                <w:tcPr>
                  <w:tcW w:w="727" w:type="pct"/>
                  <w:tcBorders>
                    <w:top w:val="single" w:color="auto" w:sz="4" w:space="0"/>
                    <w:left w:val="single" w:color="auto" w:sz="4" w:space="0"/>
                    <w:bottom w:val="single" w:color="auto" w:sz="4" w:space="0"/>
                    <w:right w:val="single" w:color="auto" w:sz="4" w:space="0"/>
                  </w:tcBorders>
                  <w:vAlign w:val="center"/>
                </w:tcPr>
                <w:p>
                  <w:pPr>
                    <w:jc w:val="center"/>
                    <w:rPr>
                      <w:color w:val="00B0F0"/>
                      <w:sz w:val="22"/>
                    </w:rPr>
                  </w:pPr>
                  <w:r>
                    <w:rPr>
                      <w:rFonts w:eastAsia="等线"/>
                      <w:szCs w:val="21"/>
                    </w:rPr>
                    <w:t>2</w:t>
                  </w:r>
                  <w:r>
                    <w:rPr>
                      <w:szCs w:val="21"/>
                    </w:rPr>
                    <w:t>户，</w:t>
                  </w:r>
                  <w:r>
                    <w:rPr>
                      <w:rFonts w:eastAsia="等线"/>
                      <w:szCs w:val="21"/>
                    </w:rPr>
                    <w:t>8</w:t>
                  </w:r>
                  <w:r>
                    <w:rPr>
                      <w:szCs w:val="21"/>
                    </w:rPr>
                    <w:t>口人</w:t>
                  </w:r>
                </w:p>
              </w:tc>
            </w:tr>
          </w:tbl>
          <w:p>
            <w:pPr>
              <w:adjustRightInd w:val="0"/>
              <w:snapToGrid w:val="0"/>
              <w:spacing w:line="360" w:lineRule="auto"/>
              <w:ind w:firstLine="420" w:firstLineChars="200"/>
              <w:rPr>
                <w:kern w:val="0"/>
                <w:szCs w:val="21"/>
              </w:rPr>
            </w:pPr>
          </w:p>
          <w:p>
            <w:pPr>
              <w:adjustRightInd w:val="0"/>
              <w:snapToGrid w:val="0"/>
              <w:spacing w:line="360" w:lineRule="auto"/>
              <w:ind w:firstLine="420" w:firstLineChars="200"/>
              <w:rPr>
                <w:kern w:val="0"/>
                <w:szCs w:val="21"/>
              </w:rPr>
            </w:pPr>
            <w:r>
              <w:rPr>
                <w:kern w:val="0"/>
                <w:szCs w:val="21"/>
              </w:rPr>
              <w:t>6、环境风险敏感目标</w:t>
            </w:r>
          </w:p>
          <w:p>
            <w:pPr>
              <w:adjustRightInd w:val="0"/>
              <w:snapToGrid w:val="0"/>
              <w:spacing w:line="360" w:lineRule="auto"/>
              <w:ind w:firstLine="420" w:firstLineChars="200"/>
              <w:rPr>
                <w:kern w:val="0"/>
                <w:szCs w:val="21"/>
              </w:rPr>
            </w:pPr>
            <w:r>
              <w:rPr>
                <w:kern w:val="0"/>
                <w:szCs w:val="21"/>
              </w:rPr>
              <w:t>井场</w:t>
            </w:r>
            <w:r>
              <w:rPr>
                <w:rFonts w:hint="eastAsia"/>
                <w:kern w:val="0"/>
                <w:szCs w:val="21"/>
              </w:rPr>
              <w:t>环境风险敏感目标</w:t>
            </w:r>
            <w:r>
              <w:rPr>
                <w:kern w:val="0"/>
                <w:szCs w:val="21"/>
              </w:rPr>
              <w:t>分布情况</w:t>
            </w:r>
            <w:r>
              <w:rPr>
                <w:rFonts w:hint="eastAsia"/>
                <w:kern w:val="0"/>
                <w:szCs w:val="21"/>
              </w:rPr>
              <w:t>。</w:t>
            </w:r>
          </w:p>
          <w:p>
            <w:pPr>
              <w:pStyle w:val="331"/>
              <w:numPr>
                <w:ilvl w:val="0"/>
                <w:numId w:val="6"/>
              </w:numPr>
              <w:adjustRightInd w:val="0"/>
              <w:snapToGrid w:val="0"/>
              <w:spacing w:line="360" w:lineRule="auto"/>
              <w:ind w:left="0" w:firstLine="0" w:firstLineChars="0"/>
              <w:jc w:val="center"/>
              <w:rPr>
                <w:b/>
                <w:bCs/>
                <w:kern w:val="0"/>
                <w:szCs w:val="21"/>
              </w:rPr>
            </w:pPr>
            <w:r>
              <w:rPr>
                <w:rFonts w:hint="eastAsia"/>
                <w:b/>
                <w:bCs/>
                <w:kern w:val="0"/>
                <w:szCs w:val="21"/>
              </w:rPr>
              <w:t>环境风险保护目标表</w:t>
            </w:r>
          </w:p>
          <w:tbl>
            <w:tblPr>
              <w:tblStyle w:val="42"/>
              <w:tblpPr w:vertAnchor="text" w:tblpXSpec="center" w:tblpY="1"/>
              <w:tblW w:w="5000" w:type="pct"/>
              <w:tblInd w:w="0"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533"/>
              <w:gridCol w:w="1542"/>
              <w:gridCol w:w="2230"/>
              <w:gridCol w:w="3712"/>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332" w:type="pct"/>
                  <w:tcBorders>
                    <w:top w:val="single" w:color="auto" w:sz="6" w:space="0"/>
                    <w:left w:val="single" w:color="auto" w:sz="8" w:space="0"/>
                    <w:bottom w:val="single" w:color="auto" w:sz="6" w:space="0"/>
                    <w:right w:val="single" w:color="auto" w:sz="6" w:space="0"/>
                  </w:tcBorders>
                  <w:vAlign w:val="center"/>
                </w:tcPr>
                <w:p>
                  <w:pPr>
                    <w:pStyle w:val="90"/>
                    <w:spacing w:line="240" w:lineRule="auto"/>
                    <w:rPr>
                      <w:kern w:val="0"/>
                      <w:szCs w:val="21"/>
                    </w:rPr>
                  </w:pPr>
                  <w:r>
                    <w:rPr>
                      <w:rFonts w:hint="eastAsia"/>
                      <w:szCs w:val="21"/>
                    </w:rPr>
                    <w:t>序号</w:t>
                  </w:r>
                </w:p>
              </w:tc>
              <w:tc>
                <w:tcPr>
                  <w:tcW w:w="962" w:type="pct"/>
                  <w:tcBorders>
                    <w:top w:val="single" w:color="auto" w:sz="6" w:space="0"/>
                    <w:left w:val="single" w:color="auto" w:sz="6" w:space="0"/>
                    <w:bottom w:val="single" w:color="auto" w:sz="6" w:space="0"/>
                    <w:right w:val="single" w:color="auto" w:sz="6" w:space="0"/>
                  </w:tcBorders>
                  <w:vAlign w:val="center"/>
                </w:tcPr>
                <w:p>
                  <w:pPr>
                    <w:pStyle w:val="90"/>
                    <w:spacing w:line="240" w:lineRule="auto"/>
                    <w:rPr>
                      <w:szCs w:val="21"/>
                    </w:rPr>
                  </w:pPr>
                  <w:r>
                    <w:rPr>
                      <w:rFonts w:hint="eastAsia"/>
                      <w:szCs w:val="21"/>
                    </w:rPr>
                    <w:t>名称</w:t>
                  </w:r>
                </w:p>
              </w:tc>
              <w:tc>
                <w:tcPr>
                  <w:tcW w:w="1391" w:type="pct"/>
                  <w:tcBorders>
                    <w:top w:val="single" w:color="auto" w:sz="6" w:space="0"/>
                    <w:left w:val="single" w:color="auto" w:sz="6" w:space="0"/>
                    <w:bottom w:val="single" w:color="auto" w:sz="6" w:space="0"/>
                    <w:right w:val="single" w:color="auto" w:sz="6" w:space="0"/>
                  </w:tcBorders>
                  <w:vAlign w:val="center"/>
                </w:tcPr>
                <w:p>
                  <w:pPr>
                    <w:pStyle w:val="90"/>
                    <w:spacing w:line="240" w:lineRule="auto"/>
                    <w:rPr>
                      <w:szCs w:val="21"/>
                    </w:rPr>
                  </w:pPr>
                  <w:r>
                    <w:rPr>
                      <w:rFonts w:hint="eastAsia"/>
                      <w:szCs w:val="21"/>
                    </w:rPr>
                    <w:t>位置关系</w:t>
                  </w:r>
                </w:p>
              </w:tc>
              <w:tc>
                <w:tcPr>
                  <w:tcW w:w="2315" w:type="pct"/>
                  <w:tcBorders>
                    <w:top w:val="single" w:color="auto" w:sz="6" w:space="0"/>
                    <w:left w:val="single" w:color="auto" w:sz="6" w:space="0"/>
                    <w:bottom w:val="single" w:color="auto" w:sz="6" w:space="0"/>
                    <w:right w:val="single" w:color="auto" w:sz="8" w:space="0"/>
                  </w:tcBorders>
                  <w:vAlign w:val="center"/>
                </w:tcPr>
                <w:p>
                  <w:pPr>
                    <w:pStyle w:val="90"/>
                    <w:spacing w:line="240" w:lineRule="auto"/>
                    <w:rPr>
                      <w:szCs w:val="21"/>
                    </w:rPr>
                  </w:pPr>
                  <w:r>
                    <w:rPr>
                      <w:rFonts w:hint="eastAsia"/>
                      <w:szCs w:val="21"/>
                    </w:rPr>
                    <w:t>环境敏感特性</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332" w:type="pct"/>
                  <w:tcBorders>
                    <w:top w:val="single" w:color="auto" w:sz="6" w:space="0"/>
                    <w:left w:val="single" w:color="auto" w:sz="8" w:space="0"/>
                    <w:bottom w:val="single" w:color="auto" w:sz="6" w:space="0"/>
                    <w:right w:val="single" w:color="auto" w:sz="6" w:space="0"/>
                  </w:tcBorders>
                  <w:vAlign w:val="center"/>
                </w:tcPr>
                <w:p>
                  <w:pPr>
                    <w:pStyle w:val="90"/>
                    <w:spacing w:line="240" w:lineRule="auto"/>
                    <w:rPr>
                      <w:szCs w:val="21"/>
                    </w:rPr>
                  </w:pPr>
                  <w:r>
                    <w:rPr>
                      <w:szCs w:val="21"/>
                    </w:rPr>
                    <w:t>1</w:t>
                  </w:r>
                </w:p>
              </w:tc>
              <w:tc>
                <w:tcPr>
                  <w:tcW w:w="962" w:type="pct"/>
                  <w:tcBorders>
                    <w:top w:val="single" w:color="auto" w:sz="6" w:space="0"/>
                    <w:left w:val="single" w:color="auto" w:sz="6" w:space="0"/>
                    <w:bottom w:val="single" w:color="auto" w:sz="6" w:space="0"/>
                    <w:right w:val="single" w:color="auto" w:sz="6" w:space="0"/>
                  </w:tcBorders>
                  <w:vAlign w:val="center"/>
                </w:tcPr>
                <w:p>
                  <w:pPr>
                    <w:pStyle w:val="90"/>
                    <w:spacing w:line="240" w:lineRule="auto"/>
                    <w:rPr>
                      <w:szCs w:val="21"/>
                    </w:rPr>
                  </w:pPr>
                  <w:r>
                    <w:rPr>
                      <w:rFonts w:hint="eastAsia"/>
                      <w:szCs w:val="21"/>
                    </w:rPr>
                    <w:t>苏坪村</w:t>
                  </w:r>
                </w:p>
              </w:tc>
              <w:tc>
                <w:tcPr>
                  <w:tcW w:w="1391" w:type="pct"/>
                  <w:tcBorders>
                    <w:top w:val="single" w:color="auto" w:sz="6" w:space="0"/>
                    <w:left w:val="single" w:color="auto" w:sz="6" w:space="0"/>
                    <w:bottom w:val="single" w:color="auto" w:sz="6" w:space="0"/>
                    <w:right w:val="single" w:color="auto" w:sz="6" w:space="0"/>
                  </w:tcBorders>
                  <w:vAlign w:val="center"/>
                </w:tcPr>
                <w:p>
                  <w:pPr>
                    <w:pStyle w:val="90"/>
                    <w:spacing w:line="240" w:lineRule="auto"/>
                    <w:rPr>
                      <w:szCs w:val="21"/>
                    </w:rPr>
                  </w:pPr>
                  <w:r>
                    <w:rPr>
                      <w:rFonts w:hint="eastAsia"/>
                      <w:szCs w:val="21"/>
                    </w:rPr>
                    <w:t>井口5</w:t>
                  </w:r>
                  <w:r>
                    <w:rPr>
                      <w:szCs w:val="21"/>
                    </w:rPr>
                    <w:t>00</w:t>
                  </w:r>
                  <w:r>
                    <w:rPr>
                      <w:rFonts w:hint="eastAsia"/>
                      <w:szCs w:val="21"/>
                    </w:rPr>
                    <w:t>m范围内分布</w:t>
                  </w:r>
                </w:p>
              </w:tc>
              <w:tc>
                <w:tcPr>
                  <w:tcW w:w="2315" w:type="pct"/>
                  <w:tcBorders>
                    <w:top w:val="single" w:color="auto" w:sz="6" w:space="0"/>
                    <w:left w:val="single" w:color="auto" w:sz="6" w:space="0"/>
                    <w:bottom w:val="single" w:color="auto" w:sz="6" w:space="0"/>
                    <w:right w:val="single" w:color="auto" w:sz="8" w:space="0"/>
                  </w:tcBorders>
                  <w:vAlign w:val="center"/>
                </w:tcPr>
                <w:p>
                  <w:pPr>
                    <w:pStyle w:val="90"/>
                    <w:spacing w:line="240" w:lineRule="auto"/>
                    <w:rPr>
                      <w:szCs w:val="21"/>
                    </w:rPr>
                  </w:pPr>
                  <w:r>
                    <w:rPr>
                      <w:rFonts w:hint="eastAsia"/>
                      <w:szCs w:val="21"/>
                    </w:rPr>
                    <w:t>分散居民，约200人</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369" w:hRule="atLeast"/>
              </w:trPr>
              <w:tc>
                <w:tcPr>
                  <w:tcW w:w="332" w:type="pct"/>
                  <w:tcBorders>
                    <w:top w:val="single" w:color="auto" w:sz="6" w:space="0"/>
                    <w:left w:val="single" w:color="auto" w:sz="8" w:space="0"/>
                    <w:bottom w:val="single" w:color="auto" w:sz="6" w:space="0"/>
                    <w:right w:val="single" w:color="auto" w:sz="6" w:space="0"/>
                  </w:tcBorders>
                  <w:vAlign w:val="center"/>
                </w:tcPr>
                <w:p>
                  <w:pPr>
                    <w:pStyle w:val="90"/>
                    <w:spacing w:line="240" w:lineRule="auto"/>
                    <w:rPr>
                      <w:szCs w:val="21"/>
                    </w:rPr>
                  </w:pPr>
                  <w:r>
                    <w:rPr>
                      <w:rFonts w:hint="eastAsia"/>
                      <w:szCs w:val="21"/>
                    </w:rPr>
                    <w:t>2</w:t>
                  </w:r>
                </w:p>
              </w:tc>
              <w:tc>
                <w:tcPr>
                  <w:tcW w:w="962" w:type="pct"/>
                  <w:tcBorders>
                    <w:top w:val="single" w:color="auto" w:sz="6" w:space="0"/>
                    <w:left w:val="single" w:color="auto" w:sz="6" w:space="0"/>
                    <w:bottom w:val="single" w:color="auto" w:sz="6" w:space="0"/>
                    <w:right w:val="single" w:color="auto" w:sz="6" w:space="0"/>
                  </w:tcBorders>
                  <w:vAlign w:val="center"/>
                </w:tcPr>
                <w:p>
                  <w:pPr>
                    <w:pStyle w:val="90"/>
                    <w:spacing w:line="240" w:lineRule="auto"/>
                    <w:rPr>
                      <w:szCs w:val="21"/>
                    </w:rPr>
                  </w:pPr>
                  <w:r>
                    <w:rPr>
                      <w:rFonts w:hint="eastAsia"/>
                      <w:szCs w:val="21"/>
                    </w:rPr>
                    <w:t>北山镇镇政府</w:t>
                  </w:r>
                </w:p>
              </w:tc>
              <w:tc>
                <w:tcPr>
                  <w:tcW w:w="1391" w:type="pct"/>
                  <w:tcBorders>
                    <w:top w:val="single" w:color="auto" w:sz="6" w:space="0"/>
                    <w:left w:val="single" w:color="auto" w:sz="6" w:space="0"/>
                    <w:bottom w:val="single" w:color="auto" w:sz="6" w:space="0"/>
                    <w:right w:val="single" w:color="auto" w:sz="6" w:space="0"/>
                  </w:tcBorders>
                  <w:vAlign w:val="center"/>
                </w:tcPr>
                <w:p>
                  <w:pPr>
                    <w:pStyle w:val="90"/>
                    <w:spacing w:line="240" w:lineRule="auto"/>
                    <w:rPr>
                      <w:szCs w:val="21"/>
                    </w:rPr>
                  </w:pPr>
                  <w:r>
                    <w:rPr>
                      <w:rFonts w:hint="eastAsia"/>
                      <w:szCs w:val="21"/>
                    </w:rPr>
                    <w:t>位于</w:t>
                  </w:r>
                  <w:r>
                    <w:rPr>
                      <w:szCs w:val="21"/>
                    </w:rPr>
                    <w:t>井口</w:t>
                  </w:r>
                  <w:r>
                    <w:rPr>
                      <w:rFonts w:hint="eastAsia"/>
                      <w:szCs w:val="21"/>
                    </w:rPr>
                    <w:t>东北侧3138</w:t>
                  </w:r>
                  <w:r>
                    <w:rPr>
                      <w:szCs w:val="21"/>
                    </w:rPr>
                    <w:t>m</w:t>
                  </w:r>
                </w:p>
              </w:tc>
              <w:tc>
                <w:tcPr>
                  <w:tcW w:w="2315" w:type="pct"/>
                  <w:tcBorders>
                    <w:top w:val="single" w:color="auto" w:sz="6" w:space="0"/>
                    <w:left w:val="single" w:color="auto" w:sz="6" w:space="0"/>
                    <w:bottom w:val="single" w:color="auto" w:sz="6" w:space="0"/>
                    <w:right w:val="single" w:color="auto" w:sz="8" w:space="0"/>
                  </w:tcBorders>
                  <w:vAlign w:val="center"/>
                </w:tcPr>
                <w:p>
                  <w:pPr>
                    <w:pStyle w:val="90"/>
                    <w:spacing w:line="240" w:lineRule="auto"/>
                    <w:rPr>
                      <w:szCs w:val="21"/>
                    </w:rPr>
                  </w:pPr>
                  <w:r>
                    <w:rPr>
                      <w:rFonts w:hint="eastAsia"/>
                      <w:szCs w:val="21"/>
                    </w:rPr>
                    <w:t>约10</w:t>
                  </w:r>
                  <w:r>
                    <w:rPr>
                      <w:szCs w:val="21"/>
                    </w:rPr>
                    <w:t>0</w:t>
                  </w:r>
                  <w:r>
                    <w:rPr>
                      <w:rFonts w:hint="eastAsia"/>
                      <w:szCs w:val="21"/>
                    </w:rPr>
                    <w:t>0人</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332" w:type="pct"/>
                  <w:tcBorders>
                    <w:top w:val="single" w:color="auto" w:sz="6" w:space="0"/>
                    <w:left w:val="single" w:color="auto" w:sz="8" w:space="0"/>
                    <w:bottom w:val="single" w:color="auto" w:sz="6" w:space="0"/>
                    <w:right w:val="single" w:color="auto" w:sz="6" w:space="0"/>
                  </w:tcBorders>
                  <w:vAlign w:val="center"/>
                </w:tcPr>
                <w:p>
                  <w:pPr>
                    <w:pStyle w:val="90"/>
                    <w:spacing w:line="240" w:lineRule="auto"/>
                    <w:rPr>
                      <w:szCs w:val="21"/>
                    </w:rPr>
                  </w:pPr>
                  <w:r>
                    <w:rPr>
                      <w:rFonts w:hint="eastAsia"/>
                      <w:szCs w:val="21"/>
                    </w:rPr>
                    <w:t>3</w:t>
                  </w:r>
                </w:p>
              </w:tc>
              <w:tc>
                <w:tcPr>
                  <w:tcW w:w="962" w:type="pct"/>
                  <w:tcBorders>
                    <w:top w:val="single" w:color="auto" w:sz="6" w:space="0"/>
                    <w:left w:val="single" w:color="auto" w:sz="6" w:space="0"/>
                    <w:bottom w:val="single" w:color="auto" w:sz="6" w:space="0"/>
                    <w:right w:val="single" w:color="auto" w:sz="6" w:space="0"/>
                  </w:tcBorders>
                  <w:vAlign w:val="center"/>
                </w:tcPr>
                <w:p>
                  <w:pPr>
                    <w:pStyle w:val="90"/>
                    <w:spacing w:line="240" w:lineRule="auto"/>
                    <w:rPr>
                      <w:szCs w:val="21"/>
                    </w:rPr>
                  </w:pPr>
                  <w:r>
                    <w:rPr>
                      <w:rFonts w:hint="eastAsia"/>
                      <w:szCs w:val="21"/>
                    </w:rPr>
                    <w:t>北山镇中心学校</w:t>
                  </w:r>
                </w:p>
              </w:tc>
              <w:tc>
                <w:tcPr>
                  <w:tcW w:w="1391" w:type="pct"/>
                  <w:tcBorders>
                    <w:top w:val="single" w:color="auto" w:sz="6" w:space="0"/>
                    <w:left w:val="single" w:color="auto" w:sz="6" w:space="0"/>
                    <w:bottom w:val="single" w:color="auto" w:sz="6" w:space="0"/>
                    <w:right w:val="single" w:color="auto" w:sz="6" w:space="0"/>
                  </w:tcBorders>
                  <w:vAlign w:val="center"/>
                </w:tcPr>
                <w:p>
                  <w:pPr>
                    <w:pStyle w:val="90"/>
                    <w:spacing w:line="240" w:lineRule="auto"/>
                    <w:rPr>
                      <w:szCs w:val="21"/>
                    </w:rPr>
                  </w:pPr>
                  <w:r>
                    <w:rPr>
                      <w:rFonts w:hint="eastAsia"/>
                      <w:szCs w:val="21"/>
                    </w:rPr>
                    <w:t>位于</w:t>
                  </w:r>
                  <w:r>
                    <w:rPr>
                      <w:szCs w:val="21"/>
                    </w:rPr>
                    <w:t>井口东北侧</w:t>
                  </w:r>
                  <w:r>
                    <w:rPr>
                      <w:rFonts w:hint="eastAsia"/>
                      <w:szCs w:val="21"/>
                    </w:rPr>
                    <w:t>3086</w:t>
                  </w:r>
                  <w:r>
                    <w:rPr>
                      <w:szCs w:val="21"/>
                    </w:rPr>
                    <w:t>m</w:t>
                  </w:r>
                </w:p>
              </w:tc>
              <w:tc>
                <w:tcPr>
                  <w:tcW w:w="2315" w:type="pct"/>
                  <w:tcBorders>
                    <w:top w:val="single" w:color="auto" w:sz="6" w:space="0"/>
                    <w:left w:val="single" w:color="auto" w:sz="6" w:space="0"/>
                    <w:bottom w:val="single" w:color="auto" w:sz="6" w:space="0"/>
                    <w:right w:val="single" w:color="auto" w:sz="8" w:space="0"/>
                  </w:tcBorders>
                  <w:vAlign w:val="center"/>
                </w:tcPr>
                <w:p>
                  <w:pPr>
                    <w:pStyle w:val="90"/>
                    <w:spacing w:line="240" w:lineRule="auto"/>
                    <w:rPr>
                      <w:szCs w:val="21"/>
                    </w:rPr>
                  </w:pPr>
                  <w:r>
                    <w:rPr>
                      <w:rFonts w:hint="eastAsia"/>
                      <w:szCs w:val="21"/>
                    </w:rPr>
                    <w:t>约100人</w:t>
                  </w:r>
                </w:p>
              </w:tc>
            </w:tr>
          </w:tbl>
          <w:p>
            <w:pPr>
              <w:adjustRightInd w:val="0"/>
              <w:snapToGrid w:val="0"/>
              <w:spacing w:line="360" w:lineRule="auto"/>
              <w:ind w:firstLine="420" w:firstLineChars="200"/>
              <w:rPr>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630" w:hRule="atLeast"/>
          <w:jc w:val="center"/>
        </w:trPr>
        <w:tc>
          <w:tcPr>
            <w:tcW w:w="904" w:type="dxa"/>
            <w:vAlign w:val="center"/>
          </w:tcPr>
          <w:p>
            <w:pPr>
              <w:adjustRightInd w:val="0"/>
              <w:snapToGrid w:val="0"/>
              <w:jc w:val="center"/>
              <w:rPr>
                <w:kern w:val="0"/>
                <w:szCs w:val="21"/>
              </w:rPr>
            </w:pPr>
            <w:r>
              <w:rPr>
                <w:kern w:val="0"/>
                <w:szCs w:val="21"/>
              </w:rPr>
              <w:t>评价</w:t>
            </w:r>
          </w:p>
          <w:p>
            <w:pPr>
              <w:adjustRightInd w:val="0"/>
              <w:snapToGrid w:val="0"/>
              <w:jc w:val="center"/>
              <w:rPr>
                <w:kern w:val="0"/>
                <w:szCs w:val="21"/>
              </w:rPr>
            </w:pPr>
            <w:r>
              <w:rPr>
                <w:kern w:val="0"/>
                <w:szCs w:val="21"/>
              </w:rPr>
              <w:t>标准</w:t>
            </w:r>
          </w:p>
        </w:tc>
        <w:tc>
          <w:tcPr>
            <w:tcW w:w="8253" w:type="dxa"/>
          </w:tcPr>
          <w:p>
            <w:pPr>
              <w:spacing w:line="360" w:lineRule="auto"/>
              <w:rPr>
                <w:b/>
                <w:bCs/>
                <w:szCs w:val="21"/>
              </w:rPr>
            </w:pPr>
            <w:r>
              <w:rPr>
                <w:b/>
                <w:bCs/>
                <w:szCs w:val="21"/>
              </w:rPr>
              <w:t>3.5环境质量标准</w:t>
            </w:r>
          </w:p>
          <w:p>
            <w:pPr>
              <w:spacing w:line="360" w:lineRule="auto"/>
              <w:ind w:firstLine="420" w:firstLineChars="200"/>
              <w:rPr>
                <w:szCs w:val="21"/>
              </w:rPr>
            </w:pPr>
            <w:r>
              <w:rPr>
                <w:szCs w:val="21"/>
              </w:rPr>
              <w:t>1、环境空气</w:t>
            </w:r>
          </w:p>
          <w:p>
            <w:pPr>
              <w:spacing w:line="360" w:lineRule="auto"/>
              <w:ind w:firstLine="420" w:firstLineChars="200"/>
              <w:jc w:val="left"/>
              <w:rPr>
                <w:szCs w:val="21"/>
              </w:rPr>
            </w:pPr>
            <w:bookmarkStart w:id="28" w:name="OLE_LINK67"/>
            <w:r>
              <w:rPr>
                <w:szCs w:val="21"/>
              </w:rPr>
              <w:t>项目所在区域环境空气质量功能区划为2类区，相关的主要标准值见</w:t>
            </w:r>
            <w:r>
              <w:rPr>
                <w:rFonts w:hint="eastAsia"/>
                <w:szCs w:val="21"/>
              </w:rPr>
              <w:t>下表</w:t>
            </w:r>
            <w:r>
              <w:rPr>
                <w:szCs w:val="21"/>
              </w:rPr>
              <w:t>。</w:t>
            </w:r>
          </w:p>
          <w:p>
            <w:pPr>
              <w:pStyle w:val="331"/>
              <w:numPr>
                <w:ilvl w:val="0"/>
                <w:numId w:val="6"/>
              </w:numPr>
              <w:adjustRightInd w:val="0"/>
              <w:snapToGrid w:val="0"/>
              <w:spacing w:line="360" w:lineRule="auto"/>
              <w:ind w:left="0" w:firstLine="0" w:firstLineChars="0"/>
              <w:jc w:val="center"/>
              <w:rPr>
                <w:b/>
                <w:bCs/>
                <w:kern w:val="0"/>
                <w:szCs w:val="21"/>
              </w:rPr>
            </w:pPr>
            <w:r>
              <w:rPr>
                <w:b/>
                <w:bCs/>
                <w:kern w:val="0"/>
                <w:szCs w:val="21"/>
              </w:rPr>
              <w:t>环境空气质量标准</w:t>
            </w:r>
          </w:p>
          <w:tbl>
            <w:tblPr>
              <w:tblStyle w:val="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2"/>
              <w:gridCol w:w="1897"/>
              <w:gridCol w:w="1524"/>
              <w:gridCol w:w="31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2" w:type="dxa"/>
                  <w:vAlign w:val="center"/>
                </w:tcPr>
                <w:p>
                  <w:pPr>
                    <w:jc w:val="center"/>
                    <w:rPr>
                      <w:b/>
                      <w:bCs/>
                      <w:szCs w:val="21"/>
                    </w:rPr>
                  </w:pPr>
                  <w:r>
                    <w:rPr>
                      <w:b/>
                      <w:bCs/>
                      <w:szCs w:val="21"/>
                    </w:rPr>
                    <w:t>污染物</w:t>
                  </w:r>
                </w:p>
              </w:tc>
              <w:tc>
                <w:tcPr>
                  <w:tcW w:w="1897" w:type="dxa"/>
                  <w:vAlign w:val="center"/>
                </w:tcPr>
                <w:p>
                  <w:pPr>
                    <w:jc w:val="center"/>
                    <w:rPr>
                      <w:b/>
                      <w:bCs/>
                      <w:szCs w:val="21"/>
                    </w:rPr>
                  </w:pPr>
                  <w:r>
                    <w:rPr>
                      <w:b/>
                      <w:bCs/>
                      <w:szCs w:val="21"/>
                    </w:rPr>
                    <w:t>平均时间</w:t>
                  </w:r>
                </w:p>
              </w:tc>
              <w:tc>
                <w:tcPr>
                  <w:tcW w:w="1524" w:type="dxa"/>
                  <w:vAlign w:val="center"/>
                </w:tcPr>
                <w:p>
                  <w:pPr>
                    <w:jc w:val="center"/>
                    <w:rPr>
                      <w:b/>
                      <w:bCs/>
                      <w:szCs w:val="21"/>
                    </w:rPr>
                  </w:pPr>
                  <w:r>
                    <w:rPr>
                      <w:b/>
                      <w:bCs/>
                      <w:szCs w:val="21"/>
                    </w:rPr>
                    <w:t>浓度限值</w:t>
                  </w:r>
                </w:p>
              </w:tc>
              <w:tc>
                <w:tcPr>
                  <w:tcW w:w="3163" w:type="dxa"/>
                  <w:vAlign w:val="center"/>
                </w:tcPr>
                <w:p>
                  <w:pPr>
                    <w:jc w:val="center"/>
                    <w:rPr>
                      <w:b/>
                      <w:bCs/>
                      <w:szCs w:val="21"/>
                    </w:rPr>
                  </w:pPr>
                  <w:r>
                    <w:rPr>
                      <w:b/>
                      <w:bCs/>
                      <w:szCs w:val="21"/>
                    </w:rPr>
                    <w:t>选用标准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2" w:type="dxa"/>
                  <w:vMerge w:val="restart"/>
                  <w:vAlign w:val="center"/>
                </w:tcPr>
                <w:p>
                  <w:pPr>
                    <w:jc w:val="center"/>
                    <w:rPr>
                      <w:szCs w:val="21"/>
                    </w:rPr>
                  </w:pPr>
                  <w:r>
                    <w:rPr>
                      <w:szCs w:val="21"/>
                    </w:rPr>
                    <w:t>SO</w:t>
                  </w:r>
                  <w:r>
                    <w:rPr>
                      <w:szCs w:val="21"/>
                      <w:vertAlign w:val="subscript"/>
                    </w:rPr>
                    <w:t>2</w:t>
                  </w:r>
                </w:p>
              </w:tc>
              <w:tc>
                <w:tcPr>
                  <w:tcW w:w="1897" w:type="dxa"/>
                  <w:vAlign w:val="center"/>
                </w:tcPr>
                <w:p>
                  <w:pPr>
                    <w:jc w:val="center"/>
                    <w:rPr>
                      <w:szCs w:val="21"/>
                    </w:rPr>
                  </w:pPr>
                  <w:r>
                    <w:rPr>
                      <w:szCs w:val="21"/>
                    </w:rPr>
                    <w:t>年平均</w:t>
                  </w:r>
                </w:p>
              </w:tc>
              <w:tc>
                <w:tcPr>
                  <w:tcW w:w="1524" w:type="dxa"/>
                  <w:vAlign w:val="center"/>
                </w:tcPr>
                <w:p>
                  <w:pPr>
                    <w:jc w:val="center"/>
                    <w:rPr>
                      <w:szCs w:val="21"/>
                    </w:rPr>
                  </w:pPr>
                  <w:r>
                    <w:rPr>
                      <w:szCs w:val="21"/>
                    </w:rPr>
                    <w:t>60µg/m</w:t>
                  </w:r>
                  <w:r>
                    <w:rPr>
                      <w:szCs w:val="21"/>
                      <w:vertAlign w:val="superscript"/>
                    </w:rPr>
                    <w:t>3</w:t>
                  </w:r>
                </w:p>
              </w:tc>
              <w:tc>
                <w:tcPr>
                  <w:tcW w:w="3163" w:type="dxa"/>
                  <w:vMerge w:val="restart"/>
                  <w:vAlign w:val="center"/>
                </w:tcPr>
                <w:p>
                  <w:pPr>
                    <w:jc w:val="center"/>
                    <w:rPr>
                      <w:szCs w:val="21"/>
                    </w:rPr>
                  </w:pPr>
                  <w:r>
                    <w:rPr>
                      <w:szCs w:val="21"/>
                    </w:rPr>
                    <w:t>《环境空气质量标准》（GB3095-2012）二级标准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2" w:type="dxa"/>
                  <w:vMerge w:val="continue"/>
                  <w:vAlign w:val="center"/>
                </w:tcPr>
                <w:p>
                  <w:pPr>
                    <w:jc w:val="center"/>
                    <w:rPr>
                      <w:szCs w:val="21"/>
                    </w:rPr>
                  </w:pPr>
                </w:p>
              </w:tc>
              <w:tc>
                <w:tcPr>
                  <w:tcW w:w="1897" w:type="dxa"/>
                  <w:vAlign w:val="center"/>
                </w:tcPr>
                <w:p>
                  <w:pPr>
                    <w:jc w:val="center"/>
                    <w:rPr>
                      <w:szCs w:val="21"/>
                    </w:rPr>
                  </w:pPr>
                  <w:r>
                    <w:rPr>
                      <w:szCs w:val="21"/>
                    </w:rPr>
                    <w:t>24小时平均</w:t>
                  </w:r>
                </w:p>
              </w:tc>
              <w:tc>
                <w:tcPr>
                  <w:tcW w:w="1524" w:type="dxa"/>
                  <w:vAlign w:val="center"/>
                </w:tcPr>
                <w:p>
                  <w:pPr>
                    <w:jc w:val="center"/>
                    <w:rPr>
                      <w:szCs w:val="21"/>
                    </w:rPr>
                  </w:pPr>
                  <w:r>
                    <w:rPr>
                      <w:szCs w:val="21"/>
                    </w:rPr>
                    <w:t>150µg/m</w:t>
                  </w:r>
                  <w:r>
                    <w:rPr>
                      <w:szCs w:val="21"/>
                      <w:vertAlign w:val="superscript"/>
                    </w:rPr>
                    <w:t>3</w:t>
                  </w:r>
                </w:p>
              </w:tc>
              <w:tc>
                <w:tcPr>
                  <w:tcW w:w="3163" w:type="dxa"/>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2" w:type="dxa"/>
                  <w:vMerge w:val="continue"/>
                  <w:vAlign w:val="center"/>
                </w:tcPr>
                <w:p>
                  <w:pPr>
                    <w:jc w:val="center"/>
                    <w:rPr>
                      <w:szCs w:val="21"/>
                    </w:rPr>
                  </w:pPr>
                </w:p>
              </w:tc>
              <w:tc>
                <w:tcPr>
                  <w:tcW w:w="1897" w:type="dxa"/>
                  <w:vAlign w:val="center"/>
                </w:tcPr>
                <w:p>
                  <w:pPr>
                    <w:jc w:val="center"/>
                    <w:rPr>
                      <w:szCs w:val="21"/>
                    </w:rPr>
                  </w:pPr>
                  <w:r>
                    <w:rPr>
                      <w:szCs w:val="21"/>
                    </w:rPr>
                    <w:t>1小时平均</w:t>
                  </w:r>
                </w:p>
              </w:tc>
              <w:tc>
                <w:tcPr>
                  <w:tcW w:w="1524" w:type="dxa"/>
                  <w:vAlign w:val="center"/>
                </w:tcPr>
                <w:p>
                  <w:pPr>
                    <w:jc w:val="center"/>
                    <w:rPr>
                      <w:szCs w:val="21"/>
                    </w:rPr>
                  </w:pPr>
                  <w:r>
                    <w:rPr>
                      <w:szCs w:val="21"/>
                    </w:rPr>
                    <w:t>500µg/m</w:t>
                  </w:r>
                  <w:r>
                    <w:rPr>
                      <w:szCs w:val="21"/>
                      <w:vertAlign w:val="superscript"/>
                    </w:rPr>
                    <w:t>3</w:t>
                  </w:r>
                </w:p>
              </w:tc>
              <w:tc>
                <w:tcPr>
                  <w:tcW w:w="3163" w:type="dxa"/>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2" w:type="dxa"/>
                  <w:vMerge w:val="restart"/>
                  <w:vAlign w:val="center"/>
                </w:tcPr>
                <w:p>
                  <w:pPr>
                    <w:jc w:val="center"/>
                    <w:rPr>
                      <w:szCs w:val="21"/>
                    </w:rPr>
                  </w:pPr>
                  <w:r>
                    <w:rPr>
                      <w:szCs w:val="21"/>
                    </w:rPr>
                    <w:t>NO</w:t>
                  </w:r>
                  <w:r>
                    <w:rPr>
                      <w:szCs w:val="21"/>
                      <w:vertAlign w:val="subscript"/>
                    </w:rPr>
                    <w:t>2</w:t>
                  </w:r>
                </w:p>
              </w:tc>
              <w:tc>
                <w:tcPr>
                  <w:tcW w:w="1897" w:type="dxa"/>
                  <w:vAlign w:val="center"/>
                </w:tcPr>
                <w:p>
                  <w:pPr>
                    <w:jc w:val="center"/>
                    <w:rPr>
                      <w:szCs w:val="21"/>
                    </w:rPr>
                  </w:pPr>
                  <w:r>
                    <w:rPr>
                      <w:szCs w:val="21"/>
                    </w:rPr>
                    <w:t>年平均</w:t>
                  </w:r>
                </w:p>
              </w:tc>
              <w:tc>
                <w:tcPr>
                  <w:tcW w:w="1524" w:type="dxa"/>
                  <w:vAlign w:val="center"/>
                </w:tcPr>
                <w:p>
                  <w:pPr>
                    <w:jc w:val="center"/>
                    <w:rPr>
                      <w:szCs w:val="21"/>
                    </w:rPr>
                  </w:pPr>
                  <w:r>
                    <w:rPr>
                      <w:szCs w:val="21"/>
                    </w:rPr>
                    <w:t>40µg/m</w:t>
                  </w:r>
                  <w:r>
                    <w:rPr>
                      <w:szCs w:val="21"/>
                      <w:vertAlign w:val="superscript"/>
                    </w:rPr>
                    <w:t>3</w:t>
                  </w:r>
                </w:p>
              </w:tc>
              <w:tc>
                <w:tcPr>
                  <w:tcW w:w="3163" w:type="dxa"/>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2" w:type="dxa"/>
                  <w:vMerge w:val="continue"/>
                  <w:vAlign w:val="center"/>
                </w:tcPr>
                <w:p>
                  <w:pPr>
                    <w:jc w:val="center"/>
                    <w:rPr>
                      <w:szCs w:val="21"/>
                    </w:rPr>
                  </w:pPr>
                </w:p>
              </w:tc>
              <w:tc>
                <w:tcPr>
                  <w:tcW w:w="1897" w:type="dxa"/>
                  <w:vAlign w:val="center"/>
                </w:tcPr>
                <w:p>
                  <w:pPr>
                    <w:jc w:val="center"/>
                    <w:rPr>
                      <w:szCs w:val="21"/>
                    </w:rPr>
                  </w:pPr>
                  <w:r>
                    <w:rPr>
                      <w:szCs w:val="21"/>
                    </w:rPr>
                    <w:t>24小时平均</w:t>
                  </w:r>
                </w:p>
              </w:tc>
              <w:tc>
                <w:tcPr>
                  <w:tcW w:w="1524" w:type="dxa"/>
                  <w:vAlign w:val="center"/>
                </w:tcPr>
                <w:p>
                  <w:pPr>
                    <w:jc w:val="center"/>
                    <w:rPr>
                      <w:szCs w:val="21"/>
                    </w:rPr>
                  </w:pPr>
                  <w:r>
                    <w:rPr>
                      <w:szCs w:val="21"/>
                    </w:rPr>
                    <w:t>80µg/m</w:t>
                  </w:r>
                  <w:r>
                    <w:rPr>
                      <w:szCs w:val="21"/>
                      <w:vertAlign w:val="superscript"/>
                    </w:rPr>
                    <w:t>3</w:t>
                  </w:r>
                </w:p>
              </w:tc>
              <w:tc>
                <w:tcPr>
                  <w:tcW w:w="3163" w:type="dxa"/>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2" w:type="dxa"/>
                  <w:vMerge w:val="continue"/>
                  <w:vAlign w:val="center"/>
                </w:tcPr>
                <w:p>
                  <w:pPr>
                    <w:jc w:val="center"/>
                    <w:rPr>
                      <w:szCs w:val="21"/>
                    </w:rPr>
                  </w:pPr>
                </w:p>
              </w:tc>
              <w:tc>
                <w:tcPr>
                  <w:tcW w:w="1897" w:type="dxa"/>
                  <w:vAlign w:val="center"/>
                </w:tcPr>
                <w:p>
                  <w:pPr>
                    <w:jc w:val="center"/>
                    <w:rPr>
                      <w:szCs w:val="21"/>
                    </w:rPr>
                  </w:pPr>
                  <w:r>
                    <w:rPr>
                      <w:szCs w:val="21"/>
                    </w:rPr>
                    <w:t>1小时平均</w:t>
                  </w:r>
                </w:p>
              </w:tc>
              <w:tc>
                <w:tcPr>
                  <w:tcW w:w="1524" w:type="dxa"/>
                  <w:vAlign w:val="center"/>
                </w:tcPr>
                <w:p>
                  <w:pPr>
                    <w:jc w:val="center"/>
                    <w:rPr>
                      <w:szCs w:val="21"/>
                    </w:rPr>
                  </w:pPr>
                  <w:r>
                    <w:rPr>
                      <w:szCs w:val="21"/>
                    </w:rPr>
                    <w:t>200µg/m</w:t>
                  </w:r>
                  <w:r>
                    <w:rPr>
                      <w:szCs w:val="21"/>
                      <w:vertAlign w:val="superscript"/>
                    </w:rPr>
                    <w:t>3</w:t>
                  </w:r>
                </w:p>
              </w:tc>
              <w:tc>
                <w:tcPr>
                  <w:tcW w:w="3163" w:type="dxa"/>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2" w:type="dxa"/>
                  <w:vMerge w:val="restart"/>
                  <w:vAlign w:val="center"/>
                </w:tcPr>
                <w:p>
                  <w:pPr>
                    <w:jc w:val="center"/>
                    <w:rPr>
                      <w:szCs w:val="21"/>
                    </w:rPr>
                  </w:pPr>
                  <w:r>
                    <w:rPr>
                      <w:szCs w:val="21"/>
                    </w:rPr>
                    <w:t>CO</w:t>
                  </w:r>
                </w:p>
              </w:tc>
              <w:tc>
                <w:tcPr>
                  <w:tcW w:w="1897" w:type="dxa"/>
                  <w:vAlign w:val="center"/>
                </w:tcPr>
                <w:p>
                  <w:pPr>
                    <w:jc w:val="center"/>
                    <w:rPr>
                      <w:szCs w:val="21"/>
                    </w:rPr>
                  </w:pPr>
                  <w:r>
                    <w:rPr>
                      <w:szCs w:val="21"/>
                    </w:rPr>
                    <w:t>24小时平均</w:t>
                  </w:r>
                </w:p>
              </w:tc>
              <w:tc>
                <w:tcPr>
                  <w:tcW w:w="1524" w:type="dxa"/>
                  <w:vAlign w:val="center"/>
                </w:tcPr>
                <w:p>
                  <w:pPr>
                    <w:jc w:val="center"/>
                    <w:rPr>
                      <w:szCs w:val="21"/>
                    </w:rPr>
                  </w:pPr>
                  <w:r>
                    <w:rPr>
                      <w:szCs w:val="21"/>
                    </w:rPr>
                    <w:t>4mg/m</w:t>
                  </w:r>
                  <w:r>
                    <w:rPr>
                      <w:szCs w:val="21"/>
                      <w:vertAlign w:val="superscript"/>
                    </w:rPr>
                    <w:t>3</w:t>
                  </w:r>
                </w:p>
              </w:tc>
              <w:tc>
                <w:tcPr>
                  <w:tcW w:w="3163" w:type="dxa"/>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2" w:type="dxa"/>
                  <w:vMerge w:val="continue"/>
                  <w:vAlign w:val="center"/>
                </w:tcPr>
                <w:p>
                  <w:pPr>
                    <w:jc w:val="center"/>
                    <w:rPr>
                      <w:szCs w:val="21"/>
                    </w:rPr>
                  </w:pPr>
                </w:p>
              </w:tc>
              <w:tc>
                <w:tcPr>
                  <w:tcW w:w="1897" w:type="dxa"/>
                  <w:vAlign w:val="center"/>
                </w:tcPr>
                <w:p>
                  <w:pPr>
                    <w:jc w:val="center"/>
                    <w:rPr>
                      <w:szCs w:val="21"/>
                    </w:rPr>
                  </w:pPr>
                  <w:r>
                    <w:rPr>
                      <w:szCs w:val="21"/>
                    </w:rPr>
                    <w:t>1小时平均</w:t>
                  </w:r>
                </w:p>
              </w:tc>
              <w:tc>
                <w:tcPr>
                  <w:tcW w:w="1524" w:type="dxa"/>
                  <w:vAlign w:val="center"/>
                </w:tcPr>
                <w:p>
                  <w:pPr>
                    <w:jc w:val="center"/>
                    <w:rPr>
                      <w:szCs w:val="21"/>
                    </w:rPr>
                  </w:pPr>
                  <w:r>
                    <w:rPr>
                      <w:szCs w:val="21"/>
                    </w:rPr>
                    <w:t>10mg/m</w:t>
                  </w:r>
                  <w:r>
                    <w:rPr>
                      <w:szCs w:val="21"/>
                      <w:vertAlign w:val="superscript"/>
                    </w:rPr>
                    <w:t>3</w:t>
                  </w:r>
                </w:p>
              </w:tc>
              <w:tc>
                <w:tcPr>
                  <w:tcW w:w="3163" w:type="dxa"/>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2" w:type="dxa"/>
                  <w:vMerge w:val="restart"/>
                  <w:vAlign w:val="center"/>
                </w:tcPr>
                <w:p>
                  <w:pPr>
                    <w:jc w:val="center"/>
                    <w:rPr>
                      <w:szCs w:val="21"/>
                    </w:rPr>
                  </w:pPr>
                  <w:r>
                    <w:rPr>
                      <w:szCs w:val="21"/>
                    </w:rPr>
                    <w:t>O</w:t>
                  </w:r>
                  <w:r>
                    <w:rPr>
                      <w:szCs w:val="21"/>
                      <w:vertAlign w:val="subscript"/>
                    </w:rPr>
                    <w:t>3</w:t>
                  </w:r>
                </w:p>
              </w:tc>
              <w:tc>
                <w:tcPr>
                  <w:tcW w:w="1897" w:type="dxa"/>
                  <w:vAlign w:val="center"/>
                </w:tcPr>
                <w:p>
                  <w:pPr>
                    <w:jc w:val="center"/>
                    <w:rPr>
                      <w:szCs w:val="21"/>
                    </w:rPr>
                  </w:pPr>
                  <w:r>
                    <w:rPr>
                      <w:szCs w:val="21"/>
                    </w:rPr>
                    <w:t>日最大8小时平均</w:t>
                  </w:r>
                </w:p>
              </w:tc>
              <w:tc>
                <w:tcPr>
                  <w:tcW w:w="1524" w:type="dxa"/>
                  <w:vAlign w:val="center"/>
                </w:tcPr>
                <w:p>
                  <w:pPr>
                    <w:jc w:val="center"/>
                    <w:rPr>
                      <w:szCs w:val="21"/>
                    </w:rPr>
                  </w:pPr>
                  <w:r>
                    <w:rPr>
                      <w:szCs w:val="21"/>
                    </w:rPr>
                    <w:t>160µg/m</w:t>
                  </w:r>
                  <w:r>
                    <w:rPr>
                      <w:szCs w:val="21"/>
                      <w:vertAlign w:val="superscript"/>
                    </w:rPr>
                    <w:t>3</w:t>
                  </w:r>
                </w:p>
              </w:tc>
              <w:tc>
                <w:tcPr>
                  <w:tcW w:w="3163" w:type="dxa"/>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2" w:type="dxa"/>
                  <w:vMerge w:val="continue"/>
                  <w:vAlign w:val="center"/>
                </w:tcPr>
                <w:p>
                  <w:pPr>
                    <w:jc w:val="center"/>
                    <w:rPr>
                      <w:szCs w:val="21"/>
                    </w:rPr>
                  </w:pPr>
                </w:p>
              </w:tc>
              <w:tc>
                <w:tcPr>
                  <w:tcW w:w="1897" w:type="dxa"/>
                  <w:vAlign w:val="center"/>
                </w:tcPr>
                <w:p>
                  <w:pPr>
                    <w:jc w:val="center"/>
                    <w:rPr>
                      <w:szCs w:val="21"/>
                    </w:rPr>
                  </w:pPr>
                  <w:r>
                    <w:rPr>
                      <w:szCs w:val="21"/>
                    </w:rPr>
                    <w:t>1小时平均</w:t>
                  </w:r>
                </w:p>
              </w:tc>
              <w:tc>
                <w:tcPr>
                  <w:tcW w:w="1524" w:type="dxa"/>
                  <w:vAlign w:val="center"/>
                </w:tcPr>
                <w:p>
                  <w:pPr>
                    <w:jc w:val="center"/>
                    <w:rPr>
                      <w:szCs w:val="21"/>
                    </w:rPr>
                  </w:pPr>
                  <w:r>
                    <w:rPr>
                      <w:szCs w:val="21"/>
                    </w:rPr>
                    <w:t>200µg/m</w:t>
                  </w:r>
                  <w:r>
                    <w:rPr>
                      <w:szCs w:val="21"/>
                      <w:vertAlign w:val="superscript"/>
                    </w:rPr>
                    <w:t>3</w:t>
                  </w:r>
                </w:p>
              </w:tc>
              <w:tc>
                <w:tcPr>
                  <w:tcW w:w="3163" w:type="dxa"/>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2" w:type="dxa"/>
                  <w:vMerge w:val="restart"/>
                  <w:vAlign w:val="center"/>
                </w:tcPr>
                <w:p>
                  <w:pPr>
                    <w:jc w:val="center"/>
                    <w:rPr>
                      <w:szCs w:val="21"/>
                    </w:rPr>
                  </w:pPr>
                  <w:r>
                    <w:rPr>
                      <w:szCs w:val="21"/>
                    </w:rPr>
                    <w:t>PM</w:t>
                  </w:r>
                  <w:r>
                    <w:rPr>
                      <w:szCs w:val="21"/>
                      <w:vertAlign w:val="subscript"/>
                    </w:rPr>
                    <w:t>10</w:t>
                  </w:r>
                </w:p>
              </w:tc>
              <w:tc>
                <w:tcPr>
                  <w:tcW w:w="1897" w:type="dxa"/>
                  <w:vAlign w:val="center"/>
                </w:tcPr>
                <w:p>
                  <w:pPr>
                    <w:jc w:val="center"/>
                    <w:rPr>
                      <w:szCs w:val="21"/>
                    </w:rPr>
                  </w:pPr>
                  <w:r>
                    <w:rPr>
                      <w:szCs w:val="21"/>
                    </w:rPr>
                    <w:t>年平均</w:t>
                  </w:r>
                </w:p>
              </w:tc>
              <w:tc>
                <w:tcPr>
                  <w:tcW w:w="1524" w:type="dxa"/>
                  <w:vAlign w:val="center"/>
                </w:tcPr>
                <w:p>
                  <w:pPr>
                    <w:jc w:val="center"/>
                    <w:rPr>
                      <w:szCs w:val="21"/>
                    </w:rPr>
                  </w:pPr>
                  <w:r>
                    <w:rPr>
                      <w:szCs w:val="21"/>
                    </w:rPr>
                    <w:t>70µg/m</w:t>
                  </w:r>
                  <w:r>
                    <w:rPr>
                      <w:szCs w:val="21"/>
                      <w:vertAlign w:val="superscript"/>
                    </w:rPr>
                    <w:t>3</w:t>
                  </w:r>
                </w:p>
              </w:tc>
              <w:tc>
                <w:tcPr>
                  <w:tcW w:w="3163" w:type="dxa"/>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2" w:type="dxa"/>
                  <w:vMerge w:val="continue"/>
                  <w:vAlign w:val="center"/>
                </w:tcPr>
                <w:p>
                  <w:pPr>
                    <w:jc w:val="center"/>
                    <w:rPr>
                      <w:szCs w:val="21"/>
                    </w:rPr>
                  </w:pPr>
                </w:p>
              </w:tc>
              <w:tc>
                <w:tcPr>
                  <w:tcW w:w="1897" w:type="dxa"/>
                  <w:vAlign w:val="center"/>
                </w:tcPr>
                <w:p>
                  <w:pPr>
                    <w:jc w:val="center"/>
                    <w:rPr>
                      <w:szCs w:val="21"/>
                    </w:rPr>
                  </w:pPr>
                  <w:r>
                    <w:rPr>
                      <w:szCs w:val="21"/>
                    </w:rPr>
                    <w:t>24小时平均</w:t>
                  </w:r>
                </w:p>
              </w:tc>
              <w:tc>
                <w:tcPr>
                  <w:tcW w:w="1524" w:type="dxa"/>
                  <w:vAlign w:val="center"/>
                </w:tcPr>
                <w:p>
                  <w:pPr>
                    <w:jc w:val="center"/>
                    <w:rPr>
                      <w:szCs w:val="21"/>
                    </w:rPr>
                  </w:pPr>
                  <w:r>
                    <w:rPr>
                      <w:szCs w:val="21"/>
                    </w:rPr>
                    <w:t>150µg/m</w:t>
                  </w:r>
                  <w:r>
                    <w:rPr>
                      <w:szCs w:val="21"/>
                      <w:vertAlign w:val="superscript"/>
                    </w:rPr>
                    <w:t>3</w:t>
                  </w:r>
                </w:p>
              </w:tc>
              <w:tc>
                <w:tcPr>
                  <w:tcW w:w="3163" w:type="dxa"/>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2" w:type="dxa"/>
                  <w:vMerge w:val="restart"/>
                  <w:vAlign w:val="center"/>
                </w:tcPr>
                <w:p>
                  <w:pPr>
                    <w:jc w:val="center"/>
                    <w:rPr>
                      <w:szCs w:val="21"/>
                    </w:rPr>
                  </w:pPr>
                  <w:r>
                    <w:rPr>
                      <w:szCs w:val="21"/>
                    </w:rPr>
                    <w:t>PM</w:t>
                  </w:r>
                  <w:r>
                    <w:rPr>
                      <w:szCs w:val="21"/>
                      <w:vertAlign w:val="subscript"/>
                    </w:rPr>
                    <w:t>2.5</w:t>
                  </w:r>
                </w:p>
              </w:tc>
              <w:tc>
                <w:tcPr>
                  <w:tcW w:w="1897" w:type="dxa"/>
                  <w:vAlign w:val="center"/>
                </w:tcPr>
                <w:p>
                  <w:pPr>
                    <w:jc w:val="center"/>
                    <w:rPr>
                      <w:szCs w:val="21"/>
                    </w:rPr>
                  </w:pPr>
                  <w:r>
                    <w:rPr>
                      <w:szCs w:val="21"/>
                    </w:rPr>
                    <w:t>年平均</w:t>
                  </w:r>
                </w:p>
              </w:tc>
              <w:tc>
                <w:tcPr>
                  <w:tcW w:w="1524" w:type="dxa"/>
                  <w:vAlign w:val="center"/>
                </w:tcPr>
                <w:p>
                  <w:pPr>
                    <w:jc w:val="center"/>
                    <w:rPr>
                      <w:szCs w:val="21"/>
                    </w:rPr>
                  </w:pPr>
                  <w:r>
                    <w:rPr>
                      <w:szCs w:val="21"/>
                    </w:rPr>
                    <w:t>35µg/m</w:t>
                  </w:r>
                  <w:r>
                    <w:rPr>
                      <w:szCs w:val="21"/>
                      <w:vertAlign w:val="superscript"/>
                    </w:rPr>
                    <w:t>3</w:t>
                  </w:r>
                </w:p>
              </w:tc>
              <w:tc>
                <w:tcPr>
                  <w:tcW w:w="3163" w:type="dxa"/>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2" w:type="dxa"/>
                  <w:vMerge w:val="continue"/>
                  <w:vAlign w:val="center"/>
                </w:tcPr>
                <w:p>
                  <w:pPr>
                    <w:jc w:val="center"/>
                    <w:rPr>
                      <w:szCs w:val="21"/>
                    </w:rPr>
                  </w:pPr>
                </w:p>
              </w:tc>
              <w:tc>
                <w:tcPr>
                  <w:tcW w:w="1897" w:type="dxa"/>
                  <w:vAlign w:val="center"/>
                </w:tcPr>
                <w:p>
                  <w:pPr>
                    <w:jc w:val="center"/>
                    <w:rPr>
                      <w:szCs w:val="21"/>
                    </w:rPr>
                  </w:pPr>
                  <w:r>
                    <w:rPr>
                      <w:szCs w:val="21"/>
                    </w:rPr>
                    <w:t>24小时平均</w:t>
                  </w:r>
                </w:p>
              </w:tc>
              <w:tc>
                <w:tcPr>
                  <w:tcW w:w="1524" w:type="dxa"/>
                  <w:vAlign w:val="center"/>
                </w:tcPr>
                <w:p>
                  <w:pPr>
                    <w:jc w:val="center"/>
                    <w:rPr>
                      <w:szCs w:val="21"/>
                    </w:rPr>
                  </w:pPr>
                  <w:r>
                    <w:rPr>
                      <w:szCs w:val="21"/>
                    </w:rPr>
                    <w:t>75µg/m</w:t>
                  </w:r>
                  <w:r>
                    <w:rPr>
                      <w:szCs w:val="21"/>
                      <w:vertAlign w:val="superscript"/>
                    </w:rPr>
                    <w:t>3</w:t>
                  </w:r>
                </w:p>
              </w:tc>
              <w:tc>
                <w:tcPr>
                  <w:tcW w:w="3163" w:type="dxa"/>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2" w:type="dxa"/>
                  <w:vAlign w:val="center"/>
                </w:tcPr>
                <w:p>
                  <w:pPr>
                    <w:jc w:val="center"/>
                    <w:rPr>
                      <w:szCs w:val="21"/>
                    </w:rPr>
                  </w:pPr>
                  <w:r>
                    <w:rPr>
                      <w:rFonts w:hint="eastAsia"/>
                      <w:szCs w:val="21"/>
                    </w:rPr>
                    <w:t>H</w:t>
                  </w:r>
                  <w:r>
                    <w:rPr>
                      <w:rFonts w:hint="eastAsia"/>
                      <w:szCs w:val="21"/>
                      <w:vertAlign w:val="subscript"/>
                    </w:rPr>
                    <w:t>2</w:t>
                  </w:r>
                  <w:r>
                    <w:rPr>
                      <w:rFonts w:hint="eastAsia"/>
                      <w:szCs w:val="21"/>
                    </w:rPr>
                    <w:t>S</w:t>
                  </w:r>
                </w:p>
              </w:tc>
              <w:tc>
                <w:tcPr>
                  <w:tcW w:w="1897" w:type="dxa"/>
                  <w:vAlign w:val="center"/>
                </w:tcPr>
                <w:p>
                  <w:pPr>
                    <w:jc w:val="center"/>
                    <w:rPr>
                      <w:szCs w:val="21"/>
                    </w:rPr>
                  </w:pPr>
                  <w:r>
                    <w:rPr>
                      <w:szCs w:val="21"/>
                    </w:rPr>
                    <w:t>1小时平均</w:t>
                  </w:r>
                </w:p>
              </w:tc>
              <w:tc>
                <w:tcPr>
                  <w:tcW w:w="1524" w:type="dxa"/>
                  <w:vAlign w:val="center"/>
                </w:tcPr>
                <w:p>
                  <w:pPr>
                    <w:jc w:val="center"/>
                    <w:rPr>
                      <w:szCs w:val="21"/>
                    </w:rPr>
                  </w:pPr>
                  <w:r>
                    <w:rPr>
                      <w:rFonts w:hint="eastAsia"/>
                      <w:szCs w:val="21"/>
                    </w:rPr>
                    <w:t>10</w:t>
                  </w:r>
                  <w:r>
                    <w:rPr>
                      <w:szCs w:val="21"/>
                    </w:rPr>
                    <w:t>µg/m</w:t>
                  </w:r>
                  <w:r>
                    <w:rPr>
                      <w:szCs w:val="21"/>
                      <w:vertAlign w:val="superscript"/>
                    </w:rPr>
                    <w:t>3</w:t>
                  </w:r>
                </w:p>
              </w:tc>
              <w:tc>
                <w:tcPr>
                  <w:tcW w:w="3163" w:type="dxa"/>
                  <w:vAlign w:val="center"/>
                </w:tcPr>
                <w:p>
                  <w:pPr>
                    <w:jc w:val="center"/>
                    <w:rPr>
                      <w:szCs w:val="21"/>
                    </w:rPr>
                  </w:pPr>
                  <w:r>
                    <w:rPr>
                      <w:rFonts w:hint="eastAsia"/>
                      <w:szCs w:val="21"/>
                    </w:rPr>
                    <w:t>环境影响评价技术导则 大气环境》（HJ2.2-2018）附录</w:t>
                  </w:r>
                  <w:r>
                    <w:rPr>
                      <w:szCs w:val="21"/>
                    </w:rPr>
                    <w:t>D</w:t>
                  </w:r>
                </w:p>
              </w:tc>
            </w:tr>
            <w:bookmarkEnd w:id="28"/>
          </w:tbl>
          <w:p>
            <w:pPr>
              <w:spacing w:line="360" w:lineRule="auto"/>
              <w:ind w:firstLine="420" w:firstLineChars="200"/>
              <w:rPr>
                <w:szCs w:val="21"/>
              </w:rPr>
            </w:pPr>
            <w:r>
              <w:rPr>
                <w:szCs w:val="21"/>
              </w:rPr>
              <w:t>2、地表水</w:t>
            </w:r>
          </w:p>
          <w:p>
            <w:pPr>
              <w:spacing w:line="360" w:lineRule="auto"/>
              <w:ind w:firstLine="420" w:firstLineChars="200"/>
              <w:rPr>
                <w:szCs w:val="21"/>
              </w:rPr>
            </w:pPr>
            <w:r>
              <w:rPr>
                <w:szCs w:val="21"/>
              </w:rPr>
              <w:t>地表水水质执行《地表水环境质量标准》（GB3838-2002）中的</w:t>
            </w:r>
            <w:r>
              <w:rPr>
                <w:szCs w:val="21"/>
              </w:rPr>
              <w:fldChar w:fldCharType="begin"/>
            </w:r>
            <w:r>
              <w:rPr>
                <w:szCs w:val="21"/>
              </w:rPr>
              <w:instrText xml:space="preserve"> </w:instrText>
            </w:r>
            <w:r>
              <w:rPr>
                <w:rFonts w:hint="eastAsia"/>
                <w:szCs w:val="21"/>
              </w:rPr>
              <w:instrText xml:space="preserve">= 3 \* ROMAN</w:instrText>
            </w:r>
            <w:r>
              <w:rPr>
                <w:szCs w:val="21"/>
              </w:rPr>
              <w:instrText xml:space="preserve"> </w:instrText>
            </w:r>
            <w:r>
              <w:rPr>
                <w:szCs w:val="21"/>
              </w:rPr>
              <w:fldChar w:fldCharType="separate"/>
            </w:r>
            <w:r>
              <w:rPr>
                <w:szCs w:val="21"/>
              </w:rPr>
              <w:t>III</w:t>
            </w:r>
            <w:r>
              <w:rPr>
                <w:szCs w:val="21"/>
              </w:rPr>
              <w:fldChar w:fldCharType="end"/>
            </w:r>
            <w:r>
              <w:rPr>
                <w:szCs w:val="21"/>
              </w:rPr>
              <w:t>类水域标准。</w:t>
            </w:r>
          </w:p>
          <w:p>
            <w:pPr>
              <w:pStyle w:val="331"/>
              <w:numPr>
                <w:ilvl w:val="0"/>
                <w:numId w:val="6"/>
              </w:numPr>
              <w:adjustRightInd w:val="0"/>
              <w:snapToGrid w:val="0"/>
              <w:spacing w:line="360" w:lineRule="auto"/>
              <w:ind w:left="0" w:firstLine="0" w:firstLineChars="0"/>
              <w:jc w:val="center"/>
              <w:rPr>
                <w:b/>
                <w:bCs/>
                <w:kern w:val="0"/>
                <w:szCs w:val="21"/>
              </w:rPr>
            </w:pPr>
            <w:r>
              <w:rPr>
                <w:b/>
                <w:bCs/>
                <w:kern w:val="0"/>
                <w:szCs w:val="21"/>
              </w:rPr>
              <w:t>地表水环境质量标准</w:t>
            </w:r>
          </w:p>
          <w:tbl>
            <w:tblPr>
              <w:tblStyle w:val="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70"/>
              <w:gridCol w:w="54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370" w:type="dxa"/>
                  <w:vAlign w:val="center"/>
                </w:tcPr>
                <w:p>
                  <w:pPr>
                    <w:adjustRightInd w:val="0"/>
                    <w:snapToGrid w:val="0"/>
                    <w:jc w:val="center"/>
                    <w:rPr>
                      <w:b/>
                      <w:bCs/>
                      <w:szCs w:val="21"/>
                    </w:rPr>
                  </w:pPr>
                  <w:r>
                    <w:rPr>
                      <w:b/>
                      <w:bCs/>
                      <w:szCs w:val="21"/>
                    </w:rPr>
                    <w:t>项目</w:t>
                  </w:r>
                </w:p>
              </w:tc>
              <w:tc>
                <w:tcPr>
                  <w:tcW w:w="5416" w:type="dxa"/>
                  <w:vAlign w:val="center"/>
                </w:tcPr>
                <w:p>
                  <w:pPr>
                    <w:adjustRightInd w:val="0"/>
                    <w:snapToGrid w:val="0"/>
                    <w:jc w:val="center"/>
                    <w:rPr>
                      <w:szCs w:val="21"/>
                    </w:rPr>
                  </w:pPr>
                  <w:r>
                    <w:rPr>
                      <w:szCs w:val="21"/>
                    </w:rPr>
                    <w:fldChar w:fldCharType="begin"/>
                  </w:r>
                  <w:r>
                    <w:rPr>
                      <w:szCs w:val="21"/>
                    </w:rPr>
                    <w:instrText xml:space="preserve"> </w:instrText>
                  </w:r>
                  <w:r>
                    <w:rPr>
                      <w:rFonts w:hint="eastAsia"/>
                      <w:szCs w:val="21"/>
                    </w:rPr>
                    <w:instrText xml:space="preserve">= 3 \* ROMAN</w:instrText>
                  </w:r>
                  <w:r>
                    <w:rPr>
                      <w:szCs w:val="21"/>
                    </w:rPr>
                    <w:instrText xml:space="preserve"> </w:instrText>
                  </w:r>
                  <w:r>
                    <w:rPr>
                      <w:szCs w:val="21"/>
                    </w:rPr>
                    <w:fldChar w:fldCharType="separate"/>
                  </w:r>
                  <w:r>
                    <w:rPr>
                      <w:szCs w:val="21"/>
                    </w:rPr>
                    <w:t>III</w:t>
                  </w:r>
                  <w:r>
                    <w:rPr>
                      <w:szCs w:val="21"/>
                    </w:rPr>
                    <w:fldChar w:fldCharType="end"/>
                  </w:r>
                  <w:r>
                    <w:rPr>
                      <w:szCs w:val="21"/>
                    </w:rPr>
                    <w:t>类水域标准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370" w:type="dxa"/>
                  <w:vAlign w:val="center"/>
                </w:tcPr>
                <w:p>
                  <w:pPr>
                    <w:adjustRightInd w:val="0"/>
                    <w:snapToGrid w:val="0"/>
                    <w:jc w:val="center"/>
                    <w:rPr>
                      <w:szCs w:val="21"/>
                    </w:rPr>
                  </w:pPr>
                  <w:r>
                    <w:rPr>
                      <w:szCs w:val="21"/>
                    </w:rPr>
                    <w:t>pH</w:t>
                  </w:r>
                </w:p>
              </w:tc>
              <w:tc>
                <w:tcPr>
                  <w:tcW w:w="5416" w:type="dxa"/>
                  <w:vAlign w:val="center"/>
                </w:tcPr>
                <w:p>
                  <w:pPr>
                    <w:adjustRightInd w:val="0"/>
                    <w:snapToGrid w:val="0"/>
                    <w:jc w:val="center"/>
                    <w:rPr>
                      <w:szCs w:val="21"/>
                    </w:rPr>
                  </w:pPr>
                  <w:r>
                    <w:rPr>
                      <w:szCs w:val="21"/>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370" w:type="dxa"/>
                  <w:vAlign w:val="center"/>
                </w:tcPr>
                <w:p>
                  <w:pPr>
                    <w:adjustRightInd w:val="0"/>
                    <w:snapToGrid w:val="0"/>
                    <w:jc w:val="center"/>
                    <w:rPr>
                      <w:szCs w:val="21"/>
                    </w:rPr>
                  </w:pPr>
                  <w:r>
                    <w:rPr>
                      <w:szCs w:val="21"/>
                    </w:rPr>
                    <w:t>COD</w:t>
                  </w:r>
                </w:p>
              </w:tc>
              <w:tc>
                <w:tcPr>
                  <w:tcW w:w="5416" w:type="dxa"/>
                  <w:vAlign w:val="center"/>
                </w:tcPr>
                <w:p>
                  <w:pPr>
                    <w:adjustRightInd w:val="0"/>
                    <w:snapToGrid w:val="0"/>
                    <w:jc w:val="center"/>
                    <w:rPr>
                      <w:szCs w:val="21"/>
                    </w:rPr>
                  </w:pPr>
                  <w:r>
                    <w:rPr>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370" w:type="dxa"/>
                  <w:vAlign w:val="center"/>
                </w:tcPr>
                <w:p>
                  <w:pPr>
                    <w:adjustRightInd w:val="0"/>
                    <w:snapToGrid w:val="0"/>
                    <w:jc w:val="center"/>
                    <w:rPr>
                      <w:szCs w:val="21"/>
                    </w:rPr>
                  </w:pPr>
                  <w:r>
                    <w:rPr>
                      <w:szCs w:val="21"/>
                    </w:rPr>
                    <w:t>BOD</w:t>
                  </w:r>
                  <w:r>
                    <w:rPr>
                      <w:szCs w:val="21"/>
                      <w:vertAlign w:val="subscript"/>
                    </w:rPr>
                    <w:t>5</w:t>
                  </w:r>
                </w:p>
              </w:tc>
              <w:tc>
                <w:tcPr>
                  <w:tcW w:w="5416" w:type="dxa"/>
                  <w:vAlign w:val="center"/>
                </w:tcPr>
                <w:p>
                  <w:pPr>
                    <w:adjustRightInd w:val="0"/>
                    <w:snapToGrid w:val="0"/>
                    <w:jc w:val="center"/>
                    <w:rPr>
                      <w:szCs w:val="21"/>
                    </w:rPr>
                  </w:pPr>
                  <w:r>
                    <w:rPr>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370" w:type="dxa"/>
                  <w:vAlign w:val="center"/>
                </w:tcPr>
                <w:p>
                  <w:pPr>
                    <w:adjustRightInd w:val="0"/>
                    <w:snapToGrid w:val="0"/>
                    <w:jc w:val="center"/>
                    <w:rPr>
                      <w:szCs w:val="21"/>
                    </w:rPr>
                  </w:pPr>
                  <w:r>
                    <w:rPr>
                      <w:szCs w:val="21"/>
                    </w:rPr>
                    <w:t>NH</w:t>
                  </w:r>
                  <w:r>
                    <w:rPr>
                      <w:szCs w:val="21"/>
                      <w:vertAlign w:val="subscript"/>
                    </w:rPr>
                    <w:t>3</w:t>
                  </w:r>
                  <w:r>
                    <w:rPr>
                      <w:szCs w:val="21"/>
                    </w:rPr>
                    <w:t>-N</w:t>
                  </w:r>
                </w:p>
              </w:tc>
              <w:tc>
                <w:tcPr>
                  <w:tcW w:w="5416" w:type="dxa"/>
                  <w:vAlign w:val="center"/>
                </w:tcPr>
                <w:p>
                  <w:pPr>
                    <w:adjustRightInd w:val="0"/>
                    <w:snapToGrid w:val="0"/>
                    <w:jc w:val="center"/>
                    <w:rPr>
                      <w:szCs w:val="21"/>
                    </w:rPr>
                  </w:pPr>
                  <w:r>
                    <w:rPr>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370" w:type="dxa"/>
                  <w:vAlign w:val="center"/>
                </w:tcPr>
                <w:p>
                  <w:pPr>
                    <w:adjustRightInd w:val="0"/>
                    <w:snapToGrid w:val="0"/>
                    <w:jc w:val="center"/>
                    <w:rPr>
                      <w:szCs w:val="21"/>
                    </w:rPr>
                  </w:pPr>
                  <w:r>
                    <w:rPr>
                      <w:szCs w:val="21"/>
                    </w:rPr>
                    <w:t>氯化物</w:t>
                  </w:r>
                </w:p>
              </w:tc>
              <w:tc>
                <w:tcPr>
                  <w:tcW w:w="5416" w:type="dxa"/>
                  <w:vAlign w:val="center"/>
                </w:tcPr>
                <w:p>
                  <w:pPr>
                    <w:adjustRightInd w:val="0"/>
                    <w:snapToGrid w:val="0"/>
                    <w:jc w:val="center"/>
                    <w:rPr>
                      <w:szCs w:val="21"/>
                    </w:rPr>
                  </w:pPr>
                  <w:r>
                    <w:rPr>
                      <w:szCs w:val="21"/>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370" w:type="dxa"/>
                  <w:vAlign w:val="center"/>
                </w:tcPr>
                <w:p>
                  <w:pPr>
                    <w:adjustRightInd w:val="0"/>
                    <w:snapToGrid w:val="0"/>
                    <w:jc w:val="center"/>
                    <w:rPr>
                      <w:szCs w:val="21"/>
                    </w:rPr>
                  </w:pPr>
                  <w:r>
                    <w:rPr>
                      <w:szCs w:val="21"/>
                    </w:rPr>
                    <w:t>硫化物</w:t>
                  </w:r>
                </w:p>
              </w:tc>
              <w:tc>
                <w:tcPr>
                  <w:tcW w:w="5416" w:type="dxa"/>
                  <w:vAlign w:val="center"/>
                </w:tcPr>
                <w:p>
                  <w:pPr>
                    <w:adjustRightInd w:val="0"/>
                    <w:snapToGrid w:val="0"/>
                    <w:jc w:val="center"/>
                    <w:rPr>
                      <w:szCs w:val="21"/>
                    </w:rPr>
                  </w:pPr>
                  <w:r>
                    <w:rPr>
                      <w:szCs w:val="21"/>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370" w:type="dxa"/>
                  <w:vAlign w:val="center"/>
                </w:tcPr>
                <w:p>
                  <w:pPr>
                    <w:adjustRightInd w:val="0"/>
                    <w:snapToGrid w:val="0"/>
                    <w:jc w:val="center"/>
                    <w:rPr>
                      <w:szCs w:val="21"/>
                    </w:rPr>
                  </w:pPr>
                  <w:r>
                    <w:rPr>
                      <w:szCs w:val="21"/>
                    </w:rPr>
                    <w:t>石油类</w:t>
                  </w:r>
                </w:p>
              </w:tc>
              <w:tc>
                <w:tcPr>
                  <w:tcW w:w="5416" w:type="dxa"/>
                  <w:vAlign w:val="center"/>
                </w:tcPr>
                <w:p>
                  <w:pPr>
                    <w:adjustRightInd w:val="0"/>
                    <w:snapToGrid w:val="0"/>
                    <w:jc w:val="center"/>
                    <w:rPr>
                      <w:szCs w:val="21"/>
                    </w:rPr>
                  </w:pPr>
                  <w:r>
                    <w:rPr>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370" w:type="dxa"/>
                  <w:vAlign w:val="center"/>
                </w:tcPr>
                <w:p>
                  <w:pPr>
                    <w:adjustRightInd w:val="0"/>
                    <w:snapToGrid w:val="0"/>
                    <w:jc w:val="center"/>
                    <w:rPr>
                      <w:szCs w:val="21"/>
                    </w:rPr>
                  </w:pPr>
                  <w:r>
                    <w:rPr>
                      <w:szCs w:val="21"/>
                    </w:rPr>
                    <w:t>备注</w:t>
                  </w:r>
                </w:p>
              </w:tc>
              <w:tc>
                <w:tcPr>
                  <w:tcW w:w="5416" w:type="dxa"/>
                  <w:vAlign w:val="center"/>
                </w:tcPr>
                <w:p>
                  <w:pPr>
                    <w:adjustRightInd w:val="0"/>
                    <w:snapToGrid w:val="0"/>
                    <w:jc w:val="center"/>
                    <w:rPr>
                      <w:szCs w:val="21"/>
                    </w:rPr>
                  </w:pPr>
                  <w:r>
                    <w:rPr>
                      <w:szCs w:val="21"/>
                    </w:rPr>
                    <w:t>上述标准中，pH无量纲，其余因子单位为mg/L。</w:t>
                  </w:r>
                </w:p>
              </w:tc>
            </w:tr>
          </w:tbl>
          <w:p>
            <w:pPr>
              <w:spacing w:line="360" w:lineRule="auto"/>
              <w:ind w:firstLine="420" w:firstLineChars="200"/>
              <w:rPr>
                <w:szCs w:val="21"/>
              </w:rPr>
            </w:pPr>
            <w:r>
              <w:rPr>
                <w:szCs w:val="21"/>
              </w:rPr>
              <w:t>3、声环境</w:t>
            </w:r>
          </w:p>
          <w:p>
            <w:pPr>
              <w:spacing w:line="360" w:lineRule="auto"/>
              <w:ind w:firstLine="420" w:firstLineChars="200"/>
              <w:rPr>
                <w:szCs w:val="21"/>
              </w:rPr>
            </w:pPr>
            <w:r>
              <w:rPr>
                <w:szCs w:val="21"/>
              </w:rPr>
              <w:t>声环境执行《声环境质量标准》（GB3096-2008）中的2类标准。</w:t>
            </w:r>
          </w:p>
          <w:p>
            <w:pPr>
              <w:spacing w:line="360" w:lineRule="auto"/>
              <w:ind w:firstLine="420" w:firstLineChars="200"/>
              <w:rPr>
                <w:szCs w:val="21"/>
              </w:rPr>
            </w:pPr>
          </w:p>
          <w:p>
            <w:pPr>
              <w:pStyle w:val="331"/>
              <w:numPr>
                <w:ilvl w:val="0"/>
                <w:numId w:val="6"/>
              </w:numPr>
              <w:adjustRightInd w:val="0"/>
              <w:snapToGrid w:val="0"/>
              <w:spacing w:line="360" w:lineRule="auto"/>
              <w:ind w:left="0" w:firstLine="0" w:firstLineChars="0"/>
              <w:jc w:val="center"/>
              <w:rPr>
                <w:b/>
                <w:bCs/>
                <w:kern w:val="0"/>
                <w:szCs w:val="21"/>
              </w:rPr>
            </w:pPr>
            <w:r>
              <w:rPr>
                <w:b/>
                <w:bCs/>
                <w:kern w:val="0"/>
                <w:szCs w:val="21"/>
              </w:rPr>
              <w:t>声环境质量标准</w:t>
            </w:r>
          </w:p>
          <w:tbl>
            <w:tblPr>
              <w:tblStyle w:val="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50"/>
              <w:gridCol w:w="2767"/>
              <w:gridCol w:w="27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550" w:type="dxa"/>
                  <w:vMerge w:val="restart"/>
                  <w:vAlign w:val="center"/>
                </w:tcPr>
                <w:p>
                  <w:pPr>
                    <w:jc w:val="center"/>
                    <w:rPr>
                      <w:szCs w:val="21"/>
                    </w:rPr>
                  </w:pPr>
                  <w:r>
                    <w:rPr>
                      <w:szCs w:val="21"/>
                    </w:rPr>
                    <w:t>标准类别</w:t>
                  </w:r>
                </w:p>
              </w:tc>
              <w:tc>
                <w:tcPr>
                  <w:tcW w:w="5535" w:type="dxa"/>
                  <w:gridSpan w:val="2"/>
                  <w:vAlign w:val="center"/>
                </w:tcPr>
                <w:p>
                  <w:pPr>
                    <w:jc w:val="center"/>
                    <w:rPr>
                      <w:szCs w:val="21"/>
                    </w:rPr>
                  </w:pPr>
                  <w:r>
                    <w:rPr>
                      <w:szCs w:val="21"/>
                    </w:rPr>
                    <w:t>等效声级LAeq（dB）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550" w:type="dxa"/>
                  <w:vMerge w:val="continue"/>
                  <w:vAlign w:val="center"/>
                </w:tcPr>
                <w:p>
                  <w:pPr>
                    <w:jc w:val="center"/>
                    <w:rPr>
                      <w:szCs w:val="21"/>
                    </w:rPr>
                  </w:pPr>
                </w:p>
              </w:tc>
              <w:tc>
                <w:tcPr>
                  <w:tcW w:w="2767" w:type="dxa"/>
                  <w:vAlign w:val="center"/>
                </w:tcPr>
                <w:p>
                  <w:pPr>
                    <w:jc w:val="center"/>
                    <w:rPr>
                      <w:szCs w:val="21"/>
                    </w:rPr>
                  </w:pPr>
                  <w:r>
                    <w:rPr>
                      <w:szCs w:val="21"/>
                    </w:rPr>
                    <w:t>昼间</w:t>
                  </w:r>
                </w:p>
              </w:tc>
              <w:tc>
                <w:tcPr>
                  <w:tcW w:w="2768" w:type="dxa"/>
                  <w:vAlign w:val="center"/>
                </w:tcPr>
                <w:p>
                  <w:pPr>
                    <w:jc w:val="center"/>
                    <w:rPr>
                      <w:szCs w:val="21"/>
                    </w:rPr>
                  </w:pPr>
                  <w:r>
                    <w:rPr>
                      <w:szCs w:val="21"/>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550" w:type="dxa"/>
                  <w:vAlign w:val="center"/>
                </w:tcPr>
                <w:p>
                  <w:pPr>
                    <w:jc w:val="center"/>
                    <w:rPr>
                      <w:szCs w:val="21"/>
                    </w:rPr>
                  </w:pPr>
                  <w:r>
                    <w:rPr>
                      <w:szCs w:val="21"/>
                    </w:rPr>
                    <w:t>2类</w:t>
                  </w:r>
                </w:p>
              </w:tc>
              <w:tc>
                <w:tcPr>
                  <w:tcW w:w="2767" w:type="dxa"/>
                  <w:vAlign w:val="center"/>
                </w:tcPr>
                <w:p>
                  <w:pPr>
                    <w:jc w:val="center"/>
                    <w:rPr>
                      <w:szCs w:val="21"/>
                    </w:rPr>
                  </w:pPr>
                  <w:r>
                    <w:rPr>
                      <w:szCs w:val="21"/>
                    </w:rPr>
                    <w:t>60</w:t>
                  </w:r>
                </w:p>
              </w:tc>
              <w:tc>
                <w:tcPr>
                  <w:tcW w:w="2768" w:type="dxa"/>
                  <w:vAlign w:val="center"/>
                </w:tcPr>
                <w:p>
                  <w:pPr>
                    <w:jc w:val="center"/>
                    <w:rPr>
                      <w:szCs w:val="21"/>
                    </w:rPr>
                  </w:pPr>
                  <w:r>
                    <w:rPr>
                      <w:szCs w:val="21"/>
                    </w:rPr>
                    <w:t>50</w:t>
                  </w:r>
                </w:p>
              </w:tc>
            </w:tr>
          </w:tbl>
          <w:p>
            <w:pPr>
              <w:spacing w:line="360" w:lineRule="auto"/>
              <w:ind w:firstLine="420" w:firstLineChars="200"/>
              <w:rPr>
                <w:szCs w:val="21"/>
              </w:rPr>
            </w:pPr>
          </w:p>
          <w:p>
            <w:pPr>
              <w:spacing w:line="360" w:lineRule="auto"/>
              <w:ind w:firstLine="420" w:firstLineChars="200"/>
              <w:rPr>
                <w:szCs w:val="21"/>
              </w:rPr>
            </w:pPr>
            <w:r>
              <w:rPr>
                <w:szCs w:val="21"/>
              </w:rPr>
              <w:t>4、地下水</w:t>
            </w:r>
          </w:p>
          <w:p>
            <w:pPr>
              <w:spacing w:line="360" w:lineRule="auto"/>
              <w:ind w:firstLine="420" w:firstLineChars="200"/>
              <w:rPr>
                <w:szCs w:val="21"/>
              </w:rPr>
            </w:pPr>
            <w:r>
              <w:rPr>
                <w:szCs w:val="21"/>
              </w:rPr>
              <w:t>本项目所在区域地下水未划分水域功能，本评价按照《地下水质量标准》</w:t>
            </w:r>
            <w:r>
              <w:rPr>
                <w:rFonts w:hint="eastAsia"/>
                <w:szCs w:val="21"/>
              </w:rPr>
              <w:t>（</w:t>
            </w:r>
            <w:r>
              <w:rPr>
                <w:szCs w:val="21"/>
              </w:rPr>
              <w:t>GB/T14848—2017</w:t>
            </w:r>
            <w:r>
              <w:rPr>
                <w:rFonts w:hint="eastAsia"/>
                <w:szCs w:val="21"/>
              </w:rPr>
              <w:t>）</w:t>
            </w:r>
            <w:r>
              <w:rPr>
                <w:szCs w:val="21"/>
              </w:rPr>
              <w:t>对地下水质量分类依据，对本项目所在区域地下水质量标准按《地下水质量标准》</w:t>
            </w:r>
            <w:r>
              <w:rPr>
                <w:rFonts w:hint="eastAsia"/>
                <w:szCs w:val="21"/>
              </w:rPr>
              <w:t>（</w:t>
            </w:r>
            <w:r>
              <w:rPr>
                <w:szCs w:val="21"/>
              </w:rPr>
              <w:t>GB/T14848—2017</w:t>
            </w:r>
            <w:r>
              <w:rPr>
                <w:rFonts w:hint="eastAsia"/>
                <w:szCs w:val="21"/>
              </w:rPr>
              <w:t>）</w:t>
            </w:r>
            <w:r>
              <w:rPr>
                <w:szCs w:val="21"/>
              </w:rPr>
              <w:t>中的Ⅲ类标准进行评价，标准值见</w:t>
            </w:r>
            <w:r>
              <w:rPr>
                <w:rFonts w:hint="eastAsia"/>
                <w:szCs w:val="21"/>
              </w:rPr>
              <w:t>下</w:t>
            </w:r>
            <w:r>
              <w:rPr>
                <w:szCs w:val="21"/>
              </w:rPr>
              <w:t>表。</w:t>
            </w:r>
          </w:p>
          <w:p>
            <w:pPr>
              <w:pStyle w:val="331"/>
              <w:numPr>
                <w:ilvl w:val="0"/>
                <w:numId w:val="6"/>
              </w:numPr>
              <w:adjustRightInd w:val="0"/>
              <w:snapToGrid w:val="0"/>
              <w:spacing w:line="360" w:lineRule="auto"/>
              <w:ind w:left="0" w:firstLine="0" w:firstLineChars="0"/>
              <w:jc w:val="center"/>
              <w:rPr>
                <w:b/>
                <w:bCs/>
                <w:kern w:val="0"/>
                <w:szCs w:val="21"/>
              </w:rPr>
            </w:pPr>
            <w:r>
              <w:rPr>
                <w:b/>
                <w:bCs/>
                <w:kern w:val="0"/>
                <w:szCs w:val="21"/>
              </w:rPr>
              <w:t>地下水质量标准限值     单位：mg/L（pH无量纲）</w:t>
            </w:r>
          </w:p>
          <w:tbl>
            <w:tblPr>
              <w:tblStyle w:val="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4"/>
              <w:gridCol w:w="1624"/>
              <w:gridCol w:w="1624"/>
              <w:gridCol w:w="1624"/>
              <w:gridCol w:w="16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624" w:type="dxa"/>
                  <w:vAlign w:val="center"/>
                </w:tcPr>
                <w:p>
                  <w:pPr>
                    <w:snapToGrid w:val="0"/>
                    <w:jc w:val="center"/>
                    <w:rPr>
                      <w:szCs w:val="21"/>
                    </w:rPr>
                  </w:pPr>
                  <w:r>
                    <w:rPr>
                      <w:szCs w:val="21"/>
                    </w:rPr>
                    <w:t>项目</w:t>
                  </w:r>
                </w:p>
              </w:tc>
              <w:tc>
                <w:tcPr>
                  <w:tcW w:w="1624" w:type="dxa"/>
                  <w:vAlign w:val="center"/>
                </w:tcPr>
                <w:p>
                  <w:pPr>
                    <w:snapToGrid w:val="0"/>
                    <w:jc w:val="center"/>
                    <w:rPr>
                      <w:szCs w:val="21"/>
                    </w:rPr>
                  </w:pPr>
                  <w:r>
                    <w:rPr>
                      <w:szCs w:val="21"/>
                    </w:rPr>
                    <w:t>pH</w:t>
                  </w:r>
                </w:p>
              </w:tc>
              <w:tc>
                <w:tcPr>
                  <w:tcW w:w="1624" w:type="dxa"/>
                  <w:vAlign w:val="center"/>
                </w:tcPr>
                <w:p>
                  <w:pPr>
                    <w:snapToGrid w:val="0"/>
                    <w:jc w:val="center"/>
                    <w:rPr>
                      <w:szCs w:val="21"/>
                    </w:rPr>
                  </w:pPr>
                  <w:r>
                    <w:rPr>
                      <w:szCs w:val="21"/>
                    </w:rPr>
                    <w:t>溶解性总固体</w:t>
                  </w:r>
                </w:p>
              </w:tc>
              <w:tc>
                <w:tcPr>
                  <w:tcW w:w="1624" w:type="dxa"/>
                  <w:vAlign w:val="center"/>
                </w:tcPr>
                <w:p>
                  <w:pPr>
                    <w:snapToGrid w:val="0"/>
                    <w:jc w:val="center"/>
                    <w:rPr>
                      <w:szCs w:val="21"/>
                    </w:rPr>
                  </w:pPr>
                  <w:r>
                    <w:rPr>
                      <w:szCs w:val="21"/>
                    </w:rPr>
                    <w:t>硫酸盐</w:t>
                  </w:r>
                </w:p>
              </w:tc>
              <w:tc>
                <w:tcPr>
                  <w:tcW w:w="1625" w:type="dxa"/>
                  <w:vAlign w:val="center"/>
                </w:tcPr>
                <w:p>
                  <w:pPr>
                    <w:snapToGrid w:val="0"/>
                    <w:jc w:val="center"/>
                    <w:rPr>
                      <w:szCs w:val="21"/>
                    </w:rPr>
                  </w:pPr>
                  <w:r>
                    <w:rPr>
                      <w:szCs w:val="21"/>
                    </w:rPr>
                    <w:t>氯化物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624" w:type="dxa"/>
                  <w:vAlign w:val="center"/>
                </w:tcPr>
                <w:p>
                  <w:pPr>
                    <w:snapToGrid w:val="0"/>
                    <w:jc w:val="center"/>
                    <w:rPr>
                      <w:szCs w:val="21"/>
                    </w:rPr>
                  </w:pPr>
                  <w:r>
                    <w:rPr>
                      <w:szCs w:val="21"/>
                    </w:rPr>
                    <w:t>标准值</w:t>
                  </w:r>
                </w:p>
              </w:tc>
              <w:tc>
                <w:tcPr>
                  <w:tcW w:w="1624" w:type="dxa"/>
                  <w:vAlign w:val="center"/>
                </w:tcPr>
                <w:p>
                  <w:pPr>
                    <w:snapToGrid w:val="0"/>
                    <w:jc w:val="center"/>
                    <w:rPr>
                      <w:szCs w:val="21"/>
                    </w:rPr>
                  </w:pPr>
                  <w:r>
                    <w:rPr>
                      <w:szCs w:val="21"/>
                    </w:rPr>
                    <w:t>6.5~8.0</w:t>
                  </w:r>
                </w:p>
              </w:tc>
              <w:tc>
                <w:tcPr>
                  <w:tcW w:w="1624" w:type="dxa"/>
                  <w:vAlign w:val="center"/>
                </w:tcPr>
                <w:p>
                  <w:pPr>
                    <w:snapToGrid w:val="0"/>
                    <w:jc w:val="center"/>
                    <w:rPr>
                      <w:szCs w:val="21"/>
                    </w:rPr>
                  </w:pPr>
                  <w:r>
                    <w:rPr>
                      <w:szCs w:val="21"/>
                    </w:rPr>
                    <w:t>≤1000</w:t>
                  </w:r>
                </w:p>
              </w:tc>
              <w:tc>
                <w:tcPr>
                  <w:tcW w:w="1624" w:type="dxa"/>
                  <w:vAlign w:val="center"/>
                </w:tcPr>
                <w:p>
                  <w:pPr>
                    <w:snapToGrid w:val="0"/>
                    <w:jc w:val="center"/>
                    <w:rPr>
                      <w:szCs w:val="21"/>
                    </w:rPr>
                  </w:pPr>
                  <w:r>
                    <w:rPr>
                      <w:szCs w:val="21"/>
                    </w:rPr>
                    <w:t>≤250</w:t>
                  </w:r>
                </w:p>
              </w:tc>
              <w:tc>
                <w:tcPr>
                  <w:tcW w:w="1625" w:type="dxa"/>
                  <w:vAlign w:val="center"/>
                </w:tcPr>
                <w:p>
                  <w:pPr>
                    <w:snapToGrid w:val="0"/>
                    <w:jc w:val="center"/>
                    <w:rPr>
                      <w:szCs w:val="21"/>
                    </w:rPr>
                  </w:pPr>
                  <w:r>
                    <w:rPr>
                      <w:szCs w:val="21"/>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624" w:type="dxa"/>
                  <w:vAlign w:val="center"/>
                </w:tcPr>
                <w:p>
                  <w:pPr>
                    <w:snapToGrid w:val="0"/>
                    <w:jc w:val="center"/>
                    <w:rPr>
                      <w:szCs w:val="21"/>
                    </w:rPr>
                  </w:pPr>
                  <w:r>
                    <w:rPr>
                      <w:szCs w:val="21"/>
                    </w:rPr>
                    <w:t>项目</w:t>
                  </w:r>
                </w:p>
              </w:tc>
              <w:tc>
                <w:tcPr>
                  <w:tcW w:w="1624" w:type="dxa"/>
                  <w:vAlign w:val="center"/>
                </w:tcPr>
                <w:p>
                  <w:pPr>
                    <w:snapToGrid w:val="0"/>
                    <w:jc w:val="center"/>
                    <w:rPr>
                      <w:szCs w:val="21"/>
                    </w:rPr>
                  </w:pPr>
                  <w:r>
                    <w:rPr>
                      <w:szCs w:val="21"/>
                    </w:rPr>
                    <w:t>石油类</w:t>
                  </w:r>
                </w:p>
              </w:tc>
              <w:tc>
                <w:tcPr>
                  <w:tcW w:w="1624" w:type="dxa"/>
                  <w:vAlign w:val="center"/>
                </w:tcPr>
                <w:p>
                  <w:pPr>
                    <w:snapToGrid w:val="0"/>
                    <w:jc w:val="center"/>
                    <w:rPr>
                      <w:szCs w:val="21"/>
                    </w:rPr>
                  </w:pPr>
                  <w:r>
                    <w:rPr>
                      <w:szCs w:val="21"/>
                    </w:rPr>
                    <w:t>硝酸盐</w:t>
                  </w:r>
                </w:p>
              </w:tc>
              <w:tc>
                <w:tcPr>
                  <w:tcW w:w="1624" w:type="dxa"/>
                  <w:vAlign w:val="center"/>
                </w:tcPr>
                <w:p>
                  <w:pPr>
                    <w:snapToGrid w:val="0"/>
                    <w:jc w:val="center"/>
                    <w:rPr>
                      <w:szCs w:val="21"/>
                    </w:rPr>
                  </w:pPr>
                  <w:r>
                    <w:rPr>
                      <w:szCs w:val="21"/>
                    </w:rPr>
                    <w:t>亚硝酸盐</w:t>
                  </w:r>
                </w:p>
              </w:tc>
              <w:tc>
                <w:tcPr>
                  <w:tcW w:w="1625" w:type="dxa"/>
                  <w:vAlign w:val="center"/>
                </w:tcPr>
                <w:p>
                  <w:pPr>
                    <w:snapToGrid w:val="0"/>
                    <w:jc w:val="center"/>
                    <w:rPr>
                      <w:szCs w:val="21"/>
                    </w:rPr>
                  </w:pPr>
                  <w:r>
                    <w:rPr>
                      <w:szCs w:val="21"/>
                    </w:rPr>
                    <w:t>总硬度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624" w:type="dxa"/>
                  <w:vAlign w:val="center"/>
                </w:tcPr>
                <w:p>
                  <w:pPr>
                    <w:snapToGrid w:val="0"/>
                    <w:jc w:val="center"/>
                    <w:rPr>
                      <w:szCs w:val="21"/>
                    </w:rPr>
                  </w:pPr>
                  <w:r>
                    <w:rPr>
                      <w:szCs w:val="21"/>
                    </w:rPr>
                    <w:t>标准值</w:t>
                  </w:r>
                </w:p>
              </w:tc>
              <w:tc>
                <w:tcPr>
                  <w:tcW w:w="1624" w:type="dxa"/>
                  <w:vAlign w:val="center"/>
                </w:tcPr>
                <w:p>
                  <w:pPr>
                    <w:snapToGrid w:val="0"/>
                    <w:jc w:val="center"/>
                    <w:rPr>
                      <w:szCs w:val="21"/>
                    </w:rPr>
                  </w:pPr>
                  <w:r>
                    <w:rPr>
                      <w:szCs w:val="21"/>
                    </w:rPr>
                    <w:t>≤0.05</w:t>
                  </w:r>
                </w:p>
              </w:tc>
              <w:tc>
                <w:tcPr>
                  <w:tcW w:w="1624" w:type="dxa"/>
                  <w:vAlign w:val="center"/>
                </w:tcPr>
                <w:p>
                  <w:pPr>
                    <w:snapToGrid w:val="0"/>
                    <w:jc w:val="center"/>
                    <w:rPr>
                      <w:szCs w:val="21"/>
                    </w:rPr>
                  </w:pPr>
                  <w:r>
                    <w:rPr>
                      <w:szCs w:val="21"/>
                    </w:rPr>
                    <w:t>≤20</w:t>
                  </w:r>
                </w:p>
              </w:tc>
              <w:tc>
                <w:tcPr>
                  <w:tcW w:w="1624" w:type="dxa"/>
                  <w:vAlign w:val="center"/>
                </w:tcPr>
                <w:p>
                  <w:pPr>
                    <w:snapToGrid w:val="0"/>
                    <w:jc w:val="center"/>
                    <w:rPr>
                      <w:szCs w:val="21"/>
                    </w:rPr>
                  </w:pPr>
                  <w:r>
                    <w:rPr>
                      <w:szCs w:val="21"/>
                    </w:rPr>
                    <w:t>≤1.0</w:t>
                  </w:r>
                </w:p>
              </w:tc>
              <w:tc>
                <w:tcPr>
                  <w:tcW w:w="1625" w:type="dxa"/>
                  <w:vAlign w:val="center"/>
                </w:tcPr>
                <w:p>
                  <w:pPr>
                    <w:snapToGrid w:val="0"/>
                    <w:jc w:val="center"/>
                    <w:rPr>
                      <w:szCs w:val="21"/>
                    </w:rPr>
                  </w:pPr>
                  <w:r>
                    <w:rPr>
                      <w:szCs w:val="21"/>
                    </w:rPr>
                    <w:t>≤450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624" w:type="dxa"/>
                  <w:vAlign w:val="center"/>
                </w:tcPr>
                <w:p>
                  <w:pPr>
                    <w:snapToGrid w:val="0"/>
                    <w:jc w:val="center"/>
                    <w:rPr>
                      <w:szCs w:val="21"/>
                    </w:rPr>
                  </w:pPr>
                  <w:r>
                    <w:rPr>
                      <w:szCs w:val="21"/>
                    </w:rPr>
                    <w:t>项目</w:t>
                  </w:r>
                </w:p>
              </w:tc>
              <w:tc>
                <w:tcPr>
                  <w:tcW w:w="1624" w:type="dxa"/>
                  <w:vAlign w:val="center"/>
                </w:tcPr>
                <w:p>
                  <w:pPr>
                    <w:snapToGrid w:val="0"/>
                    <w:jc w:val="center"/>
                    <w:rPr>
                      <w:szCs w:val="21"/>
                    </w:rPr>
                  </w:pPr>
                  <w:r>
                    <w:rPr>
                      <w:szCs w:val="21"/>
                    </w:rPr>
                    <w:t>铁</w:t>
                  </w:r>
                </w:p>
              </w:tc>
              <w:tc>
                <w:tcPr>
                  <w:tcW w:w="1624" w:type="dxa"/>
                  <w:vAlign w:val="center"/>
                </w:tcPr>
                <w:p>
                  <w:pPr>
                    <w:snapToGrid w:val="0"/>
                    <w:jc w:val="center"/>
                    <w:rPr>
                      <w:szCs w:val="21"/>
                    </w:rPr>
                  </w:pPr>
                  <w:r>
                    <w:rPr>
                      <w:szCs w:val="21"/>
                    </w:rPr>
                    <w:t>耗氧量</w:t>
                  </w:r>
                </w:p>
              </w:tc>
              <w:tc>
                <w:tcPr>
                  <w:tcW w:w="1624" w:type="dxa"/>
                  <w:vAlign w:val="center"/>
                </w:tcPr>
                <w:p>
                  <w:pPr>
                    <w:snapToGrid w:val="0"/>
                    <w:jc w:val="center"/>
                    <w:rPr>
                      <w:szCs w:val="21"/>
                    </w:rPr>
                  </w:pPr>
                  <w:r>
                    <w:rPr>
                      <w:szCs w:val="21"/>
                    </w:rPr>
                    <w:t>氨氮</w:t>
                  </w:r>
                </w:p>
              </w:tc>
              <w:tc>
                <w:tcPr>
                  <w:tcW w:w="1625" w:type="dxa"/>
                  <w:vAlign w:val="center"/>
                </w:tcPr>
                <w:p>
                  <w:pPr>
                    <w:snapToGrid w:val="0"/>
                    <w:jc w:val="center"/>
                    <w:rPr>
                      <w:szCs w:val="21"/>
                    </w:rPr>
                  </w:pPr>
                  <w:r>
                    <w:rPr>
                      <w:szCs w:val="21"/>
                    </w:rPr>
                    <w:t>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624" w:type="dxa"/>
                  <w:vAlign w:val="center"/>
                </w:tcPr>
                <w:p>
                  <w:pPr>
                    <w:snapToGrid w:val="0"/>
                    <w:jc w:val="center"/>
                    <w:rPr>
                      <w:szCs w:val="21"/>
                    </w:rPr>
                  </w:pPr>
                  <w:r>
                    <w:rPr>
                      <w:szCs w:val="21"/>
                    </w:rPr>
                    <w:t>标准值</w:t>
                  </w:r>
                </w:p>
              </w:tc>
              <w:tc>
                <w:tcPr>
                  <w:tcW w:w="1624" w:type="dxa"/>
                  <w:vAlign w:val="center"/>
                </w:tcPr>
                <w:p>
                  <w:pPr>
                    <w:snapToGrid w:val="0"/>
                    <w:jc w:val="center"/>
                    <w:rPr>
                      <w:szCs w:val="21"/>
                    </w:rPr>
                  </w:pPr>
                  <w:r>
                    <w:rPr>
                      <w:szCs w:val="21"/>
                    </w:rPr>
                    <w:t>≤0.3</w:t>
                  </w:r>
                </w:p>
              </w:tc>
              <w:tc>
                <w:tcPr>
                  <w:tcW w:w="1624" w:type="dxa"/>
                  <w:vAlign w:val="center"/>
                </w:tcPr>
                <w:p>
                  <w:pPr>
                    <w:snapToGrid w:val="0"/>
                    <w:jc w:val="center"/>
                    <w:rPr>
                      <w:szCs w:val="21"/>
                    </w:rPr>
                  </w:pPr>
                  <w:r>
                    <w:rPr>
                      <w:szCs w:val="21"/>
                    </w:rPr>
                    <w:t>≤3.0</w:t>
                  </w:r>
                </w:p>
              </w:tc>
              <w:tc>
                <w:tcPr>
                  <w:tcW w:w="1624" w:type="dxa"/>
                  <w:vAlign w:val="center"/>
                </w:tcPr>
                <w:p>
                  <w:pPr>
                    <w:snapToGrid w:val="0"/>
                    <w:jc w:val="center"/>
                    <w:rPr>
                      <w:szCs w:val="21"/>
                    </w:rPr>
                  </w:pPr>
                  <w:r>
                    <w:rPr>
                      <w:szCs w:val="21"/>
                    </w:rPr>
                    <w:t>≤0.5</w:t>
                  </w:r>
                </w:p>
              </w:tc>
              <w:tc>
                <w:tcPr>
                  <w:tcW w:w="1625" w:type="dxa"/>
                  <w:vAlign w:val="center"/>
                </w:tcPr>
                <w:p>
                  <w:pPr>
                    <w:snapToGrid w:val="0"/>
                    <w:jc w:val="center"/>
                    <w:rPr>
                      <w:szCs w:val="21"/>
                    </w:rPr>
                  </w:pPr>
                  <w:r>
                    <w:rPr>
                      <w:szCs w:val="21"/>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624" w:type="dxa"/>
                  <w:vAlign w:val="center"/>
                </w:tcPr>
                <w:p>
                  <w:pPr>
                    <w:snapToGrid w:val="0"/>
                    <w:jc w:val="center"/>
                    <w:rPr>
                      <w:szCs w:val="21"/>
                    </w:rPr>
                  </w:pPr>
                  <w:r>
                    <w:rPr>
                      <w:szCs w:val="21"/>
                    </w:rPr>
                    <w:t>项目</w:t>
                  </w:r>
                </w:p>
              </w:tc>
              <w:tc>
                <w:tcPr>
                  <w:tcW w:w="1624" w:type="dxa"/>
                  <w:vAlign w:val="center"/>
                </w:tcPr>
                <w:p>
                  <w:pPr>
                    <w:snapToGrid w:val="0"/>
                    <w:jc w:val="center"/>
                    <w:rPr>
                      <w:szCs w:val="21"/>
                    </w:rPr>
                  </w:pPr>
                  <w:r>
                    <w:rPr>
                      <w:szCs w:val="21"/>
                    </w:rPr>
                    <w:t>六价铬</w:t>
                  </w:r>
                </w:p>
              </w:tc>
              <w:tc>
                <w:tcPr>
                  <w:tcW w:w="1624" w:type="dxa"/>
                  <w:vAlign w:val="center"/>
                </w:tcPr>
                <w:p>
                  <w:pPr>
                    <w:snapToGrid w:val="0"/>
                    <w:jc w:val="center"/>
                    <w:rPr>
                      <w:szCs w:val="21"/>
                    </w:rPr>
                  </w:pPr>
                  <w:r>
                    <w:rPr>
                      <w:szCs w:val="21"/>
                    </w:rPr>
                    <w:t>氟化物</w:t>
                  </w:r>
                </w:p>
              </w:tc>
              <w:tc>
                <w:tcPr>
                  <w:tcW w:w="1624" w:type="dxa"/>
                  <w:vAlign w:val="center"/>
                </w:tcPr>
                <w:p>
                  <w:pPr>
                    <w:snapToGrid w:val="0"/>
                    <w:jc w:val="center"/>
                    <w:rPr>
                      <w:szCs w:val="21"/>
                    </w:rPr>
                  </w:pPr>
                  <w:r>
                    <w:rPr>
                      <w:szCs w:val="21"/>
                    </w:rPr>
                    <w:t>总大肠菌群</w:t>
                  </w:r>
                </w:p>
              </w:tc>
              <w:tc>
                <w:tcPr>
                  <w:tcW w:w="1625" w:type="dxa"/>
                  <w:vAlign w:val="center"/>
                </w:tcPr>
                <w:p>
                  <w:pPr>
                    <w:snapToGrid w:val="0"/>
                    <w:jc w:val="center"/>
                    <w:rPr>
                      <w:szCs w:val="21"/>
                    </w:rPr>
                  </w:pPr>
                  <w:r>
                    <w:rPr>
                      <w:szCs w:val="21"/>
                    </w:rPr>
                    <w:t>硫化物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624" w:type="dxa"/>
                  <w:vAlign w:val="center"/>
                </w:tcPr>
                <w:p>
                  <w:pPr>
                    <w:snapToGrid w:val="0"/>
                    <w:jc w:val="center"/>
                    <w:rPr>
                      <w:szCs w:val="21"/>
                    </w:rPr>
                  </w:pPr>
                  <w:r>
                    <w:rPr>
                      <w:szCs w:val="21"/>
                    </w:rPr>
                    <w:t>标准值</w:t>
                  </w:r>
                </w:p>
              </w:tc>
              <w:tc>
                <w:tcPr>
                  <w:tcW w:w="1624" w:type="dxa"/>
                  <w:vAlign w:val="center"/>
                </w:tcPr>
                <w:p>
                  <w:pPr>
                    <w:snapToGrid w:val="0"/>
                    <w:jc w:val="center"/>
                    <w:rPr>
                      <w:szCs w:val="21"/>
                    </w:rPr>
                  </w:pPr>
                  <w:r>
                    <w:rPr>
                      <w:szCs w:val="21"/>
                    </w:rPr>
                    <w:t>≤0.05</w:t>
                  </w:r>
                </w:p>
              </w:tc>
              <w:tc>
                <w:tcPr>
                  <w:tcW w:w="1624" w:type="dxa"/>
                  <w:vAlign w:val="center"/>
                </w:tcPr>
                <w:p>
                  <w:pPr>
                    <w:snapToGrid w:val="0"/>
                    <w:jc w:val="center"/>
                    <w:rPr>
                      <w:szCs w:val="21"/>
                    </w:rPr>
                  </w:pPr>
                  <w:r>
                    <w:rPr>
                      <w:szCs w:val="21"/>
                    </w:rPr>
                    <w:t>≤1.0</w:t>
                  </w:r>
                </w:p>
              </w:tc>
              <w:tc>
                <w:tcPr>
                  <w:tcW w:w="1624" w:type="dxa"/>
                  <w:vAlign w:val="center"/>
                </w:tcPr>
                <w:p>
                  <w:pPr>
                    <w:snapToGrid w:val="0"/>
                    <w:jc w:val="center"/>
                    <w:rPr>
                      <w:szCs w:val="21"/>
                    </w:rPr>
                  </w:pPr>
                  <w:r>
                    <w:rPr>
                      <w:szCs w:val="21"/>
                    </w:rPr>
                    <w:t>≤3 (MPN/100mL）</w:t>
                  </w:r>
                </w:p>
              </w:tc>
              <w:tc>
                <w:tcPr>
                  <w:tcW w:w="1625" w:type="dxa"/>
                  <w:vAlign w:val="center"/>
                </w:tcPr>
                <w:p>
                  <w:pPr>
                    <w:snapToGrid w:val="0"/>
                    <w:jc w:val="center"/>
                    <w:rPr>
                      <w:szCs w:val="21"/>
                    </w:rPr>
                  </w:pPr>
                  <w:r>
                    <w:rPr>
                      <w:szCs w:val="21"/>
                    </w:rPr>
                    <w:t>≤0.02</w:t>
                  </w:r>
                </w:p>
              </w:tc>
            </w:tr>
          </w:tbl>
          <w:p>
            <w:pPr>
              <w:spacing w:line="360" w:lineRule="auto"/>
              <w:ind w:firstLine="420" w:firstLineChars="200"/>
              <w:rPr>
                <w:szCs w:val="21"/>
              </w:rPr>
            </w:pPr>
            <w:r>
              <w:rPr>
                <w:szCs w:val="21"/>
              </w:rPr>
              <w:t>注：COD和石油类参照执行《地表水环境质量标准》（GB3838-2002）Ⅲ类标准。</w:t>
            </w:r>
          </w:p>
          <w:p>
            <w:pPr>
              <w:spacing w:line="360" w:lineRule="auto"/>
              <w:ind w:firstLine="420" w:firstLineChars="200"/>
              <w:rPr>
                <w:szCs w:val="21"/>
              </w:rPr>
            </w:pPr>
            <w:r>
              <w:rPr>
                <w:szCs w:val="21"/>
              </w:rPr>
              <w:t>5、土壤环境质量标准</w:t>
            </w:r>
          </w:p>
          <w:p>
            <w:pPr>
              <w:spacing w:line="360" w:lineRule="auto"/>
              <w:ind w:firstLine="420" w:firstLineChars="200"/>
              <w:rPr>
                <w:szCs w:val="21"/>
              </w:rPr>
            </w:pPr>
            <w:r>
              <w:rPr>
                <w:szCs w:val="21"/>
              </w:rPr>
              <w:t>本项目土壤环境敏感区主要为周边水田和旱地，基本因子执行《土壤环境质量 建设用地土壤污染风险管控标准（试行）》（GB36600-2018）及《土壤环境质量 农用地土壤污染风险管控标准（试行）》（GB15618-2018）。特征因子石油烃参照执行《土壤环境质量建设用地土壤污染风险管控标准（试行）》（GB36600-2018）第二类用地筛选值。硫化物列出监测值。</w:t>
            </w:r>
          </w:p>
          <w:p>
            <w:pPr>
              <w:pStyle w:val="331"/>
              <w:numPr>
                <w:ilvl w:val="0"/>
                <w:numId w:val="6"/>
              </w:numPr>
              <w:adjustRightInd w:val="0"/>
              <w:snapToGrid w:val="0"/>
              <w:spacing w:line="360" w:lineRule="auto"/>
              <w:ind w:left="0" w:firstLine="0" w:firstLineChars="0"/>
              <w:jc w:val="center"/>
              <w:rPr>
                <w:b/>
                <w:bCs/>
                <w:kern w:val="0"/>
                <w:szCs w:val="21"/>
              </w:rPr>
            </w:pPr>
            <w:r>
              <w:rPr>
                <w:b/>
                <w:bCs/>
                <w:kern w:val="0"/>
                <w:szCs w:val="21"/>
              </w:rPr>
              <w:t>《土壤环境质量建设用地土壤污染风险管控标准（试行）》（GB36600-2018） 单位：mg/kg</w:t>
            </w:r>
          </w:p>
          <w:tbl>
            <w:tblPr>
              <w:tblStyle w:val="4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1"/>
              <w:gridCol w:w="1928"/>
              <w:gridCol w:w="1673"/>
              <w:gridCol w:w="1800"/>
              <w:gridCol w:w="16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trPr>
              <w:tc>
                <w:tcPr>
                  <w:tcW w:w="931" w:type="dxa"/>
                  <w:vMerge w:val="restart"/>
                  <w:tcBorders>
                    <w:top w:val="single" w:color="auto" w:sz="4" w:space="0"/>
                    <w:left w:val="single" w:color="auto" w:sz="4" w:space="0"/>
                    <w:bottom w:val="single" w:color="auto" w:sz="4" w:space="0"/>
                    <w:right w:val="single" w:color="auto" w:sz="4" w:space="0"/>
                  </w:tcBorders>
                  <w:vAlign w:val="center"/>
                </w:tcPr>
                <w:p>
                  <w:pPr>
                    <w:pStyle w:val="311"/>
                    <w:spacing w:line="240" w:lineRule="auto"/>
                    <w:rPr>
                      <w:rFonts w:ascii="Times New Roman" w:hAnsi="Times New Roman" w:eastAsia="宋体"/>
                      <w:b w:val="0"/>
                      <w:bCs w:val="0"/>
                      <w:color w:val="auto"/>
                      <w:kern w:val="2"/>
                      <w:sz w:val="21"/>
                      <w:szCs w:val="21"/>
                    </w:rPr>
                  </w:pPr>
                  <w:r>
                    <w:rPr>
                      <w:rFonts w:ascii="Times New Roman" w:hAnsi="Times New Roman" w:eastAsia="宋体"/>
                      <w:b w:val="0"/>
                      <w:bCs w:val="0"/>
                      <w:color w:val="auto"/>
                      <w:sz w:val="21"/>
                      <w:szCs w:val="21"/>
                    </w:rPr>
                    <w:t>序号</w:t>
                  </w:r>
                </w:p>
              </w:tc>
              <w:tc>
                <w:tcPr>
                  <w:tcW w:w="1928" w:type="dxa"/>
                  <w:vMerge w:val="restart"/>
                  <w:tcBorders>
                    <w:top w:val="single" w:color="auto" w:sz="4" w:space="0"/>
                    <w:left w:val="single" w:color="auto" w:sz="4" w:space="0"/>
                    <w:bottom w:val="single" w:color="auto" w:sz="4" w:space="0"/>
                    <w:right w:val="single" w:color="auto" w:sz="4" w:space="0"/>
                  </w:tcBorders>
                  <w:vAlign w:val="center"/>
                </w:tcPr>
                <w:p>
                  <w:pPr>
                    <w:pStyle w:val="311"/>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监测项目</w:t>
                  </w:r>
                </w:p>
              </w:tc>
              <w:tc>
                <w:tcPr>
                  <w:tcW w:w="1673" w:type="dxa"/>
                  <w:vMerge w:val="restart"/>
                  <w:tcBorders>
                    <w:top w:val="single" w:color="auto" w:sz="4" w:space="0"/>
                    <w:left w:val="single" w:color="auto" w:sz="4" w:space="0"/>
                    <w:bottom w:val="single" w:color="auto" w:sz="4" w:space="0"/>
                    <w:right w:val="single" w:color="auto" w:sz="4" w:space="0"/>
                  </w:tcBorders>
                  <w:vAlign w:val="center"/>
                </w:tcPr>
                <w:p>
                  <w:pPr>
                    <w:pStyle w:val="311"/>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CAS编号</w:t>
                  </w:r>
                </w:p>
              </w:tc>
              <w:tc>
                <w:tcPr>
                  <w:tcW w:w="1800" w:type="dxa"/>
                  <w:tcBorders>
                    <w:top w:val="single" w:color="auto" w:sz="4" w:space="0"/>
                    <w:left w:val="single" w:color="auto" w:sz="4" w:space="0"/>
                    <w:bottom w:val="single" w:color="auto" w:sz="4" w:space="0"/>
                    <w:right w:val="single" w:color="auto" w:sz="4" w:space="0"/>
                  </w:tcBorders>
                  <w:vAlign w:val="center"/>
                </w:tcPr>
                <w:p>
                  <w:pPr>
                    <w:pStyle w:val="311"/>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筛选值</w:t>
                  </w:r>
                </w:p>
              </w:tc>
              <w:tc>
                <w:tcPr>
                  <w:tcW w:w="1695" w:type="dxa"/>
                  <w:tcBorders>
                    <w:top w:val="single" w:color="auto" w:sz="4" w:space="0"/>
                    <w:left w:val="single" w:color="auto" w:sz="4" w:space="0"/>
                    <w:bottom w:val="single" w:color="auto" w:sz="4" w:space="0"/>
                    <w:right w:val="single" w:color="auto" w:sz="4" w:space="0"/>
                  </w:tcBorders>
                  <w:vAlign w:val="center"/>
                </w:tcPr>
                <w:p>
                  <w:pPr>
                    <w:pStyle w:val="311"/>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管制值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trPr>
              <w:tc>
                <w:tcPr>
                  <w:tcW w:w="931"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szCs w:val="21"/>
                    </w:rPr>
                  </w:pPr>
                </w:p>
              </w:tc>
              <w:tc>
                <w:tcPr>
                  <w:tcW w:w="1928"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szCs w:val="21"/>
                    </w:rPr>
                  </w:pPr>
                </w:p>
              </w:tc>
              <w:tc>
                <w:tcPr>
                  <w:tcW w:w="1673"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szCs w:val="21"/>
                    </w:rPr>
                  </w:pPr>
                </w:p>
              </w:tc>
              <w:tc>
                <w:tcPr>
                  <w:tcW w:w="1800" w:type="dxa"/>
                  <w:tcBorders>
                    <w:top w:val="single" w:color="auto" w:sz="4" w:space="0"/>
                    <w:left w:val="single" w:color="auto" w:sz="4" w:space="0"/>
                    <w:bottom w:val="single" w:color="auto" w:sz="4" w:space="0"/>
                    <w:right w:val="single" w:color="auto" w:sz="4" w:space="0"/>
                  </w:tcBorders>
                  <w:vAlign w:val="center"/>
                </w:tcPr>
                <w:p>
                  <w:pPr>
                    <w:pStyle w:val="311"/>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第一类用地</w:t>
                  </w:r>
                </w:p>
              </w:tc>
              <w:tc>
                <w:tcPr>
                  <w:tcW w:w="1695" w:type="dxa"/>
                  <w:tcBorders>
                    <w:top w:val="single" w:color="auto" w:sz="4" w:space="0"/>
                    <w:left w:val="single" w:color="auto" w:sz="4" w:space="0"/>
                    <w:bottom w:val="single" w:color="auto" w:sz="4" w:space="0"/>
                    <w:right w:val="single" w:color="auto" w:sz="4" w:space="0"/>
                  </w:tcBorders>
                  <w:vAlign w:val="center"/>
                </w:tcPr>
                <w:p>
                  <w:pPr>
                    <w:pStyle w:val="311"/>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第一类用地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027" w:type="dxa"/>
                  <w:gridSpan w:val="5"/>
                  <w:tcBorders>
                    <w:top w:val="single" w:color="auto" w:sz="4" w:space="0"/>
                    <w:left w:val="single" w:color="auto" w:sz="4" w:space="0"/>
                    <w:bottom w:val="single" w:color="auto" w:sz="4" w:space="0"/>
                    <w:right w:val="single" w:color="auto" w:sz="4" w:space="0"/>
                  </w:tcBorders>
                  <w:vAlign w:val="center"/>
                </w:tcPr>
                <w:p>
                  <w:pPr>
                    <w:pStyle w:val="311"/>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重金属和无机物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op w:val="single" w:color="auto" w:sz="4" w:space="0"/>
                    <w:left w:val="single" w:color="auto" w:sz="4" w:space="0"/>
                    <w:bottom w:val="single" w:color="auto" w:sz="4" w:space="0"/>
                    <w:right w:val="single" w:color="auto" w:sz="4" w:space="0"/>
                  </w:tcBorders>
                  <w:vAlign w:val="center"/>
                </w:tcPr>
                <w:p>
                  <w:pPr>
                    <w:pStyle w:val="311"/>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1</w:t>
                  </w:r>
                </w:p>
              </w:tc>
              <w:tc>
                <w:tcPr>
                  <w:tcW w:w="1928" w:type="dxa"/>
                  <w:tcBorders>
                    <w:top w:val="single" w:color="auto" w:sz="4" w:space="0"/>
                    <w:left w:val="single" w:color="auto" w:sz="4" w:space="0"/>
                    <w:bottom w:val="single" w:color="auto" w:sz="4" w:space="0"/>
                    <w:right w:val="single" w:color="auto" w:sz="4" w:space="0"/>
                  </w:tcBorders>
                  <w:vAlign w:val="center"/>
                </w:tcPr>
                <w:p>
                  <w:pPr>
                    <w:pStyle w:val="311"/>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砷</w:t>
                  </w:r>
                </w:p>
              </w:tc>
              <w:tc>
                <w:tcPr>
                  <w:tcW w:w="1673" w:type="dxa"/>
                  <w:tcBorders>
                    <w:top w:val="single" w:color="auto" w:sz="4" w:space="0"/>
                    <w:left w:val="single" w:color="auto" w:sz="4" w:space="0"/>
                    <w:bottom w:val="single" w:color="auto" w:sz="4" w:space="0"/>
                    <w:right w:val="single" w:color="auto" w:sz="4" w:space="0"/>
                  </w:tcBorders>
                  <w:vAlign w:val="center"/>
                </w:tcPr>
                <w:p>
                  <w:pPr>
                    <w:pStyle w:val="311"/>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7440-38-2</w:t>
                  </w:r>
                </w:p>
              </w:tc>
              <w:tc>
                <w:tcPr>
                  <w:tcW w:w="1800" w:type="dxa"/>
                  <w:tcBorders>
                    <w:top w:val="single" w:color="auto" w:sz="4" w:space="0"/>
                    <w:left w:val="single" w:color="auto" w:sz="4" w:space="0"/>
                    <w:bottom w:val="single" w:color="auto" w:sz="4" w:space="0"/>
                    <w:right w:val="single" w:color="auto" w:sz="4" w:space="0"/>
                  </w:tcBorders>
                  <w:vAlign w:val="center"/>
                </w:tcPr>
                <w:p>
                  <w:pPr>
                    <w:pStyle w:val="311"/>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20</w:t>
                  </w:r>
                </w:p>
              </w:tc>
              <w:tc>
                <w:tcPr>
                  <w:tcW w:w="1695" w:type="dxa"/>
                  <w:tcBorders>
                    <w:top w:val="single" w:color="auto" w:sz="4" w:space="0"/>
                    <w:left w:val="single" w:color="auto" w:sz="4" w:space="0"/>
                    <w:bottom w:val="single" w:color="auto" w:sz="4" w:space="0"/>
                    <w:right w:val="single" w:color="auto" w:sz="4" w:space="0"/>
                  </w:tcBorders>
                  <w:vAlign w:val="center"/>
                </w:tcPr>
                <w:p>
                  <w:pPr>
                    <w:pStyle w:val="311"/>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op w:val="single" w:color="auto" w:sz="4" w:space="0"/>
                    <w:left w:val="single" w:color="auto" w:sz="4" w:space="0"/>
                    <w:bottom w:val="single" w:color="auto" w:sz="4" w:space="0"/>
                    <w:right w:val="single" w:color="auto" w:sz="4" w:space="0"/>
                  </w:tcBorders>
                  <w:vAlign w:val="center"/>
                </w:tcPr>
                <w:p>
                  <w:pPr>
                    <w:pStyle w:val="311"/>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2</w:t>
                  </w:r>
                </w:p>
              </w:tc>
              <w:tc>
                <w:tcPr>
                  <w:tcW w:w="1928" w:type="dxa"/>
                  <w:tcBorders>
                    <w:top w:val="single" w:color="auto" w:sz="4" w:space="0"/>
                    <w:left w:val="single" w:color="auto" w:sz="4" w:space="0"/>
                    <w:bottom w:val="single" w:color="auto" w:sz="4" w:space="0"/>
                    <w:right w:val="single" w:color="auto" w:sz="4" w:space="0"/>
                  </w:tcBorders>
                  <w:vAlign w:val="center"/>
                </w:tcPr>
                <w:p>
                  <w:pPr>
                    <w:pStyle w:val="311"/>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镉</w:t>
                  </w:r>
                </w:p>
              </w:tc>
              <w:tc>
                <w:tcPr>
                  <w:tcW w:w="1673" w:type="dxa"/>
                  <w:tcBorders>
                    <w:top w:val="single" w:color="auto" w:sz="4" w:space="0"/>
                    <w:left w:val="single" w:color="auto" w:sz="4" w:space="0"/>
                    <w:bottom w:val="single" w:color="auto" w:sz="4" w:space="0"/>
                    <w:right w:val="single" w:color="auto" w:sz="4" w:space="0"/>
                  </w:tcBorders>
                  <w:vAlign w:val="center"/>
                </w:tcPr>
                <w:p>
                  <w:pPr>
                    <w:pStyle w:val="311"/>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7440-43-9</w:t>
                  </w:r>
                </w:p>
              </w:tc>
              <w:tc>
                <w:tcPr>
                  <w:tcW w:w="1800" w:type="dxa"/>
                  <w:tcBorders>
                    <w:top w:val="single" w:color="auto" w:sz="4" w:space="0"/>
                    <w:left w:val="single" w:color="auto" w:sz="4" w:space="0"/>
                    <w:bottom w:val="single" w:color="auto" w:sz="4" w:space="0"/>
                    <w:right w:val="single" w:color="auto" w:sz="4" w:space="0"/>
                  </w:tcBorders>
                  <w:vAlign w:val="center"/>
                </w:tcPr>
                <w:p>
                  <w:pPr>
                    <w:pStyle w:val="311"/>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20</w:t>
                  </w:r>
                </w:p>
              </w:tc>
              <w:tc>
                <w:tcPr>
                  <w:tcW w:w="1695" w:type="dxa"/>
                  <w:tcBorders>
                    <w:top w:val="single" w:color="auto" w:sz="4" w:space="0"/>
                    <w:left w:val="single" w:color="auto" w:sz="4" w:space="0"/>
                    <w:bottom w:val="single" w:color="auto" w:sz="4" w:space="0"/>
                    <w:right w:val="single" w:color="auto" w:sz="4" w:space="0"/>
                  </w:tcBorders>
                  <w:vAlign w:val="center"/>
                </w:tcPr>
                <w:p>
                  <w:pPr>
                    <w:pStyle w:val="311"/>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op w:val="single" w:color="auto" w:sz="4" w:space="0"/>
                    <w:left w:val="single" w:color="auto" w:sz="4" w:space="0"/>
                    <w:bottom w:val="single" w:color="auto" w:sz="4" w:space="0"/>
                    <w:right w:val="single" w:color="auto" w:sz="4" w:space="0"/>
                  </w:tcBorders>
                  <w:vAlign w:val="center"/>
                </w:tcPr>
                <w:p>
                  <w:pPr>
                    <w:pStyle w:val="311"/>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3</w:t>
                  </w:r>
                </w:p>
              </w:tc>
              <w:tc>
                <w:tcPr>
                  <w:tcW w:w="1928" w:type="dxa"/>
                  <w:tcBorders>
                    <w:top w:val="single" w:color="auto" w:sz="4" w:space="0"/>
                    <w:left w:val="single" w:color="auto" w:sz="4" w:space="0"/>
                    <w:bottom w:val="single" w:color="auto" w:sz="4" w:space="0"/>
                    <w:right w:val="single" w:color="auto" w:sz="4" w:space="0"/>
                  </w:tcBorders>
                  <w:vAlign w:val="center"/>
                </w:tcPr>
                <w:p>
                  <w:pPr>
                    <w:pStyle w:val="311"/>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铬（六价）</w:t>
                  </w:r>
                </w:p>
              </w:tc>
              <w:tc>
                <w:tcPr>
                  <w:tcW w:w="1673" w:type="dxa"/>
                  <w:tcBorders>
                    <w:top w:val="single" w:color="auto" w:sz="4" w:space="0"/>
                    <w:left w:val="single" w:color="auto" w:sz="4" w:space="0"/>
                    <w:bottom w:val="single" w:color="auto" w:sz="4" w:space="0"/>
                    <w:right w:val="single" w:color="auto" w:sz="4" w:space="0"/>
                  </w:tcBorders>
                  <w:vAlign w:val="center"/>
                </w:tcPr>
                <w:p>
                  <w:pPr>
                    <w:pStyle w:val="311"/>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18540-29-9</w:t>
                  </w:r>
                </w:p>
              </w:tc>
              <w:tc>
                <w:tcPr>
                  <w:tcW w:w="1800" w:type="dxa"/>
                  <w:tcBorders>
                    <w:top w:val="single" w:color="auto" w:sz="4" w:space="0"/>
                    <w:left w:val="single" w:color="auto" w:sz="4" w:space="0"/>
                    <w:bottom w:val="single" w:color="auto" w:sz="4" w:space="0"/>
                    <w:right w:val="single" w:color="auto" w:sz="4" w:space="0"/>
                  </w:tcBorders>
                  <w:vAlign w:val="center"/>
                </w:tcPr>
                <w:p>
                  <w:pPr>
                    <w:pStyle w:val="311"/>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3.0</w:t>
                  </w:r>
                </w:p>
              </w:tc>
              <w:tc>
                <w:tcPr>
                  <w:tcW w:w="1695" w:type="dxa"/>
                  <w:tcBorders>
                    <w:top w:val="single" w:color="auto" w:sz="4" w:space="0"/>
                    <w:left w:val="single" w:color="auto" w:sz="4" w:space="0"/>
                    <w:bottom w:val="single" w:color="auto" w:sz="4" w:space="0"/>
                    <w:right w:val="single" w:color="auto" w:sz="4" w:space="0"/>
                  </w:tcBorders>
                  <w:vAlign w:val="center"/>
                </w:tcPr>
                <w:p>
                  <w:pPr>
                    <w:pStyle w:val="311"/>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op w:val="single" w:color="auto" w:sz="4" w:space="0"/>
                    <w:left w:val="single" w:color="auto" w:sz="4" w:space="0"/>
                    <w:bottom w:val="single" w:color="auto" w:sz="4" w:space="0"/>
                    <w:right w:val="single" w:color="auto" w:sz="4" w:space="0"/>
                  </w:tcBorders>
                  <w:vAlign w:val="center"/>
                </w:tcPr>
                <w:p>
                  <w:pPr>
                    <w:pStyle w:val="311"/>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4</w:t>
                  </w:r>
                </w:p>
              </w:tc>
              <w:tc>
                <w:tcPr>
                  <w:tcW w:w="1928" w:type="dxa"/>
                  <w:tcBorders>
                    <w:top w:val="single" w:color="auto" w:sz="4" w:space="0"/>
                    <w:left w:val="single" w:color="auto" w:sz="4" w:space="0"/>
                    <w:bottom w:val="single" w:color="auto" w:sz="4" w:space="0"/>
                    <w:right w:val="single" w:color="auto" w:sz="4" w:space="0"/>
                  </w:tcBorders>
                  <w:vAlign w:val="center"/>
                </w:tcPr>
                <w:p>
                  <w:pPr>
                    <w:pStyle w:val="311"/>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铜</w:t>
                  </w:r>
                </w:p>
              </w:tc>
              <w:tc>
                <w:tcPr>
                  <w:tcW w:w="1673" w:type="dxa"/>
                  <w:tcBorders>
                    <w:top w:val="single" w:color="auto" w:sz="4" w:space="0"/>
                    <w:left w:val="single" w:color="auto" w:sz="4" w:space="0"/>
                    <w:bottom w:val="single" w:color="auto" w:sz="4" w:space="0"/>
                    <w:right w:val="single" w:color="auto" w:sz="4" w:space="0"/>
                  </w:tcBorders>
                  <w:vAlign w:val="center"/>
                </w:tcPr>
                <w:p>
                  <w:pPr>
                    <w:pStyle w:val="311"/>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7440-50-8</w:t>
                  </w:r>
                </w:p>
              </w:tc>
              <w:tc>
                <w:tcPr>
                  <w:tcW w:w="1800" w:type="dxa"/>
                  <w:tcBorders>
                    <w:top w:val="single" w:color="auto" w:sz="4" w:space="0"/>
                    <w:left w:val="single" w:color="auto" w:sz="4" w:space="0"/>
                    <w:bottom w:val="single" w:color="auto" w:sz="4" w:space="0"/>
                    <w:right w:val="single" w:color="auto" w:sz="4" w:space="0"/>
                  </w:tcBorders>
                  <w:vAlign w:val="center"/>
                </w:tcPr>
                <w:p>
                  <w:pPr>
                    <w:pStyle w:val="311"/>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2000</w:t>
                  </w:r>
                </w:p>
              </w:tc>
              <w:tc>
                <w:tcPr>
                  <w:tcW w:w="1695" w:type="dxa"/>
                  <w:tcBorders>
                    <w:top w:val="single" w:color="auto" w:sz="4" w:space="0"/>
                    <w:left w:val="single" w:color="auto" w:sz="4" w:space="0"/>
                    <w:bottom w:val="single" w:color="auto" w:sz="4" w:space="0"/>
                    <w:right w:val="single" w:color="auto" w:sz="4" w:space="0"/>
                  </w:tcBorders>
                  <w:vAlign w:val="center"/>
                </w:tcPr>
                <w:p>
                  <w:pPr>
                    <w:pStyle w:val="311"/>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8000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op w:val="single" w:color="auto" w:sz="4" w:space="0"/>
                    <w:left w:val="single" w:color="auto" w:sz="4" w:space="0"/>
                    <w:bottom w:val="single" w:color="auto" w:sz="4" w:space="0"/>
                    <w:right w:val="single" w:color="auto" w:sz="4" w:space="0"/>
                  </w:tcBorders>
                  <w:vAlign w:val="center"/>
                </w:tcPr>
                <w:p>
                  <w:pPr>
                    <w:pStyle w:val="311"/>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5</w:t>
                  </w:r>
                </w:p>
              </w:tc>
              <w:tc>
                <w:tcPr>
                  <w:tcW w:w="1928" w:type="dxa"/>
                  <w:tcBorders>
                    <w:top w:val="single" w:color="auto" w:sz="4" w:space="0"/>
                    <w:left w:val="single" w:color="auto" w:sz="4" w:space="0"/>
                    <w:bottom w:val="single" w:color="auto" w:sz="4" w:space="0"/>
                    <w:right w:val="single" w:color="auto" w:sz="4" w:space="0"/>
                  </w:tcBorders>
                  <w:vAlign w:val="center"/>
                </w:tcPr>
                <w:p>
                  <w:pPr>
                    <w:pStyle w:val="311"/>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铅</w:t>
                  </w:r>
                </w:p>
              </w:tc>
              <w:tc>
                <w:tcPr>
                  <w:tcW w:w="1673" w:type="dxa"/>
                  <w:tcBorders>
                    <w:top w:val="single" w:color="auto" w:sz="4" w:space="0"/>
                    <w:left w:val="single" w:color="auto" w:sz="4" w:space="0"/>
                    <w:bottom w:val="single" w:color="auto" w:sz="4" w:space="0"/>
                    <w:right w:val="single" w:color="auto" w:sz="4" w:space="0"/>
                  </w:tcBorders>
                  <w:vAlign w:val="center"/>
                </w:tcPr>
                <w:p>
                  <w:pPr>
                    <w:pStyle w:val="311"/>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7439-92-1</w:t>
                  </w:r>
                </w:p>
              </w:tc>
              <w:tc>
                <w:tcPr>
                  <w:tcW w:w="1800" w:type="dxa"/>
                  <w:tcBorders>
                    <w:top w:val="single" w:color="auto" w:sz="4" w:space="0"/>
                    <w:left w:val="single" w:color="auto" w:sz="4" w:space="0"/>
                    <w:bottom w:val="single" w:color="auto" w:sz="4" w:space="0"/>
                    <w:right w:val="single" w:color="auto" w:sz="4" w:space="0"/>
                  </w:tcBorders>
                  <w:vAlign w:val="center"/>
                </w:tcPr>
                <w:p>
                  <w:pPr>
                    <w:pStyle w:val="311"/>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400</w:t>
                  </w:r>
                </w:p>
              </w:tc>
              <w:tc>
                <w:tcPr>
                  <w:tcW w:w="1695" w:type="dxa"/>
                  <w:tcBorders>
                    <w:top w:val="single" w:color="auto" w:sz="4" w:space="0"/>
                    <w:left w:val="single" w:color="auto" w:sz="4" w:space="0"/>
                    <w:bottom w:val="single" w:color="auto" w:sz="4" w:space="0"/>
                    <w:right w:val="single" w:color="auto" w:sz="4" w:space="0"/>
                  </w:tcBorders>
                  <w:vAlign w:val="center"/>
                </w:tcPr>
                <w:p>
                  <w:pPr>
                    <w:pStyle w:val="311"/>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op w:val="single" w:color="auto" w:sz="4" w:space="0"/>
                    <w:left w:val="single" w:color="auto" w:sz="4" w:space="0"/>
                    <w:bottom w:val="single" w:color="auto" w:sz="4" w:space="0"/>
                    <w:right w:val="single" w:color="auto" w:sz="4" w:space="0"/>
                  </w:tcBorders>
                  <w:vAlign w:val="center"/>
                </w:tcPr>
                <w:p>
                  <w:pPr>
                    <w:pStyle w:val="311"/>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6</w:t>
                  </w:r>
                </w:p>
              </w:tc>
              <w:tc>
                <w:tcPr>
                  <w:tcW w:w="1928" w:type="dxa"/>
                  <w:tcBorders>
                    <w:top w:val="single" w:color="auto" w:sz="4" w:space="0"/>
                    <w:left w:val="single" w:color="auto" w:sz="4" w:space="0"/>
                    <w:bottom w:val="single" w:color="auto" w:sz="4" w:space="0"/>
                    <w:right w:val="single" w:color="auto" w:sz="4" w:space="0"/>
                  </w:tcBorders>
                  <w:vAlign w:val="center"/>
                </w:tcPr>
                <w:p>
                  <w:pPr>
                    <w:pStyle w:val="311"/>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汞</w:t>
                  </w:r>
                </w:p>
              </w:tc>
              <w:tc>
                <w:tcPr>
                  <w:tcW w:w="1673" w:type="dxa"/>
                  <w:tcBorders>
                    <w:top w:val="single" w:color="auto" w:sz="4" w:space="0"/>
                    <w:left w:val="single" w:color="auto" w:sz="4" w:space="0"/>
                    <w:bottom w:val="single" w:color="auto" w:sz="4" w:space="0"/>
                    <w:right w:val="single" w:color="auto" w:sz="4" w:space="0"/>
                  </w:tcBorders>
                  <w:vAlign w:val="center"/>
                </w:tcPr>
                <w:p>
                  <w:pPr>
                    <w:pStyle w:val="311"/>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7439-97-6</w:t>
                  </w:r>
                </w:p>
              </w:tc>
              <w:tc>
                <w:tcPr>
                  <w:tcW w:w="1800" w:type="dxa"/>
                  <w:tcBorders>
                    <w:top w:val="single" w:color="auto" w:sz="4" w:space="0"/>
                    <w:left w:val="single" w:color="auto" w:sz="4" w:space="0"/>
                    <w:bottom w:val="single" w:color="auto" w:sz="4" w:space="0"/>
                    <w:right w:val="single" w:color="auto" w:sz="4" w:space="0"/>
                  </w:tcBorders>
                  <w:vAlign w:val="center"/>
                </w:tcPr>
                <w:p>
                  <w:pPr>
                    <w:pStyle w:val="311"/>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8</w:t>
                  </w:r>
                </w:p>
              </w:tc>
              <w:tc>
                <w:tcPr>
                  <w:tcW w:w="1695" w:type="dxa"/>
                  <w:tcBorders>
                    <w:top w:val="single" w:color="auto" w:sz="4" w:space="0"/>
                    <w:left w:val="single" w:color="auto" w:sz="4" w:space="0"/>
                    <w:bottom w:val="single" w:color="auto" w:sz="4" w:space="0"/>
                    <w:right w:val="single" w:color="auto" w:sz="4" w:space="0"/>
                  </w:tcBorders>
                  <w:vAlign w:val="center"/>
                </w:tcPr>
                <w:p>
                  <w:pPr>
                    <w:pStyle w:val="311"/>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op w:val="single" w:color="auto" w:sz="4" w:space="0"/>
                    <w:left w:val="single" w:color="auto" w:sz="4" w:space="0"/>
                    <w:bottom w:val="single" w:color="auto" w:sz="4" w:space="0"/>
                    <w:right w:val="single" w:color="auto" w:sz="4" w:space="0"/>
                  </w:tcBorders>
                  <w:vAlign w:val="center"/>
                </w:tcPr>
                <w:p>
                  <w:pPr>
                    <w:pStyle w:val="311"/>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7</w:t>
                  </w:r>
                </w:p>
              </w:tc>
              <w:tc>
                <w:tcPr>
                  <w:tcW w:w="1928" w:type="dxa"/>
                  <w:tcBorders>
                    <w:top w:val="single" w:color="auto" w:sz="4" w:space="0"/>
                    <w:left w:val="single" w:color="auto" w:sz="4" w:space="0"/>
                    <w:bottom w:val="single" w:color="auto" w:sz="4" w:space="0"/>
                    <w:right w:val="single" w:color="auto" w:sz="4" w:space="0"/>
                  </w:tcBorders>
                  <w:vAlign w:val="center"/>
                </w:tcPr>
                <w:p>
                  <w:pPr>
                    <w:pStyle w:val="311"/>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镍</w:t>
                  </w:r>
                </w:p>
              </w:tc>
              <w:tc>
                <w:tcPr>
                  <w:tcW w:w="1673" w:type="dxa"/>
                  <w:tcBorders>
                    <w:top w:val="single" w:color="auto" w:sz="4" w:space="0"/>
                    <w:left w:val="single" w:color="auto" w:sz="4" w:space="0"/>
                    <w:bottom w:val="single" w:color="auto" w:sz="4" w:space="0"/>
                    <w:right w:val="single" w:color="auto" w:sz="4" w:space="0"/>
                  </w:tcBorders>
                  <w:vAlign w:val="center"/>
                </w:tcPr>
                <w:p>
                  <w:pPr>
                    <w:pStyle w:val="311"/>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7440-02-0</w:t>
                  </w:r>
                </w:p>
              </w:tc>
              <w:tc>
                <w:tcPr>
                  <w:tcW w:w="1800" w:type="dxa"/>
                  <w:tcBorders>
                    <w:top w:val="single" w:color="auto" w:sz="4" w:space="0"/>
                    <w:left w:val="single" w:color="auto" w:sz="4" w:space="0"/>
                    <w:bottom w:val="single" w:color="auto" w:sz="4" w:space="0"/>
                    <w:right w:val="single" w:color="auto" w:sz="4" w:space="0"/>
                  </w:tcBorders>
                  <w:vAlign w:val="center"/>
                </w:tcPr>
                <w:p>
                  <w:pPr>
                    <w:pStyle w:val="311"/>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150</w:t>
                  </w:r>
                </w:p>
              </w:tc>
              <w:tc>
                <w:tcPr>
                  <w:tcW w:w="1695" w:type="dxa"/>
                  <w:tcBorders>
                    <w:top w:val="single" w:color="auto" w:sz="4" w:space="0"/>
                    <w:left w:val="single" w:color="auto" w:sz="4" w:space="0"/>
                    <w:bottom w:val="single" w:color="auto" w:sz="4" w:space="0"/>
                    <w:right w:val="single" w:color="auto" w:sz="4" w:space="0"/>
                  </w:tcBorders>
                  <w:vAlign w:val="center"/>
                </w:tcPr>
                <w:p>
                  <w:pPr>
                    <w:pStyle w:val="311"/>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027" w:type="dxa"/>
                  <w:gridSpan w:val="5"/>
                  <w:tcBorders>
                    <w:top w:val="single" w:color="auto" w:sz="4" w:space="0"/>
                    <w:left w:val="single" w:color="auto" w:sz="4" w:space="0"/>
                    <w:bottom w:val="single" w:color="auto" w:sz="4" w:space="0"/>
                    <w:right w:val="single" w:color="auto" w:sz="4" w:space="0"/>
                  </w:tcBorders>
                  <w:vAlign w:val="center"/>
                </w:tcPr>
                <w:p>
                  <w:pPr>
                    <w:pStyle w:val="311"/>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挥发性有机物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op w:val="single" w:color="auto" w:sz="4" w:space="0"/>
                    <w:left w:val="single" w:color="auto" w:sz="4" w:space="0"/>
                    <w:bottom w:val="single" w:color="auto" w:sz="4" w:space="0"/>
                    <w:right w:val="single" w:color="auto" w:sz="4" w:space="0"/>
                  </w:tcBorders>
                  <w:vAlign w:val="center"/>
                </w:tcPr>
                <w:p>
                  <w:pPr>
                    <w:pStyle w:val="311"/>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8</w:t>
                  </w:r>
                </w:p>
              </w:tc>
              <w:tc>
                <w:tcPr>
                  <w:tcW w:w="1928" w:type="dxa"/>
                  <w:tcBorders>
                    <w:top w:val="single" w:color="auto" w:sz="4" w:space="0"/>
                    <w:left w:val="single" w:color="auto" w:sz="4" w:space="0"/>
                    <w:bottom w:val="single" w:color="auto" w:sz="4" w:space="0"/>
                    <w:right w:val="single" w:color="auto" w:sz="4" w:space="0"/>
                  </w:tcBorders>
                  <w:vAlign w:val="center"/>
                </w:tcPr>
                <w:p>
                  <w:pPr>
                    <w:pStyle w:val="311"/>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四氯化碳</w:t>
                  </w:r>
                </w:p>
              </w:tc>
              <w:tc>
                <w:tcPr>
                  <w:tcW w:w="1673" w:type="dxa"/>
                  <w:tcBorders>
                    <w:top w:val="single" w:color="auto" w:sz="4" w:space="0"/>
                    <w:left w:val="single" w:color="auto" w:sz="4" w:space="0"/>
                    <w:bottom w:val="single" w:color="auto" w:sz="4" w:space="0"/>
                    <w:right w:val="single" w:color="auto" w:sz="4" w:space="0"/>
                  </w:tcBorders>
                  <w:vAlign w:val="center"/>
                </w:tcPr>
                <w:p>
                  <w:pPr>
                    <w:pStyle w:val="311"/>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56-23-5</w:t>
                  </w:r>
                </w:p>
              </w:tc>
              <w:tc>
                <w:tcPr>
                  <w:tcW w:w="1800" w:type="dxa"/>
                  <w:tcBorders>
                    <w:top w:val="single" w:color="auto" w:sz="4" w:space="0"/>
                    <w:left w:val="single" w:color="auto" w:sz="4" w:space="0"/>
                    <w:bottom w:val="single" w:color="auto" w:sz="4" w:space="0"/>
                    <w:right w:val="single" w:color="auto" w:sz="4" w:space="0"/>
                  </w:tcBorders>
                  <w:vAlign w:val="center"/>
                </w:tcPr>
                <w:p>
                  <w:pPr>
                    <w:pStyle w:val="311"/>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0.9</w:t>
                  </w:r>
                </w:p>
              </w:tc>
              <w:tc>
                <w:tcPr>
                  <w:tcW w:w="1695" w:type="dxa"/>
                  <w:tcBorders>
                    <w:top w:val="single" w:color="auto" w:sz="4" w:space="0"/>
                    <w:left w:val="single" w:color="auto" w:sz="4" w:space="0"/>
                    <w:bottom w:val="single" w:color="auto" w:sz="4" w:space="0"/>
                    <w:right w:val="single" w:color="auto" w:sz="4" w:space="0"/>
                  </w:tcBorders>
                  <w:vAlign w:val="center"/>
                </w:tcPr>
                <w:p>
                  <w:pPr>
                    <w:pStyle w:val="311"/>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op w:val="single" w:color="auto" w:sz="4" w:space="0"/>
                    <w:left w:val="single" w:color="auto" w:sz="4" w:space="0"/>
                    <w:bottom w:val="single" w:color="auto" w:sz="4" w:space="0"/>
                    <w:right w:val="single" w:color="auto" w:sz="4" w:space="0"/>
                  </w:tcBorders>
                  <w:vAlign w:val="center"/>
                </w:tcPr>
                <w:p>
                  <w:pPr>
                    <w:pStyle w:val="311"/>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9</w:t>
                  </w:r>
                </w:p>
              </w:tc>
              <w:tc>
                <w:tcPr>
                  <w:tcW w:w="1928" w:type="dxa"/>
                  <w:tcBorders>
                    <w:top w:val="single" w:color="auto" w:sz="4" w:space="0"/>
                    <w:left w:val="single" w:color="auto" w:sz="4" w:space="0"/>
                    <w:bottom w:val="single" w:color="auto" w:sz="4" w:space="0"/>
                    <w:right w:val="single" w:color="auto" w:sz="4" w:space="0"/>
                  </w:tcBorders>
                  <w:vAlign w:val="center"/>
                </w:tcPr>
                <w:p>
                  <w:pPr>
                    <w:pStyle w:val="311"/>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氯仿</w:t>
                  </w:r>
                </w:p>
              </w:tc>
              <w:tc>
                <w:tcPr>
                  <w:tcW w:w="1673" w:type="dxa"/>
                  <w:tcBorders>
                    <w:top w:val="single" w:color="auto" w:sz="4" w:space="0"/>
                    <w:left w:val="single" w:color="auto" w:sz="4" w:space="0"/>
                    <w:bottom w:val="single" w:color="auto" w:sz="4" w:space="0"/>
                    <w:right w:val="single" w:color="auto" w:sz="4" w:space="0"/>
                  </w:tcBorders>
                  <w:vAlign w:val="center"/>
                </w:tcPr>
                <w:p>
                  <w:pPr>
                    <w:pStyle w:val="311"/>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67-66-3</w:t>
                  </w:r>
                </w:p>
              </w:tc>
              <w:tc>
                <w:tcPr>
                  <w:tcW w:w="1800" w:type="dxa"/>
                  <w:tcBorders>
                    <w:top w:val="single" w:color="auto" w:sz="4" w:space="0"/>
                    <w:left w:val="single" w:color="auto" w:sz="4" w:space="0"/>
                    <w:bottom w:val="single" w:color="auto" w:sz="4" w:space="0"/>
                    <w:right w:val="single" w:color="auto" w:sz="4" w:space="0"/>
                  </w:tcBorders>
                  <w:vAlign w:val="center"/>
                </w:tcPr>
                <w:p>
                  <w:pPr>
                    <w:pStyle w:val="311"/>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0.3</w:t>
                  </w:r>
                </w:p>
              </w:tc>
              <w:tc>
                <w:tcPr>
                  <w:tcW w:w="1695" w:type="dxa"/>
                  <w:tcBorders>
                    <w:top w:val="single" w:color="auto" w:sz="4" w:space="0"/>
                    <w:left w:val="single" w:color="auto" w:sz="4" w:space="0"/>
                    <w:bottom w:val="single" w:color="auto" w:sz="4" w:space="0"/>
                    <w:right w:val="single" w:color="auto" w:sz="4" w:space="0"/>
                  </w:tcBorders>
                  <w:vAlign w:val="center"/>
                </w:tcPr>
                <w:p>
                  <w:pPr>
                    <w:pStyle w:val="311"/>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op w:val="single" w:color="auto" w:sz="4" w:space="0"/>
                    <w:left w:val="single" w:color="auto" w:sz="4" w:space="0"/>
                    <w:bottom w:val="single" w:color="auto" w:sz="4" w:space="0"/>
                    <w:right w:val="single" w:color="auto" w:sz="4" w:space="0"/>
                  </w:tcBorders>
                  <w:vAlign w:val="center"/>
                </w:tcPr>
                <w:p>
                  <w:pPr>
                    <w:pStyle w:val="311"/>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10</w:t>
                  </w:r>
                </w:p>
              </w:tc>
              <w:tc>
                <w:tcPr>
                  <w:tcW w:w="1928" w:type="dxa"/>
                  <w:tcBorders>
                    <w:top w:val="single" w:color="auto" w:sz="4" w:space="0"/>
                    <w:left w:val="single" w:color="auto" w:sz="4" w:space="0"/>
                    <w:bottom w:val="single" w:color="auto" w:sz="4" w:space="0"/>
                    <w:right w:val="single" w:color="auto" w:sz="4" w:space="0"/>
                  </w:tcBorders>
                  <w:vAlign w:val="center"/>
                </w:tcPr>
                <w:p>
                  <w:pPr>
                    <w:pStyle w:val="311"/>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氯甲烷</w:t>
                  </w:r>
                </w:p>
              </w:tc>
              <w:tc>
                <w:tcPr>
                  <w:tcW w:w="1673" w:type="dxa"/>
                  <w:tcBorders>
                    <w:top w:val="single" w:color="auto" w:sz="4" w:space="0"/>
                    <w:left w:val="single" w:color="auto" w:sz="4" w:space="0"/>
                    <w:bottom w:val="single" w:color="auto" w:sz="4" w:space="0"/>
                    <w:right w:val="single" w:color="auto" w:sz="4" w:space="0"/>
                  </w:tcBorders>
                  <w:vAlign w:val="center"/>
                </w:tcPr>
                <w:p>
                  <w:pPr>
                    <w:pStyle w:val="311"/>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74-87-3</w:t>
                  </w:r>
                </w:p>
              </w:tc>
              <w:tc>
                <w:tcPr>
                  <w:tcW w:w="1800" w:type="dxa"/>
                  <w:tcBorders>
                    <w:top w:val="single" w:color="auto" w:sz="4" w:space="0"/>
                    <w:left w:val="single" w:color="auto" w:sz="4" w:space="0"/>
                    <w:bottom w:val="single" w:color="auto" w:sz="4" w:space="0"/>
                    <w:right w:val="single" w:color="auto" w:sz="4" w:space="0"/>
                  </w:tcBorders>
                  <w:vAlign w:val="center"/>
                </w:tcPr>
                <w:p>
                  <w:pPr>
                    <w:pStyle w:val="311"/>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12</w:t>
                  </w:r>
                </w:p>
              </w:tc>
              <w:tc>
                <w:tcPr>
                  <w:tcW w:w="1695" w:type="dxa"/>
                  <w:tcBorders>
                    <w:top w:val="single" w:color="auto" w:sz="4" w:space="0"/>
                    <w:left w:val="single" w:color="auto" w:sz="4" w:space="0"/>
                    <w:bottom w:val="single" w:color="auto" w:sz="4" w:space="0"/>
                    <w:right w:val="single" w:color="auto" w:sz="4" w:space="0"/>
                  </w:tcBorders>
                  <w:vAlign w:val="center"/>
                </w:tcPr>
                <w:p>
                  <w:pPr>
                    <w:pStyle w:val="311"/>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op w:val="single" w:color="auto" w:sz="4" w:space="0"/>
                    <w:left w:val="single" w:color="auto" w:sz="4" w:space="0"/>
                    <w:bottom w:val="single" w:color="auto" w:sz="4" w:space="0"/>
                    <w:right w:val="single" w:color="auto" w:sz="4" w:space="0"/>
                  </w:tcBorders>
                  <w:vAlign w:val="center"/>
                </w:tcPr>
                <w:p>
                  <w:pPr>
                    <w:pStyle w:val="311"/>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11</w:t>
                  </w:r>
                </w:p>
              </w:tc>
              <w:tc>
                <w:tcPr>
                  <w:tcW w:w="1928" w:type="dxa"/>
                  <w:tcBorders>
                    <w:top w:val="single" w:color="auto" w:sz="4" w:space="0"/>
                    <w:left w:val="single" w:color="auto" w:sz="4" w:space="0"/>
                    <w:bottom w:val="single" w:color="auto" w:sz="4" w:space="0"/>
                    <w:right w:val="single" w:color="auto" w:sz="4" w:space="0"/>
                  </w:tcBorders>
                  <w:vAlign w:val="center"/>
                </w:tcPr>
                <w:p>
                  <w:pPr>
                    <w:pStyle w:val="311"/>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1,1-二氯乙烷</w:t>
                  </w:r>
                </w:p>
              </w:tc>
              <w:tc>
                <w:tcPr>
                  <w:tcW w:w="1673" w:type="dxa"/>
                  <w:tcBorders>
                    <w:top w:val="single" w:color="auto" w:sz="4" w:space="0"/>
                    <w:left w:val="single" w:color="auto" w:sz="4" w:space="0"/>
                    <w:bottom w:val="single" w:color="auto" w:sz="4" w:space="0"/>
                    <w:right w:val="single" w:color="auto" w:sz="4" w:space="0"/>
                  </w:tcBorders>
                  <w:vAlign w:val="center"/>
                </w:tcPr>
                <w:p>
                  <w:pPr>
                    <w:pStyle w:val="311"/>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75-34-3</w:t>
                  </w:r>
                </w:p>
              </w:tc>
              <w:tc>
                <w:tcPr>
                  <w:tcW w:w="1800" w:type="dxa"/>
                  <w:tcBorders>
                    <w:top w:val="single" w:color="auto" w:sz="4" w:space="0"/>
                    <w:left w:val="single" w:color="auto" w:sz="4" w:space="0"/>
                    <w:bottom w:val="single" w:color="auto" w:sz="4" w:space="0"/>
                    <w:right w:val="single" w:color="auto" w:sz="4" w:space="0"/>
                  </w:tcBorders>
                  <w:vAlign w:val="center"/>
                </w:tcPr>
                <w:p>
                  <w:pPr>
                    <w:pStyle w:val="311"/>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3</w:t>
                  </w:r>
                </w:p>
              </w:tc>
              <w:tc>
                <w:tcPr>
                  <w:tcW w:w="1695" w:type="dxa"/>
                  <w:tcBorders>
                    <w:top w:val="single" w:color="auto" w:sz="4" w:space="0"/>
                    <w:left w:val="single" w:color="auto" w:sz="4" w:space="0"/>
                    <w:bottom w:val="single" w:color="auto" w:sz="4" w:space="0"/>
                    <w:right w:val="single" w:color="auto" w:sz="4" w:space="0"/>
                  </w:tcBorders>
                  <w:vAlign w:val="center"/>
                </w:tcPr>
                <w:p>
                  <w:pPr>
                    <w:pStyle w:val="311"/>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op w:val="single" w:color="auto" w:sz="4" w:space="0"/>
                    <w:left w:val="single" w:color="auto" w:sz="4" w:space="0"/>
                    <w:bottom w:val="single" w:color="auto" w:sz="4" w:space="0"/>
                    <w:right w:val="single" w:color="auto" w:sz="4" w:space="0"/>
                  </w:tcBorders>
                  <w:vAlign w:val="center"/>
                </w:tcPr>
                <w:p>
                  <w:pPr>
                    <w:pStyle w:val="311"/>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12</w:t>
                  </w:r>
                </w:p>
              </w:tc>
              <w:tc>
                <w:tcPr>
                  <w:tcW w:w="1928" w:type="dxa"/>
                  <w:tcBorders>
                    <w:top w:val="single" w:color="auto" w:sz="4" w:space="0"/>
                    <w:left w:val="single" w:color="auto" w:sz="4" w:space="0"/>
                    <w:bottom w:val="single" w:color="auto" w:sz="4" w:space="0"/>
                    <w:right w:val="single" w:color="auto" w:sz="4" w:space="0"/>
                  </w:tcBorders>
                  <w:vAlign w:val="center"/>
                </w:tcPr>
                <w:p>
                  <w:pPr>
                    <w:pStyle w:val="311"/>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1,2-二氯乙烷</w:t>
                  </w:r>
                </w:p>
              </w:tc>
              <w:tc>
                <w:tcPr>
                  <w:tcW w:w="1673" w:type="dxa"/>
                  <w:tcBorders>
                    <w:top w:val="single" w:color="auto" w:sz="4" w:space="0"/>
                    <w:left w:val="single" w:color="auto" w:sz="4" w:space="0"/>
                    <w:bottom w:val="single" w:color="auto" w:sz="4" w:space="0"/>
                    <w:right w:val="single" w:color="auto" w:sz="4" w:space="0"/>
                  </w:tcBorders>
                  <w:vAlign w:val="center"/>
                </w:tcPr>
                <w:p>
                  <w:pPr>
                    <w:pStyle w:val="311"/>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107-06-2</w:t>
                  </w:r>
                </w:p>
              </w:tc>
              <w:tc>
                <w:tcPr>
                  <w:tcW w:w="1800" w:type="dxa"/>
                  <w:tcBorders>
                    <w:top w:val="single" w:color="auto" w:sz="4" w:space="0"/>
                    <w:left w:val="single" w:color="auto" w:sz="4" w:space="0"/>
                    <w:bottom w:val="single" w:color="auto" w:sz="4" w:space="0"/>
                    <w:right w:val="single" w:color="auto" w:sz="4" w:space="0"/>
                  </w:tcBorders>
                  <w:vAlign w:val="center"/>
                </w:tcPr>
                <w:p>
                  <w:pPr>
                    <w:pStyle w:val="311"/>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0.52</w:t>
                  </w:r>
                </w:p>
              </w:tc>
              <w:tc>
                <w:tcPr>
                  <w:tcW w:w="1695" w:type="dxa"/>
                  <w:tcBorders>
                    <w:top w:val="single" w:color="auto" w:sz="4" w:space="0"/>
                    <w:left w:val="single" w:color="auto" w:sz="4" w:space="0"/>
                    <w:bottom w:val="single" w:color="auto" w:sz="4" w:space="0"/>
                    <w:right w:val="single" w:color="auto" w:sz="4" w:space="0"/>
                  </w:tcBorders>
                  <w:vAlign w:val="center"/>
                </w:tcPr>
                <w:p>
                  <w:pPr>
                    <w:pStyle w:val="311"/>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op w:val="single" w:color="auto" w:sz="4" w:space="0"/>
                    <w:left w:val="single" w:color="auto" w:sz="4" w:space="0"/>
                    <w:bottom w:val="single" w:color="auto" w:sz="4" w:space="0"/>
                    <w:right w:val="single" w:color="auto" w:sz="4" w:space="0"/>
                  </w:tcBorders>
                  <w:vAlign w:val="center"/>
                </w:tcPr>
                <w:p>
                  <w:pPr>
                    <w:pStyle w:val="311"/>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13</w:t>
                  </w:r>
                </w:p>
              </w:tc>
              <w:tc>
                <w:tcPr>
                  <w:tcW w:w="1928" w:type="dxa"/>
                  <w:tcBorders>
                    <w:top w:val="single" w:color="auto" w:sz="4" w:space="0"/>
                    <w:left w:val="single" w:color="auto" w:sz="4" w:space="0"/>
                    <w:bottom w:val="single" w:color="auto" w:sz="4" w:space="0"/>
                    <w:right w:val="single" w:color="auto" w:sz="4" w:space="0"/>
                  </w:tcBorders>
                  <w:vAlign w:val="center"/>
                </w:tcPr>
                <w:p>
                  <w:pPr>
                    <w:pStyle w:val="311"/>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1,1-二氯乙烯</w:t>
                  </w:r>
                </w:p>
              </w:tc>
              <w:tc>
                <w:tcPr>
                  <w:tcW w:w="1673" w:type="dxa"/>
                  <w:tcBorders>
                    <w:top w:val="single" w:color="auto" w:sz="4" w:space="0"/>
                    <w:left w:val="single" w:color="auto" w:sz="4" w:space="0"/>
                    <w:bottom w:val="single" w:color="auto" w:sz="4" w:space="0"/>
                    <w:right w:val="single" w:color="auto" w:sz="4" w:space="0"/>
                  </w:tcBorders>
                  <w:vAlign w:val="center"/>
                </w:tcPr>
                <w:p>
                  <w:pPr>
                    <w:pStyle w:val="311"/>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75-35-4</w:t>
                  </w:r>
                </w:p>
              </w:tc>
              <w:tc>
                <w:tcPr>
                  <w:tcW w:w="1800" w:type="dxa"/>
                  <w:tcBorders>
                    <w:top w:val="single" w:color="auto" w:sz="4" w:space="0"/>
                    <w:left w:val="single" w:color="auto" w:sz="4" w:space="0"/>
                    <w:bottom w:val="single" w:color="auto" w:sz="4" w:space="0"/>
                    <w:right w:val="single" w:color="auto" w:sz="4" w:space="0"/>
                  </w:tcBorders>
                  <w:vAlign w:val="center"/>
                </w:tcPr>
                <w:p>
                  <w:pPr>
                    <w:pStyle w:val="311"/>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12</w:t>
                  </w:r>
                </w:p>
              </w:tc>
              <w:tc>
                <w:tcPr>
                  <w:tcW w:w="1695" w:type="dxa"/>
                  <w:tcBorders>
                    <w:top w:val="single" w:color="auto" w:sz="4" w:space="0"/>
                    <w:left w:val="single" w:color="auto" w:sz="4" w:space="0"/>
                    <w:bottom w:val="single" w:color="auto" w:sz="4" w:space="0"/>
                    <w:right w:val="single" w:color="auto" w:sz="4" w:space="0"/>
                  </w:tcBorders>
                  <w:vAlign w:val="center"/>
                </w:tcPr>
                <w:p>
                  <w:pPr>
                    <w:pStyle w:val="311"/>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op w:val="single" w:color="auto" w:sz="4" w:space="0"/>
                    <w:left w:val="single" w:color="auto" w:sz="4" w:space="0"/>
                    <w:bottom w:val="single" w:color="auto" w:sz="4" w:space="0"/>
                    <w:right w:val="single" w:color="auto" w:sz="4" w:space="0"/>
                  </w:tcBorders>
                  <w:vAlign w:val="center"/>
                </w:tcPr>
                <w:p>
                  <w:pPr>
                    <w:pStyle w:val="311"/>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14</w:t>
                  </w:r>
                </w:p>
              </w:tc>
              <w:tc>
                <w:tcPr>
                  <w:tcW w:w="1928" w:type="dxa"/>
                  <w:tcBorders>
                    <w:top w:val="single" w:color="auto" w:sz="4" w:space="0"/>
                    <w:left w:val="single" w:color="auto" w:sz="4" w:space="0"/>
                    <w:bottom w:val="single" w:color="auto" w:sz="4" w:space="0"/>
                    <w:right w:val="single" w:color="auto" w:sz="4" w:space="0"/>
                  </w:tcBorders>
                  <w:vAlign w:val="center"/>
                </w:tcPr>
                <w:p>
                  <w:pPr>
                    <w:pStyle w:val="311"/>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顺-1,2-二氯乙烯</w:t>
                  </w:r>
                </w:p>
              </w:tc>
              <w:tc>
                <w:tcPr>
                  <w:tcW w:w="1673" w:type="dxa"/>
                  <w:tcBorders>
                    <w:top w:val="single" w:color="auto" w:sz="4" w:space="0"/>
                    <w:left w:val="single" w:color="auto" w:sz="4" w:space="0"/>
                    <w:bottom w:val="single" w:color="auto" w:sz="4" w:space="0"/>
                    <w:right w:val="single" w:color="auto" w:sz="4" w:space="0"/>
                  </w:tcBorders>
                  <w:vAlign w:val="center"/>
                </w:tcPr>
                <w:p>
                  <w:pPr>
                    <w:pStyle w:val="311"/>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156-59-2</w:t>
                  </w:r>
                </w:p>
              </w:tc>
              <w:tc>
                <w:tcPr>
                  <w:tcW w:w="1800" w:type="dxa"/>
                  <w:tcBorders>
                    <w:top w:val="single" w:color="auto" w:sz="4" w:space="0"/>
                    <w:left w:val="single" w:color="auto" w:sz="4" w:space="0"/>
                    <w:bottom w:val="single" w:color="auto" w:sz="4" w:space="0"/>
                    <w:right w:val="single" w:color="auto" w:sz="4" w:space="0"/>
                  </w:tcBorders>
                  <w:vAlign w:val="center"/>
                </w:tcPr>
                <w:p>
                  <w:pPr>
                    <w:pStyle w:val="311"/>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66</w:t>
                  </w:r>
                </w:p>
              </w:tc>
              <w:tc>
                <w:tcPr>
                  <w:tcW w:w="1695" w:type="dxa"/>
                  <w:tcBorders>
                    <w:top w:val="single" w:color="auto" w:sz="4" w:space="0"/>
                    <w:left w:val="single" w:color="auto" w:sz="4" w:space="0"/>
                    <w:bottom w:val="single" w:color="auto" w:sz="4" w:space="0"/>
                    <w:right w:val="single" w:color="auto" w:sz="4" w:space="0"/>
                  </w:tcBorders>
                  <w:vAlign w:val="center"/>
                </w:tcPr>
                <w:p>
                  <w:pPr>
                    <w:pStyle w:val="311"/>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op w:val="single" w:color="auto" w:sz="4" w:space="0"/>
                    <w:left w:val="single" w:color="auto" w:sz="4" w:space="0"/>
                    <w:bottom w:val="single" w:color="auto" w:sz="4" w:space="0"/>
                    <w:right w:val="single" w:color="auto" w:sz="4" w:space="0"/>
                  </w:tcBorders>
                  <w:vAlign w:val="center"/>
                </w:tcPr>
                <w:p>
                  <w:pPr>
                    <w:pStyle w:val="311"/>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15</w:t>
                  </w:r>
                </w:p>
              </w:tc>
              <w:tc>
                <w:tcPr>
                  <w:tcW w:w="1928" w:type="dxa"/>
                  <w:tcBorders>
                    <w:top w:val="single" w:color="auto" w:sz="4" w:space="0"/>
                    <w:left w:val="single" w:color="auto" w:sz="4" w:space="0"/>
                    <w:bottom w:val="single" w:color="auto" w:sz="4" w:space="0"/>
                    <w:right w:val="single" w:color="auto" w:sz="4" w:space="0"/>
                  </w:tcBorders>
                  <w:vAlign w:val="center"/>
                </w:tcPr>
                <w:p>
                  <w:pPr>
                    <w:pStyle w:val="311"/>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反-1,2-二氯乙烯</w:t>
                  </w:r>
                </w:p>
              </w:tc>
              <w:tc>
                <w:tcPr>
                  <w:tcW w:w="1673" w:type="dxa"/>
                  <w:tcBorders>
                    <w:top w:val="single" w:color="auto" w:sz="4" w:space="0"/>
                    <w:left w:val="single" w:color="auto" w:sz="4" w:space="0"/>
                    <w:bottom w:val="single" w:color="auto" w:sz="4" w:space="0"/>
                    <w:right w:val="single" w:color="auto" w:sz="4" w:space="0"/>
                  </w:tcBorders>
                  <w:vAlign w:val="center"/>
                </w:tcPr>
                <w:p>
                  <w:pPr>
                    <w:pStyle w:val="311"/>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156-60-5</w:t>
                  </w:r>
                </w:p>
              </w:tc>
              <w:tc>
                <w:tcPr>
                  <w:tcW w:w="1800" w:type="dxa"/>
                  <w:tcBorders>
                    <w:top w:val="single" w:color="auto" w:sz="4" w:space="0"/>
                    <w:left w:val="single" w:color="auto" w:sz="4" w:space="0"/>
                    <w:bottom w:val="single" w:color="auto" w:sz="4" w:space="0"/>
                    <w:right w:val="single" w:color="auto" w:sz="4" w:space="0"/>
                  </w:tcBorders>
                  <w:vAlign w:val="center"/>
                </w:tcPr>
                <w:p>
                  <w:pPr>
                    <w:pStyle w:val="311"/>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10</w:t>
                  </w:r>
                </w:p>
              </w:tc>
              <w:tc>
                <w:tcPr>
                  <w:tcW w:w="1695" w:type="dxa"/>
                  <w:tcBorders>
                    <w:top w:val="single" w:color="auto" w:sz="4" w:space="0"/>
                    <w:left w:val="single" w:color="auto" w:sz="4" w:space="0"/>
                    <w:bottom w:val="single" w:color="auto" w:sz="4" w:space="0"/>
                    <w:right w:val="single" w:color="auto" w:sz="4" w:space="0"/>
                  </w:tcBorders>
                  <w:vAlign w:val="center"/>
                </w:tcPr>
                <w:p>
                  <w:pPr>
                    <w:pStyle w:val="311"/>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op w:val="single" w:color="auto" w:sz="4" w:space="0"/>
                    <w:left w:val="single" w:color="auto" w:sz="4" w:space="0"/>
                    <w:bottom w:val="single" w:color="auto" w:sz="4" w:space="0"/>
                    <w:right w:val="single" w:color="auto" w:sz="4" w:space="0"/>
                  </w:tcBorders>
                  <w:vAlign w:val="center"/>
                </w:tcPr>
                <w:p>
                  <w:pPr>
                    <w:pStyle w:val="311"/>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16</w:t>
                  </w:r>
                </w:p>
              </w:tc>
              <w:tc>
                <w:tcPr>
                  <w:tcW w:w="1928" w:type="dxa"/>
                  <w:tcBorders>
                    <w:top w:val="single" w:color="auto" w:sz="4" w:space="0"/>
                    <w:left w:val="single" w:color="auto" w:sz="4" w:space="0"/>
                    <w:bottom w:val="single" w:color="auto" w:sz="4" w:space="0"/>
                    <w:right w:val="single" w:color="auto" w:sz="4" w:space="0"/>
                  </w:tcBorders>
                  <w:vAlign w:val="center"/>
                </w:tcPr>
                <w:p>
                  <w:pPr>
                    <w:pStyle w:val="311"/>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二氯甲烷</w:t>
                  </w:r>
                </w:p>
              </w:tc>
              <w:tc>
                <w:tcPr>
                  <w:tcW w:w="1673" w:type="dxa"/>
                  <w:tcBorders>
                    <w:top w:val="single" w:color="auto" w:sz="4" w:space="0"/>
                    <w:left w:val="single" w:color="auto" w:sz="4" w:space="0"/>
                    <w:bottom w:val="single" w:color="auto" w:sz="4" w:space="0"/>
                    <w:right w:val="single" w:color="auto" w:sz="4" w:space="0"/>
                  </w:tcBorders>
                  <w:vAlign w:val="center"/>
                </w:tcPr>
                <w:p>
                  <w:pPr>
                    <w:pStyle w:val="311"/>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75-09-2</w:t>
                  </w:r>
                </w:p>
              </w:tc>
              <w:tc>
                <w:tcPr>
                  <w:tcW w:w="1800" w:type="dxa"/>
                  <w:tcBorders>
                    <w:top w:val="single" w:color="auto" w:sz="4" w:space="0"/>
                    <w:left w:val="single" w:color="auto" w:sz="4" w:space="0"/>
                    <w:bottom w:val="single" w:color="auto" w:sz="4" w:space="0"/>
                    <w:right w:val="single" w:color="auto" w:sz="4" w:space="0"/>
                  </w:tcBorders>
                  <w:vAlign w:val="center"/>
                </w:tcPr>
                <w:p>
                  <w:pPr>
                    <w:pStyle w:val="311"/>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94</w:t>
                  </w:r>
                </w:p>
              </w:tc>
              <w:tc>
                <w:tcPr>
                  <w:tcW w:w="1695" w:type="dxa"/>
                  <w:tcBorders>
                    <w:top w:val="single" w:color="auto" w:sz="4" w:space="0"/>
                    <w:left w:val="single" w:color="auto" w:sz="4" w:space="0"/>
                    <w:bottom w:val="single" w:color="auto" w:sz="4" w:space="0"/>
                    <w:right w:val="single" w:color="auto" w:sz="4" w:space="0"/>
                  </w:tcBorders>
                  <w:vAlign w:val="center"/>
                </w:tcPr>
                <w:p>
                  <w:pPr>
                    <w:pStyle w:val="311"/>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op w:val="single" w:color="auto" w:sz="4" w:space="0"/>
                    <w:left w:val="single" w:color="auto" w:sz="4" w:space="0"/>
                    <w:bottom w:val="single" w:color="auto" w:sz="4" w:space="0"/>
                    <w:right w:val="single" w:color="auto" w:sz="4" w:space="0"/>
                  </w:tcBorders>
                  <w:vAlign w:val="center"/>
                </w:tcPr>
                <w:p>
                  <w:pPr>
                    <w:pStyle w:val="311"/>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17</w:t>
                  </w:r>
                </w:p>
              </w:tc>
              <w:tc>
                <w:tcPr>
                  <w:tcW w:w="1928" w:type="dxa"/>
                  <w:tcBorders>
                    <w:top w:val="single" w:color="auto" w:sz="4" w:space="0"/>
                    <w:left w:val="single" w:color="auto" w:sz="4" w:space="0"/>
                    <w:bottom w:val="single" w:color="auto" w:sz="4" w:space="0"/>
                    <w:right w:val="single" w:color="auto" w:sz="4" w:space="0"/>
                  </w:tcBorders>
                  <w:vAlign w:val="center"/>
                </w:tcPr>
                <w:p>
                  <w:pPr>
                    <w:pStyle w:val="311"/>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1,2-二氯丙烷</w:t>
                  </w:r>
                </w:p>
              </w:tc>
              <w:tc>
                <w:tcPr>
                  <w:tcW w:w="1673" w:type="dxa"/>
                  <w:tcBorders>
                    <w:top w:val="single" w:color="auto" w:sz="4" w:space="0"/>
                    <w:left w:val="single" w:color="auto" w:sz="4" w:space="0"/>
                    <w:bottom w:val="single" w:color="auto" w:sz="4" w:space="0"/>
                    <w:right w:val="single" w:color="auto" w:sz="4" w:space="0"/>
                  </w:tcBorders>
                  <w:vAlign w:val="center"/>
                </w:tcPr>
                <w:p>
                  <w:pPr>
                    <w:pStyle w:val="311"/>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78-87-5</w:t>
                  </w:r>
                </w:p>
              </w:tc>
              <w:tc>
                <w:tcPr>
                  <w:tcW w:w="1800" w:type="dxa"/>
                  <w:tcBorders>
                    <w:top w:val="single" w:color="auto" w:sz="4" w:space="0"/>
                    <w:left w:val="single" w:color="auto" w:sz="4" w:space="0"/>
                    <w:bottom w:val="single" w:color="auto" w:sz="4" w:space="0"/>
                    <w:right w:val="single" w:color="auto" w:sz="4" w:space="0"/>
                  </w:tcBorders>
                  <w:vAlign w:val="center"/>
                </w:tcPr>
                <w:p>
                  <w:pPr>
                    <w:pStyle w:val="311"/>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1</w:t>
                  </w:r>
                </w:p>
              </w:tc>
              <w:tc>
                <w:tcPr>
                  <w:tcW w:w="1695" w:type="dxa"/>
                  <w:tcBorders>
                    <w:top w:val="single" w:color="auto" w:sz="4" w:space="0"/>
                    <w:left w:val="single" w:color="auto" w:sz="4" w:space="0"/>
                    <w:bottom w:val="single" w:color="auto" w:sz="4" w:space="0"/>
                    <w:right w:val="single" w:color="auto" w:sz="4" w:space="0"/>
                  </w:tcBorders>
                  <w:vAlign w:val="center"/>
                </w:tcPr>
                <w:p>
                  <w:pPr>
                    <w:pStyle w:val="311"/>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op w:val="single" w:color="auto" w:sz="4" w:space="0"/>
                    <w:left w:val="single" w:color="auto" w:sz="4" w:space="0"/>
                    <w:bottom w:val="single" w:color="auto" w:sz="4" w:space="0"/>
                    <w:right w:val="single" w:color="auto" w:sz="4" w:space="0"/>
                  </w:tcBorders>
                  <w:vAlign w:val="center"/>
                </w:tcPr>
                <w:p>
                  <w:pPr>
                    <w:pStyle w:val="311"/>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18</w:t>
                  </w:r>
                </w:p>
              </w:tc>
              <w:tc>
                <w:tcPr>
                  <w:tcW w:w="1928" w:type="dxa"/>
                  <w:tcBorders>
                    <w:top w:val="single" w:color="auto" w:sz="4" w:space="0"/>
                    <w:left w:val="single" w:color="auto" w:sz="4" w:space="0"/>
                    <w:bottom w:val="single" w:color="auto" w:sz="4" w:space="0"/>
                    <w:right w:val="single" w:color="auto" w:sz="4" w:space="0"/>
                  </w:tcBorders>
                  <w:vAlign w:val="center"/>
                </w:tcPr>
                <w:p>
                  <w:pPr>
                    <w:pStyle w:val="311"/>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1,1,1,2-四氯乙烷</w:t>
                  </w:r>
                </w:p>
              </w:tc>
              <w:tc>
                <w:tcPr>
                  <w:tcW w:w="1673" w:type="dxa"/>
                  <w:tcBorders>
                    <w:top w:val="single" w:color="auto" w:sz="4" w:space="0"/>
                    <w:left w:val="single" w:color="auto" w:sz="4" w:space="0"/>
                    <w:bottom w:val="single" w:color="auto" w:sz="4" w:space="0"/>
                    <w:right w:val="single" w:color="auto" w:sz="4" w:space="0"/>
                  </w:tcBorders>
                  <w:vAlign w:val="center"/>
                </w:tcPr>
                <w:p>
                  <w:pPr>
                    <w:pStyle w:val="311"/>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630-20-6</w:t>
                  </w:r>
                </w:p>
              </w:tc>
              <w:tc>
                <w:tcPr>
                  <w:tcW w:w="1800" w:type="dxa"/>
                  <w:tcBorders>
                    <w:top w:val="single" w:color="auto" w:sz="4" w:space="0"/>
                    <w:left w:val="single" w:color="auto" w:sz="4" w:space="0"/>
                    <w:bottom w:val="single" w:color="auto" w:sz="4" w:space="0"/>
                    <w:right w:val="single" w:color="auto" w:sz="4" w:space="0"/>
                  </w:tcBorders>
                  <w:vAlign w:val="center"/>
                </w:tcPr>
                <w:p>
                  <w:pPr>
                    <w:pStyle w:val="311"/>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2.6</w:t>
                  </w:r>
                </w:p>
              </w:tc>
              <w:tc>
                <w:tcPr>
                  <w:tcW w:w="1695" w:type="dxa"/>
                  <w:tcBorders>
                    <w:top w:val="single" w:color="auto" w:sz="4" w:space="0"/>
                    <w:left w:val="single" w:color="auto" w:sz="4" w:space="0"/>
                    <w:bottom w:val="single" w:color="auto" w:sz="4" w:space="0"/>
                    <w:right w:val="single" w:color="auto" w:sz="4" w:space="0"/>
                  </w:tcBorders>
                  <w:vAlign w:val="center"/>
                </w:tcPr>
                <w:p>
                  <w:pPr>
                    <w:pStyle w:val="311"/>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op w:val="single" w:color="auto" w:sz="4" w:space="0"/>
                    <w:left w:val="single" w:color="auto" w:sz="4" w:space="0"/>
                    <w:bottom w:val="single" w:color="auto" w:sz="4" w:space="0"/>
                    <w:right w:val="single" w:color="auto" w:sz="4" w:space="0"/>
                  </w:tcBorders>
                  <w:vAlign w:val="center"/>
                </w:tcPr>
                <w:p>
                  <w:pPr>
                    <w:pStyle w:val="311"/>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19</w:t>
                  </w:r>
                </w:p>
              </w:tc>
              <w:tc>
                <w:tcPr>
                  <w:tcW w:w="1928" w:type="dxa"/>
                  <w:tcBorders>
                    <w:top w:val="single" w:color="auto" w:sz="4" w:space="0"/>
                    <w:left w:val="single" w:color="auto" w:sz="4" w:space="0"/>
                    <w:bottom w:val="single" w:color="auto" w:sz="4" w:space="0"/>
                    <w:right w:val="single" w:color="auto" w:sz="4" w:space="0"/>
                  </w:tcBorders>
                  <w:vAlign w:val="center"/>
                </w:tcPr>
                <w:p>
                  <w:pPr>
                    <w:pStyle w:val="311"/>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1,1,2,2-四氯乙烷</w:t>
                  </w:r>
                </w:p>
              </w:tc>
              <w:tc>
                <w:tcPr>
                  <w:tcW w:w="1673" w:type="dxa"/>
                  <w:tcBorders>
                    <w:top w:val="single" w:color="auto" w:sz="4" w:space="0"/>
                    <w:left w:val="single" w:color="auto" w:sz="4" w:space="0"/>
                    <w:bottom w:val="single" w:color="auto" w:sz="4" w:space="0"/>
                    <w:right w:val="single" w:color="auto" w:sz="4" w:space="0"/>
                  </w:tcBorders>
                  <w:vAlign w:val="center"/>
                </w:tcPr>
                <w:p>
                  <w:pPr>
                    <w:pStyle w:val="311"/>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79-34-5</w:t>
                  </w:r>
                </w:p>
              </w:tc>
              <w:tc>
                <w:tcPr>
                  <w:tcW w:w="1800" w:type="dxa"/>
                  <w:tcBorders>
                    <w:top w:val="single" w:color="auto" w:sz="4" w:space="0"/>
                    <w:left w:val="single" w:color="auto" w:sz="4" w:space="0"/>
                    <w:bottom w:val="single" w:color="auto" w:sz="4" w:space="0"/>
                    <w:right w:val="single" w:color="auto" w:sz="4" w:space="0"/>
                  </w:tcBorders>
                  <w:vAlign w:val="center"/>
                </w:tcPr>
                <w:p>
                  <w:pPr>
                    <w:pStyle w:val="311"/>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1.6</w:t>
                  </w:r>
                </w:p>
              </w:tc>
              <w:tc>
                <w:tcPr>
                  <w:tcW w:w="1695" w:type="dxa"/>
                  <w:tcBorders>
                    <w:top w:val="single" w:color="auto" w:sz="4" w:space="0"/>
                    <w:left w:val="single" w:color="auto" w:sz="4" w:space="0"/>
                    <w:bottom w:val="single" w:color="auto" w:sz="4" w:space="0"/>
                    <w:right w:val="single" w:color="auto" w:sz="4" w:space="0"/>
                  </w:tcBorders>
                  <w:vAlign w:val="center"/>
                </w:tcPr>
                <w:p>
                  <w:pPr>
                    <w:pStyle w:val="311"/>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op w:val="single" w:color="auto" w:sz="4" w:space="0"/>
                    <w:left w:val="single" w:color="auto" w:sz="4" w:space="0"/>
                    <w:bottom w:val="single" w:color="auto" w:sz="4" w:space="0"/>
                    <w:right w:val="single" w:color="auto" w:sz="4" w:space="0"/>
                  </w:tcBorders>
                  <w:vAlign w:val="center"/>
                </w:tcPr>
                <w:p>
                  <w:pPr>
                    <w:pStyle w:val="311"/>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20</w:t>
                  </w:r>
                </w:p>
              </w:tc>
              <w:tc>
                <w:tcPr>
                  <w:tcW w:w="1928" w:type="dxa"/>
                  <w:tcBorders>
                    <w:top w:val="single" w:color="auto" w:sz="4" w:space="0"/>
                    <w:left w:val="single" w:color="auto" w:sz="4" w:space="0"/>
                    <w:bottom w:val="single" w:color="auto" w:sz="4" w:space="0"/>
                    <w:right w:val="single" w:color="auto" w:sz="4" w:space="0"/>
                  </w:tcBorders>
                  <w:vAlign w:val="center"/>
                </w:tcPr>
                <w:p>
                  <w:pPr>
                    <w:pStyle w:val="311"/>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四氯乙烯</w:t>
                  </w:r>
                </w:p>
              </w:tc>
              <w:tc>
                <w:tcPr>
                  <w:tcW w:w="1673" w:type="dxa"/>
                  <w:tcBorders>
                    <w:top w:val="single" w:color="auto" w:sz="4" w:space="0"/>
                    <w:left w:val="single" w:color="auto" w:sz="4" w:space="0"/>
                    <w:bottom w:val="single" w:color="auto" w:sz="4" w:space="0"/>
                    <w:right w:val="single" w:color="auto" w:sz="4" w:space="0"/>
                  </w:tcBorders>
                  <w:vAlign w:val="center"/>
                </w:tcPr>
                <w:p>
                  <w:pPr>
                    <w:pStyle w:val="311"/>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127-18-4</w:t>
                  </w:r>
                </w:p>
              </w:tc>
              <w:tc>
                <w:tcPr>
                  <w:tcW w:w="1800" w:type="dxa"/>
                  <w:tcBorders>
                    <w:top w:val="single" w:color="auto" w:sz="4" w:space="0"/>
                    <w:left w:val="single" w:color="auto" w:sz="4" w:space="0"/>
                    <w:bottom w:val="single" w:color="auto" w:sz="4" w:space="0"/>
                    <w:right w:val="single" w:color="auto" w:sz="4" w:space="0"/>
                  </w:tcBorders>
                  <w:vAlign w:val="center"/>
                </w:tcPr>
                <w:p>
                  <w:pPr>
                    <w:pStyle w:val="311"/>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11</w:t>
                  </w:r>
                </w:p>
              </w:tc>
              <w:tc>
                <w:tcPr>
                  <w:tcW w:w="1695" w:type="dxa"/>
                  <w:tcBorders>
                    <w:top w:val="single" w:color="auto" w:sz="4" w:space="0"/>
                    <w:left w:val="single" w:color="auto" w:sz="4" w:space="0"/>
                    <w:bottom w:val="single" w:color="auto" w:sz="4" w:space="0"/>
                    <w:right w:val="single" w:color="auto" w:sz="4" w:space="0"/>
                  </w:tcBorders>
                  <w:vAlign w:val="center"/>
                </w:tcPr>
                <w:p>
                  <w:pPr>
                    <w:pStyle w:val="311"/>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op w:val="single" w:color="auto" w:sz="4" w:space="0"/>
                    <w:left w:val="single" w:color="auto" w:sz="4" w:space="0"/>
                    <w:bottom w:val="single" w:color="auto" w:sz="4" w:space="0"/>
                    <w:right w:val="single" w:color="auto" w:sz="4" w:space="0"/>
                  </w:tcBorders>
                  <w:vAlign w:val="center"/>
                </w:tcPr>
                <w:p>
                  <w:pPr>
                    <w:pStyle w:val="311"/>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21</w:t>
                  </w:r>
                </w:p>
              </w:tc>
              <w:tc>
                <w:tcPr>
                  <w:tcW w:w="1928" w:type="dxa"/>
                  <w:tcBorders>
                    <w:top w:val="single" w:color="auto" w:sz="4" w:space="0"/>
                    <w:left w:val="single" w:color="auto" w:sz="4" w:space="0"/>
                    <w:bottom w:val="single" w:color="auto" w:sz="4" w:space="0"/>
                    <w:right w:val="single" w:color="auto" w:sz="4" w:space="0"/>
                  </w:tcBorders>
                  <w:vAlign w:val="center"/>
                </w:tcPr>
                <w:p>
                  <w:pPr>
                    <w:pStyle w:val="311"/>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1,1,1-三氯乙烷</w:t>
                  </w:r>
                </w:p>
              </w:tc>
              <w:tc>
                <w:tcPr>
                  <w:tcW w:w="1673" w:type="dxa"/>
                  <w:tcBorders>
                    <w:top w:val="single" w:color="auto" w:sz="4" w:space="0"/>
                    <w:left w:val="single" w:color="auto" w:sz="4" w:space="0"/>
                    <w:bottom w:val="single" w:color="auto" w:sz="4" w:space="0"/>
                    <w:right w:val="single" w:color="auto" w:sz="4" w:space="0"/>
                  </w:tcBorders>
                  <w:vAlign w:val="center"/>
                </w:tcPr>
                <w:p>
                  <w:pPr>
                    <w:pStyle w:val="311"/>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71-55-6</w:t>
                  </w:r>
                </w:p>
              </w:tc>
              <w:tc>
                <w:tcPr>
                  <w:tcW w:w="1800" w:type="dxa"/>
                  <w:tcBorders>
                    <w:top w:val="single" w:color="auto" w:sz="4" w:space="0"/>
                    <w:left w:val="single" w:color="auto" w:sz="4" w:space="0"/>
                    <w:bottom w:val="single" w:color="auto" w:sz="4" w:space="0"/>
                    <w:right w:val="single" w:color="auto" w:sz="4" w:space="0"/>
                  </w:tcBorders>
                  <w:vAlign w:val="center"/>
                </w:tcPr>
                <w:p>
                  <w:pPr>
                    <w:pStyle w:val="311"/>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701</w:t>
                  </w:r>
                </w:p>
              </w:tc>
              <w:tc>
                <w:tcPr>
                  <w:tcW w:w="1695" w:type="dxa"/>
                  <w:tcBorders>
                    <w:top w:val="single" w:color="auto" w:sz="4" w:space="0"/>
                    <w:left w:val="single" w:color="auto" w:sz="4" w:space="0"/>
                    <w:bottom w:val="single" w:color="auto" w:sz="4" w:space="0"/>
                    <w:right w:val="single" w:color="auto" w:sz="4" w:space="0"/>
                  </w:tcBorders>
                  <w:vAlign w:val="center"/>
                </w:tcPr>
                <w:p>
                  <w:pPr>
                    <w:pStyle w:val="311"/>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840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op w:val="single" w:color="auto" w:sz="4" w:space="0"/>
                    <w:left w:val="single" w:color="auto" w:sz="4" w:space="0"/>
                    <w:bottom w:val="single" w:color="auto" w:sz="4" w:space="0"/>
                    <w:right w:val="single" w:color="auto" w:sz="4" w:space="0"/>
                  </w:tcBorders>
                  <w:vAlign w:val="center"/>
                </w:tcPr>
                <w:p>
                  <w:pPr>
                    <w:pStyle w:val="311"/>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22</w:t>
                  </w:r>
                </w:p>
              </w:tc>
              <w:tc>
                <w:tcPr>
                  <w:tcW w:w="1928" w:type="dxa"/>
                  <w:tcBorders>
                    <w:top w:val="single" w:color="auto" w:sz="4" w:space="0"/>
                    <w:left w:val="single" w:color="auto" w:sz="4" w:space="0"/>
                    <w:bottom w:val="single" w:color="auto" w:sz="4" w:space="0"/>
                    <w:right w:val="single" w:color="auto" w:sz="4" w:space="0"/>
                  </w:tcBorders>
                  <w:vAlign w:val="center"/>
                </w:tcPr>
                <w:p>
                  <w:pPr>
                    <w:pStyle w:val="311"/>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1,1,2-三氯乙烷</w:t>
                  </w:r>
                </w:p>
              </w:tc>
              <w:tc>
                <w:tcPr>
                  <w:tcW w:w="1673" w:type="dxa"/>
                  <w:tcBorders>
                    <w:top w:val="single" w:color="auto" w:sz="4" w:space="0"/>
                    <w:left w:val="single" w:color="auto" w:sz="4" w:space="0"/>
                    <w:bottom w:val="single" w:color="auto" w:sz="4" w:space="0"/>
                    <w:right w:val="single" w:color="auto" w:sz="4" w:space="0"/>
                  </w:tcBorders>
                  <w:vAlign w:val="center"/>
                </w:tcPr>
                <w:p>
                  <w:pPr>
                    <w:pStyle w:val="311"/>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79-00-5</w:t>
                  </w:r>
                </w:p>
              </w:tc>
              <w:tc>
                <w:tcPr>
                  <w:tcW w:w="1800" w:type="dxa"/>
                  <w:tcBorders>
                    <w:top w:val="single" w:color="auto" w:sz="4" w:space="0"/>
                    <w:left w:val="single" w:color="auto" w:sz="4" w:space="0"/>
                    <w:bottom w:val="single" w:color="auto" w:sz="4" w:space="0"/>
                    <w:right w:val="single" w:color="auto" w:sz="4" w:space="0"/>
                  </w:tcBorders>
                  <w:vAlign w:val="center"/>
                </w:tcPr>
                <w:p>
                  <w:pPr>
                    <w:pStyle w:val="311"/>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0.6</w:t>
                  </w:r>
                </w:p>
              </w:tc>
              <w:tc>
                <w:tcPr>
                  <w:tcW w:w="1695" w:type="dxa"/>
                  <w:tcBorders>
                    <w:top w:val="single" w:color="auto" w:sz="4" w:space="0"/>
                    <w:left w:val="single" w:color="auto" w:sz="4" w:space="0"/>
                    <w:bottom w:val="single" w:color="auto" w:sz="4" w:space="0"/>
                    <w:right w:val="single" w:color="auto" w:sz="4" w:space="0"/>
                  </w:tcBorders>
                  <w:vAlign w:val="center"/>
                </w:tcPr>
                <w:p>
                  <w:pPr>
                    <w:pStyle w:val="311"/>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op w:val="single" w:color="auto" w:sz="4" w:space="0"/>
                    <w:left w:val="single" w:color="auto" w:sz="4" w:space="0"/>
                    <w:bottom w:val="single" w:color="auto" w:sz="4" w:space="0"/>
                    <w:right w:val="single" w:color="auto" w:sz="4" w:space="0"/>
                  </w:tcBorders>
                  <w:vAlign w:val="center"/>
                </w:tcPr>
                <w:p>
                  <w:pPr>
                    <w:pStyle w:val="311"/>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23</w:t>
                  </w:r>
                </w:p>
              </w:tc>
              <w:tc>
                <w:tcPr>
                  <w:tcW w:w="1928" w:type="dxa"/>
                  <w:tcBorders>
                    <w:top w:val="single" w:color="auto" w:sz="4" w:space="0"/>
                    <w:left w:val="single" w:color="auto" w:sz="4" w:space="0"/>
                    <w:bottom w:val="single" w:color="auto" w:sz="4" w:space="0"/>
                    <w:right w:val="single" w:color="auto" w:sz="4" w:space="0"/>
                  </w:tcBorders>
                  <w:vAlign w:val="center"/>
                </w:tcPr>
                <w:p>
                  <w:pPr>
                    <w:pStyle w:val="311"/>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三氯乙烯、</w:t>
                  </w:r>
                </w:p>
              </w:tc>
              <w:tc>
                <w:tcPr>
                  <w:tcW w:w="1673" w:type="dxa"/>
                  <w:tcBorders>
                    <w:top w:val="single" w:color="auto" w:sz="4" w:space="0"/>
                    <w:left w:val="single" w:color="auto" w:sz="4" w:space="0"/>
                    <w:bottom w:val="single" w:color="auto" w:sz="4" w:space="0"/>
                    <w:right w:val="single" w:color="auto" w:sz="4" w:space="0"/>
                  </w:tcBorders>
                  <w:vAlign w:val="center"/>
                </w:tcPr>
                <w:p>
                  <w:pPr>
                    <w:pStyle w:val="311"/>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79-01-6</w:t>
                  </w:r>
                </w:p>
              </w:tc>
              <w:tc>
                <w:tcPr>
                  <w:tcW w:w="1800" w:type="dxa"/>
                  <w:tcBorders>
                    <w:top w:val="single" w:color="auto" w:sz="4" w:space="0"/>
                    <w:left w:val="single" w:color="auto" w:sz="4" w:space="0"/>
                    <w:bottom w:val="single" w:color="auto" w:sz="4" w:space="0"/>
                    <w:right w:val="single" w:color="auto" w:sz="4" w:space="0"/>
                  </w:tcBorders>
                  <w:vAlign w:val="center"/>
                </w:tcPr>
                <w:p>
                  <w:pPr>
                    <w:pStyle w:val="311"/>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0.7</w:t>
                  </w:r>
                </w:p>
              </w:tc>
              <w:tc>
                <w:tcPr>
                  <w:tcW w:w="1695" w:type="dxa"/>
                  <w:tcBorders>
                    <w:top w:val="single" w:color="auto" w:sz="4" w:space="0"/>
                    <w:left w:val="single" w:color="auto" w:sz="4" w:space="0"/>
                    <w:bottom w:val="single" w:color="auto" w:sz="4" w:space="0"/>
                    <w:right w:val="single" w:color="auto" w:sz="4" w:space="0"/>
                  </w:tcBorders>
                  <w:vAlign w:val="center"/>
                </w:tcPr>
                <w:p>
                  <w:pPr>
                    <w:pStyle w:val="311"/>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op w:val="single" w:color="auto" w:sz="4" w:space="0"/>
                    <w:left w:val="single" w:color="auto" w:sz="4" w:space="0"/>
                    <w:bottom w:val="single" w:color="auto" w:sz="4" w:space="0"/>
                    <w:right w:val="single" w:color="auto" w:sz="4" w:space="0"/>
                  </w:tcBorders>
                  <w:vAlign w:val="center"/>
                </w:tcPr>
                <w:p>
                  <w:pPr>
                    <w:pStyle w:val="311"/>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24</w:t>
                  </w:r>
                </w:p>
              </w:tc>
              <w:tc>
                <w:tcPr>
                  <w:tcW w:w="1928" w:type="dxa"/>
                  <w:tcBorders>
                    <w:top w:val="single" w:color="auto" w:sz="4" w:space="0"/>
                    <w:left w:val="single" w:color="auto" w:sz="4" w:space="0"/>
                    <w:bottom w:val="single" w:color="auto" w:sz="4" w:space="0"/>
                    <w:right w:val="single" w:color="auto" w:sz="4" w:space="0"/>
                  </w:tcBorders>
                  <w:vAlign w:val="center"/>
                </w:tcPr>
                <w:p>
                  <w:pPr>
                    <w:pStyle w:val="311"/>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1,2,3-三氯丙烷</w:t>
                  </w:r>
                </w:p>
              </w:tc>
              <w:tc>
                <w:tcPr>
                  <w:tcW w:w="1673" w:type="dxa"/>
                  <w:tcBorders>
                    <w:top w:val="single" w:color="auto" w:sz="4" w:space="0"/>
                    <w:left w:val="single" w:color="auto" w:sz="4" w:space="0"/>
                    <w:bottom w:val="single" w:color="auto" w:sz="4" w:space="0"/>
                    <w:right w:val="single" w:color="auto" w:sz="4" w:space="0"/>
                  </w:tcBorders>
                  <w:vAlign w:val="center"/>
                </w:tcPr>
                <w:p>
                  <w:pPr>
                    <w:pStyle w:val="311"/>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96-18-4</w:t>
                  </w:r>
                </w:p>
              </w:tc>
              <w:tc>
                <w:tcPr>
                  <w:tcW w:w="1800" w:type="dxa"/>
                  <w:tcBorders>
                    <w:top w:val="single" w:color="auto" w:sz="4" w:space="0"/>
                    <w:left w:val="single" w:color="auto" w:sz="4" w:space="0"/>
                    <w:bottom w:val="single" w:color="auto" w:sz="4" w:space="0"/>
                    <w:right w:val="single" w:color="auto" w:sz="4" w:space="0"/>
                  </w:tcBorders>
                  <w:vAlign w:val="center"/>
                </w:tcPr>
                <w:p>
                  <w:pPr>
                    <w:pStyle w:val="311"/>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0.05</w:t>
                  </w:r>
                </w:p>
              </w:tc>
              <w:tc>
                <w:tcPr>
                  <w:tcW w:w="1695" w:type="dxa"/>
                  <w:tcBorders>
                    <w:top w:val="single" w:color="auto" w:sz="4" w:space="0"/>
                    <w:left w:val="single" w:color="auto" w:sz="4" w:space="0"/>
                    <w:bottom w:val="single" w:color="auto" w:sz="4" w:space="0"/>
                    <w:right w:val="single" w:color="auto" w:sz="4" w:space="0"/>
                  </w:tcBorders>
                  <w:vAlign w:val="center"/>
                </w:tcPr>
                <w:p>
                  <w:pPr>
                    <w:pStyle w:val="311"/>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op w:val="single" w:color="auto" w:sz="4" w:space="0"/>
                    <w:left w:val="single" w:color="auto" w:sz="4" w:space="0"/>
                    <w:bottom w:val="single" w:color="auto" w:sz="4" w:space="0"/>
                    <w:right w:val="single" w:color="auto" w:sz="4" w:space="0"/>
                  </w:tcBorders>
                  <w:vAlign w:val="center"/>
                </w:tcPr>
                <w:p>
                  <w:pPr>
                    <w:pStyle w:val="311"/>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25</w:t>
                  </w:r>
                </w:p>
              </w:tc>
              <w:tc>
                <w:tcPr>
                  <w:tcW w:w="1928" w:type="dxa"/>
                  <w:tcBorders>
                    <w:top w:val="single" w:color="auto" w:sz="4" w:space="0"/>
                    <w:left w:val="single" w:color="auto" w:sz="4" w:space="0"/>
                    <w:bottom w:val="single" w:color="auto" w:sz="4" w:space="0"/>
                    <w:right w:val="single" w:color="auto" w:sz="4" w:space="0"/>
                  </w:tcBorders>
                  <w:vAlign w:val="center"/>
                </w:tcPr>
                <w:p>
                  <w:pPr>
                    <w:pStyle w:val="311"/>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氯乙烯</w:t>
                  </w:r>
                </w:p>
              </w:tc>
              <w:tc>
                <w:tcPr>
                  <w:tcW w:w="1673" w:type="dxa"/>
                  <w:tcBorders>
                    <w:top w:val="single" w:color="auto" w:sz="4" w:space="0"/>
                    <w:left w:val="single" w:color="auto" w:sz="4" w:space="0"/>
                    <w:bottom w:val="single" w:color="auto" w:sz="4" w:space="0"/>
                    <w:right w:val="single" w:color="auto" w:sz="4" w:space="0"/>
                  </w:tcBorders>
                  <w:vAlign w:val="center"/>
                </w:tcPr>
                <w:p>
                  <w:pPr>
                    <w:pStyle w:val="311"/>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75-01-4</w:t>
                  </w:r>
                </w:p>
              </w:tc>
              <w:tc>
                <w:tcPr>
                  <w:tcW w:w="1800" w:type="dxa"/>
                  <w:tcBorders>
                    <w:top w:val="single" w:color="auto" w:sz="4" w:space="0"/>
                    <w:left w:val="single" w:color="auto" w:sz="4" w:space="0"/>
                    <w:bottom w:val="single" w:color="auto" w:sz="4" w:space="0"/>
                    <w:right w:val="single" w:color="auto" w:sz="4" w:space="0"/>
                  </w:tcBorders>
                  <w:vAlign w:val="center"/>
                </w:tcPr>
                <w:p>
                  <w:pPr>
                    <w:pStyle w:val="311"/>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0.12</w:t>
                  </w:r>
                </w:p>
              </w:tc>
              <w:tc>
                <w:tcPr>
                  <w:tcW w:w="1695" w:type="dxa"/>
                  <w:tcBorders>
                    <w:top w:val="single" w:color="auto" w:sz="4" w:space="0"/>
                    <w:left w:val="single" w:color="auto" w:sz="4" w:space="0"/>
                    <w:bottom w:val="single" w:color="auto" w:sz="4" w:space="0"/>
                    <w:right w:val="single" w:color="auto" w:sz="4" w:space="0"/>
                  </w:tcBorders>
                  <w:vAlign w:val="center"/>
                </w:tcPr>
                <w:p>
                  <w:pPr>
                    <w:pStyle w:val="311"/>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op w:val="single" w:color="auto" w:sz="4" w:space="0"/>
                    <w:left w:val="single" w:color="auto" w:sz="4" w:space="0"/>
                    <w:bottom w:val="single" w:color="auto" w:sz="4" w:space="0"/>
                    <w:right w:val="single" w:color="auto" w:sz="4" w:space="0"/>
                  </w:tcBorders>
                  <w:vAlign w:val="center"/>
                </w:tcPr>
                <w:p>
                  <w:pPr>
                    <w:pStyle w:val="311"/>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26</w:t>
                  </w:r>
                </w:p>
              </w:tc>
              <w:tc>
                <w:tcPr>
                  <w:tcW w:w="1928" w:type="dxa"/>
                  <w:tcBorders>
                    <w:top w:val="single" w:color="auto" w:sz="4" w:space="0"/>
                    <w:left w:val="single" w:color="auto" w:sz="4" w:space="0"/>
                    <w:bottom w:val="single" w:color="auto" w:sz="4" w:space="0"/>
                    <w:right w:val="single" w:color="auto" w:sz="4" w:space="0"/>
                  </w:tcBorders>
                  <w:vAlign w:val="center"/>
                </w:tcPr>
                <w:p>
                  <w:pPr>
                    <w:pStyle w:val="311"/>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苯</w:t>
                  </w:r>
                </w:p>
              </w:tc>
              <w:tc>
                <w:tcPr>
                  <w:tcW w:w="1673" w:type="dxa"/>
                  <w:tcBorders>
                    <w:top w:val="single" w:color="auto" w:sz="4" w:space="0"/>
                    <w:left w:val="single" w:color="auto" w:sz="4" w:space="0"/>
                    <w:bottom w:val="single" w:color="auto" w:sz="4" w:space="0"/>
                    <w:right w:val="single" w:color="auto" w:sz="4" w:space="0"/>
                  </w:tcBorders>
                  <w:vAlign w:val="center"/>
                </w:tcPr>
                <w:p>
                  <w:pPr>
                    <w:pStyle w:val="311"/>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75-01-4</w:t>
                  </w:r>
                </w:p>
              </w:tc>
              <w:tc>
                <w:tcPr>
                  <w:tcW w:w="1800" w:type="dxa"/>
                  <w:tcBorders>
                    <w:top w:val="single" w:color="auto" w:sz="4" w:space="0"/>
                    <w:left w:val="single" w:color="auto" w:sz="4" w:space="0"/>
                    <w:bottom w:val="single" w:color="auto" w:sz="4" w:space="0"/>
                    <w:right w:val="single" w:color="auto" w:sz="4" w:space="0"/>
                  </w:tcBorders>
                  <w:vAlign w:val="center"/>
                </w:tcPr>
                <w:p>
                  <w:pPr>
                    <w:pStyle w:val="311"/>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1</w:t>
                  </w:r>
                </w:p>
              </w:tc>
              <w:tc>
                <w:tcPr>
                  <w:tcW w:w="1695" w:type="dxa"/>
                  <w:tcBorders>
                    <w:top w:val="single" w:color="auto" w:sz="4" w:space="0"/>
                    <w:left w:val="single" w:color="auto" w:sz="4" w:space="0"/>
                    <w:bottom w:val="single" w:color="auto" w:sz="4" w:space="0"/>
                    <w:right w:val="single" w:color="auto" w:sz="4" w:space="0"/>
                  </w:tcBorders>
                  <w:vAlign w:val="center"/>
                </w:tcPr>
                <w:p>
                  <w:pPr>
                    <w:pStyle w:val="311"/>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op w:val="single" w:color="auto" w:sz="4" w:space="0"/>
                    <w:left w:val="single" w:color="auto" w:sz="4" w:space="0"/>
                    <w:bottom w:val="single" w:color="auto" w:sz="4" w:space="0"/>
                    <w:right w:val="single" w:color="auto" w:sz="4" w:space="0"/>
                  </w:tcBorders>
                  <w:vAlign w:val="center"/>
                </w:tcPr>
                <w:p>
                  <w:pPr>
                    <w:pStyle w:val="311"/>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27</w:t>
                  </w:r>
                </w:p>
              </w:tc>
              <w:tc>
                <w:tcPr>
                  <w:tcW w:w="1928" w:type="dxa"/>
                  <w:tcBorders>
                    <w:top w:val="single" w:color="auto" w:sz="4" w:space="0"/>
                    <w:left w:val="single" w:color="auto" w:sz="4" w:space="0"/>
                    <w:bottom w:val="single" w:color="auto" w:sz="4" w:space="0"/>
                    <w:right w:val="single" w:color="auto" w:sz="4" w:space="0"/>
                  </w:tcBorders>
                  <w:vAlign w:val="center"/>
                </w:tcPr>
                <w:p>
                  <w:pPr>
                    <w:pStyle w:val="311"/>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氯苯</w:t>
                  </w:r>
                </w:p>
              </w:tc>
              <w:tc>
                <w:tcPr>
                  <w:tcW w:w="1673" w:type="dxa"/>
                  <w:tcBorders>
                    <w:top w:val="single" w:color="auto" w:sz="4" w:space="0"/>
                    <w:left w:val="single" w:color="auto" w:sz="4" w:space="0"/>
                    <w:bottom w:val="single" w:color="auto" w:sz="4" w:space="0"/>
                    <w:right w:val="single" w:color="auto" w:sz="4" w:space="0"/>
                  </w:tcBorders>
                  <w:vAlign w:val="center"/>
                </w:tcPr>
                <w:p>
                  <w:pPr>
                    <w:pStyle w:val="311"/>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108-90-7</w:t>
                  </w:r>
                </w:p>
              </w:tc>
              <w:tc>
                <w:tcPr>
                  <w:tcW w:w="1800" w:type="dxa"/>
                  <w:tcBorders>
                    <w:top w:val="single" w:color="auto" w:sz="4" w:space="0"/>
                    <w:left w:val="single" w:color="auto" w:sz="4" w:space="0"/>
                    <w:bottom w:val="single" w:color="auto" w:sz="4" w:space="0"/>
                    <w:right w:val="single" w:color="auto" w:sz="4" w:space="0"/>
                  </w:tcBorders>
                  <w:vAlign w:val="center"/>
                </w:tcPr>
                <w:p>
                  <w:pPr>
                    <w:pStyle w:val="311"/>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68</w:t>
                  </w:r>
                </w:p>
              </w:tc>
              <w:tc>
                <w:tcPr>
                  <w:tcW w:w="1695" w:type="dxa"/>
                  <w:tcBorders>
                    <w:top w:val="single" w:color="auto" w:sz="4" w:space="0"/>
                    <w:left w:val="single" w:color="auto" w:sz="4" w:space="0"/>
                    <w:bottom w:val="single" w:color="auto" w:sz="4" w:space="0"/>
                    <w:right w:val="single" w:color="auto" w:sz="4" w:space="0"/>
                  </w:tcBorders>
                  <w:vAlign w:val="center"/>
                </w:tcPr>
                <w:p>
                  <w:pPr>
                    <w:pStyle w:val="311"/>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op w:val="single" w:color="auto" w:sz="4" w:space="0"/>
                    <w:left w:val="single" w:color="auto" w:sz="4" w:space="0"/>
                    <w:bottom w:val="single" w:color="auto" w:sz="4" w:space="0"/>
                    <w:right w:val="single" w:color="auto" w:sz="4" w:space="0"/>
                  </w:tcBorders>
                  <w:vAlign w:val="center"/>
                </w:tcPr>
                <w:p>
                  <w:pPr>
                    <w:pStyle w:val="311"/>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28</w:t>
                  </w:r>
                </w:p>
              </w:tc>
              <w:tc>
                <w:tcPr>
                  <w:tcW w:w="1928" w:type="dxa"/>
                  <w:tcBorders>
                    <w:top w:val="single" w:color="auto" w:sz="4" w:space="0"/>
                    <w:left w:val="single" w:color="auto" w:sz="4" w:space="0"/>
                    <w:bottom w:val="single" w:color="auto" w:sz="4" w:space="0"/>
                    <w:right w:val="single" w:color="auto" w:sz="4" w:space="0"/>
                  </w:tcBorders>
                  <w:vAlign w:val="center"/>
                </w:tcPr>
                <w:p>
                  <w:pPr>
                    <w:pStyle w:val="311"/>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1,2-二氯苯</w:t>
                  </w:r>
                </w:p>
              </w:tc>
              <w:tc>
                <w:tcPr>
                  <w:tcW w:w="1673" w:type="dxa"/>
                  <w:tcBorders>
                    <w:top w:val="single" w:color="auto" w:sz="4" w:space="0"/>
                    <w:left w:val="single" w:color="auto" w:sz="4" w:space="0"/>
                    <w:bottom w:val="single" w:color="auto" w:sz="4" w:space="0"/>
                    <w:right w:val="single" w:color="auto" w:sz="4" w:space="0"/>
                  </w:tcBorders>
                  <w:vAlign w:val="center"/>
                </w:tcPr>
                <w:p>
                  <w:pPr>
                    <w:pStyle w:val="311"/>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95-50-1</w:t>
                  </w:r>
                </w:p>
              </w:tc>
              <w:tc>
                <w:tcPr>
                  <w:tcW w:w="1800" w:type="dxa"/>
                  <w:tcBorders>
                    <w:top w:val="single" w:color="auto" w:sz="4" w:space="0"/>
                    <w:left w:val="single" w:color="auto" w:sz="4" w:space="0"/>
                    <w:bottom w:val="single" w:color="auto" w:sz="4" w:space="0"/>
                    <w:right w:val="single" w:color="auto" w:sz="4" w:space="0"/>
                  </w:tcBorders>
                  <w:vAlign w:val="center"/>
                </w:tcPr>
                <w:p>
                  <w:pPr>
                    <w:pStyle w:val="311"/>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560</w:t>
                  </w:r>
                </w:p>
              </w:tc>
              <w:tc>
                <w:tcPr>
                  <w:tcW w:w="1695" w:type="dxa"/>
                  <w:tcBorders>
                    <w:top w:val="single" w:color="auto" w:sz="4" w:space="0"/>
                    <w:left w:val="single" w:color="auto" w:sz="4" w:space="0"/>
                    <w:bottom w:val="single" w:color="auto" w:sz="4" w:space="0"/>
                    <w:right w:val="single" w:color="auto" w:sz="4" w:space="0"/>
                  </w:tcBorders>
                  <w:vAlign w:val="center"/>
                </w:tcPr>
                <w:p>
                  <w:pPr>
                    <w:pStyle w:val="311"/>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560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op w:val="single" w:color="auto" w:sz="4" w:space="0"/>
                    <w:left w:val="single" w:color="auto" w:sz="4" w:space="0"/>
                    <w:bottom w:val="single" w:color="auto" w:sz="4" w:space="0"/>
                    <w:right w:val="single" w:color="auto" w:sz="4" w:space="0"/>
                  </w:tcBorders>
                  <w:vAlign w:val="center"/>
                </w:tcPr>
                <w:p>
                  <w:pPr>
                    <w:pStyle w:val="311"/>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29</w:t>
                  </w:r>
                </w:p>
              </w:tc>
              <w:tc>
                <w:tcPr>
                  <w:tcW w:w="1928" w:type="dxa"/>
                  <w:tcBorders>
                    <w:top w:val="single" w:color="auto" w:sz="4" w:space="0"/>
                    <w:left w:val="single" w:color="auto" w:sz="4" w:space="0"/>
                    <w:bottom w:val="single" w:color="auto" w:sz="4" w:space="0"/>
                    <w:right w:val="single" w:color="auto" w:sz="4" w:space="0"/>
                  </w:tcBorders>
                  <w:vAlign w:val="center"/>
                </w:tcPr>
                <w:p>
                  <w:pPr>
                    <w:pStyle w:val="311"/>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1,4-二氯苯</w:t>
                  </w:r>
                </w:p>
              </w:tc>
              <w:tc>
                <w:tcPr>
                  <w:tcW w:w="1673" w:type="dxa"/>
                  <w:tcBorders>
                    <w:top w:val="single" w:color="auto" w:sz="4" w:space="0"/>
                    <w:left w:val="single" w:color="auto" w:sz="4" w:space="0"/>
                    <w:bottom w:val="single" w:color="auto" w:sz="4" w:space="0"/>
                    <w:right w:val="single" w:color="auto" w:sz="4" w:space="0"/>
                  </w:tcBorders>
                  <w:vAlign w:val="center"/>
                </w:tcPr>
                <w:p>
                  <w:pPr>
                    <w:pStyle w:val="311"/>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106-46-7</w:t>
                  </w:r>
                </w:p>
              </w:tc>
              <w:tc>
                <w:tcPr>
                  <w:tcW w:w="1800" w:type="dxa"/>
                  <w:tcBorders>
                    <w:top w:val="single" w:color="auto" w:sz="4" w:space="0"/>
                    <w:left w:val="single" w:color="auto" w:sz="4" w:space="0"/>
                    <w:bottom w:val="single" w:color="auto" w:sz="4" w:space="0"/>
                    <w:right w:val="single" w:color="auto" w:sz="4" w:space="0"/>
                  </w:tcBorders>
                  <w:vAlign w:val="center"/>
                </w:tcPr>
                <w:p>
                  <w:pPr>
                    <w:pStyle w:val="311"/>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5.6</w:t>
                  </w:r>
                </w:p>
              </w:tc>
              <w:tc>
                <w:tcPr>
                  <w:tcW w:w="1695" w:type="dxa"/>
                  <w:tcBorders>
                    <w:top w:val="single" w:color="auto" w:sz="4" w:space="0"/>
                    <w:left w:val="single" w:color="auto" w:sz="4" w:space="0"/>
                    <w:bottom w:val="single" w:color="auto" w:sz="4" w:space="0"/>
                    <w:right w:val="single" w:color="auto" w:sz="4" w:space="0"/>
                  </w:tcBorders>
                  <w:vAlign w:val="center"/>
                </w:tcPr>
                <w:p>
                  <w:pPr>
                    <w:pStyle w:val="311"/>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op w:val="single" w:color="auto" w:sz="4" w:space="0"/>
                    <w:left w:val="single" w:color="auto" w:sz="4" w:space="0"/>
                    <w:bottom w:val="single" w:color="auto" w:sz="4" w:space="0"/>
                    <w:right w:val="single" w:color="auto" w:sz="4" w:space="0"/>
                  </w:tcBorders>
                  <w:vAlign w:val="center"/>
                </w:tcPr>
                <w:p>
                  <w:pPr>
                    <w:pStyle w:val="311"/>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30</w:t>
                  </w:r>
                </w:p>
              </w:tc>
              <w:tc>
                <w:tcPr>
                  <w:tcW w:w="1928" w:type="dxa"/>
                  <w:tcBorders>
                    <w:top w:val="single" w:color="auto" w:sz="4" w:space="0"/>
                    <w:left w:val="single" w:color="auto" w:sz="4" w:space="0"/>
                    <w:bottom w:val="single" w:color="auto" w:sz="4" w:space="0"/>
                    <w:right w:val="single" w:color="auto" w:sz="4" w:space="0"/>
                  </w:tcBorders>
                  <w:vAlign w:val="center"/>
                </w:tcPr>
                <w:p>
                  <w:pPr>
                    <w:pStyle w:val="311"/>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乙苯</w:t>
                  </w:r>
                </w:p>
              </w:tc>
              <w:tc>
                <w:tcPr>
                  <w:tcW w:w="1673" w:type="dxa"/>
                  <w:tcBorders>
                    <w:top w:val="single" w:color="auto" w:sz="4" w:space="0"/>
                    <w:left w:val="single" w:color="auto" w:sz="4" w:space="0"/>
                    <w:bottom w:val="single" w:color="auto" w:sz="4" w:space="0"/>
                    <w:right w:val="single" w:color="auto" w:sz="4" w:space="0"/>
                  </w:tcBorders>
                  <w:vAlign w:val="center"/>
                </w:tcPr>
                <w:p>
                  <w:pPr>
                    <w:pStyle w:val="311"/>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100-41-4</w:t>
                  </w:r>
                </w:p>
              </w:tc>
              <w:tc>
                <w:tcPr>
                  <w:tcW w:w="1800" w:type="dxa"/>
                  <w:tcBorders>
                    <w:top w:val="single" w:color="auto" w:sz="4" w:space="0"/>
                    <w:left w:val="single" w:color="auto" w:sz="4" w:space="0"/>
                    <w:bottom w:val="single" w:color="auto" w:sz="4" w:space="0"/>
                    <w:right w:val="single" w:color="auto" w:sz="4" w:space="0"/>
                  </w:tcBorders>
                  <w:vAlign w:val="center"/>
                </w:tcPr>
                <w:p>
                  <w:pPr>
                    <w:pStyle w:val="311"/>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7.2</w:t>
                  </w:r>
                </w:p>
              </w:tc>
              <w:tc>
                <w:tcPr>
                  <w:tcW w:w="1695" w:type="dxa"/>
                  <w:tcBorders>
                    <w:top w:val="single" w:color="auto" w:sz="4" w:space="0"/>
                    <w:left w:val="single" w:color="auto" w:sz="4" w:space="0"/>
                    <w:bottom w:val="single" w:color="auto" w:sz="4" w:space="0"/>
                    <w:right w:val="single" w:color="auto" w:sz="4" w:space="0"/>
                  </w:tcBorders>
                  <w:vAlign w:val="center"/>
                </w:tcPr>
                <w:p>
                  <w:pPr>
                    <w:pStyle w:val="311"/>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op w:val="single" w:color="auto" w:sz="4" w:space="0"/>
                    <w:left w:val="single" w:color="auto" w:sz="4" w:space="0"/>
                    <w:bottom w:val="single" w:color="auto" w:sz="4" w:space="0"/>
                    <w:right w:val="single" w:color="auto" w:sz="4" w:space="0"/>
                  </w:tcBorders>
                  <w:vAlign w:val="center"/>
                </w:tcPr>
                <w:p>
                  <w:pPr>
                    <w:pStyle w:val="311"/>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31</w:t>
                  </w:r>
                </w:p>
              </w:tc>
              <w:tc>
                <w:tcPr>
                  <w:tcW w:w="1928" w:type="dxa"/>
                  <w:tcBorders>
                    <w:top w:val="single" w:color="auto" w:sz="4" w:space="0"/>
                    <w:left w:val="single" w:color="auto" w:sz="4" w:space="0"/>
                    <w:bottom w:val="single" w:color="auto" w:sz="4" w:space="0"/>
                    <w:right w:val="single" w:color="auto" w:sz="4" w:space="0"/>
                  </w:tcBorders>
                  <w:vAlign w:val="center"/>
                </w:tcPr>
                <w:p>
                  <w:pPr>
                    <w:pStyle w:val="311"/>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苯乙烯</w:t>
                  </w:r>
                </w:p>
              </w:tc>
              <w:tc>
                <w:tcPr>
                  <w:tcW w:w="1673" w:type="dxa"/>
                  <w:tcBorders>
                    <w:top w:val="single" w:color="auto" w:sz="4" w:space="0"/>
                    <w:left w:val="single" w:color="auto" w:sz="4" w:space="0"/>
                    <w:bottom w:val="single" w:color="auto" w:sz="4" w:space="0"/>
                    <w:right w:val="single" w:color="auto" w:sz="4" w:space="0"/>
                  </w:tcBorders>
                  <w:vAlign w:val="center"/>
                </w:tcPr>
                <w:p>
                  <w:pPr>
                    <w:pStyle w:val="311"/>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100-42-5</w:t>
                  </w:r>
                </w:p>
              </w:tc>
              <w:tc>
                <w:tcPr>
                  <w:tcW w:w="1800" w:type="dxa"/>
                  <w:tcBorders>
                    <w:top w:val="single" w:color="auto" w:sz="4" w:space="0"/>
                    <w:left w:val="single" w:color="auto" w:sz="4" w:space="0"/>
                    <w:bottom w:val="single" w:color="auto" w:sz="4" w:space="0"/>
                    <w:right w:val="single" w:color="auto" w:sz="4" w:space="0"/>
                  </w:tcBorders>
                  <w:vAlign w:val="center"/>
                </w:tcPr>
                <w:p>
                  <w:pPr>
                    <w:pStyle w:val="311"/>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1290</w:t>
                  </w:r>
                </w:p>
              </w:tc>
              <w:tc>
                <w:tcPr>
                  <w:tcW w:w="1695" w:type="dxa"/>
                  <w:tcBorders>
                    <w:top w:val="single" w:color="auto" w:sz="4" w:space="0"/>
                    <w:left w:val="single" w:color="auto" w:sz="4" w:space="0"/>
                    <w:bottom w:val="single" w:color="auto" w:sz="4" w:space="0"/>
                    <w:right w:val="single" w:color="auto" w:sz="4" w:space="0"/>
                  </w:tcBorders>
                  <w:vAlign w:val="center"/>
                </w:tcPr>
                <w:p>
                  <w:pPr>
                    <w:pStyle w:val="311"/>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1290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op w:val="single" w:color="auto" w:sz="4" w:space="0"/>
                    <w:left w:val="single" w:color="auto" w:sz="4" w:space="0"/>
                    <w:bottom w:val="single" w:color="auto" w:sz="4" w:space="0"/>
                    <w:right w:val="single" w:color="auto" w:sz="4" w:space="0"/>
                  </w:tcBorders>
                  <w:vAlign w:val="center"/>
                </w:tcPr>
                <w:p>
                  <w:pPr>
                    <w:pStyle w:val="311"/>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32</w:t>
                  </w:r>
                </w:p>
              </w:tc>
              <w:tc>
                <w:tcPr>
                  <w:tcW w:w="1928" w:type="dxa"/>
                  <w:tcBorders>
                    <w:top w:val="single" w:color="auto" w:sz="4" w:space="0"/>
                    <w:left w:val="single" w:color="auto" w:sz="4" w:space="0"/>
                    <w:bottom w:val="single" w:color="auto" w:sz="4" w:space="0"/>
                    <w:right w:val="single" w:color="auto" w:sz="4" w:space="0"/>
                  </w:tcBorders>
                  <w:vAlign w:val="center"/>
                </w:tcPr>
                <w:p>
                  <w:pPr>
                    <w:pStyle w:val="311"/>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甲苯</w:t>
                  </w:r>
                </w:p>
              </w:tc>
              <w:tc>
                <w:tcPr>
                  <w:tcW w:w="1673" w:type="dxa"/>
                  <w:tcBorders>
                    <w:top w:val="single" w:color="auto" w:sz="4" w:space="0"/>
                    <w:left w:val="single" w:color="auto" w:sz="4" w:space="0"/>
                    <w:bottom w:val="single" w:color="auto" w:sz="4" w:space="0"/>
                    <w:right w:val="single" w:color="auto" w:sz="4" w:space="0"/>
                  </w:tcBorders>
                  <w:vAlign w:val="center"/>
                </w:tcPr>
                <w:p>
                  <w:pPr>
                    <w:pStyle w:val="311"/>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108-88-3</w:t>
                  </w:r>
                </w:p>
              </w:tc>
              <w:tc>
                <w:tcPr>
                  <w:tcW w:w="1800" w:type="dxa"/>
                  <w:tcBorders>
                    <w:top w:val="single" w:color="auto" w:sz="4" w:space="0"/>
                    <w:left w:val="single" w:color="auto" w:sz="4" w:space="0"/>
                    <w:bottom w:val="single" w:color="auto" w:sz="4" w:space="0"/>
                    <w:right w:val="single" w:color="auto" w:sz="4" w:space="0"/>
                  </w:tcBorders>
                  <w:vAlign w:val="center"/>
                </w:tcPr>
                <w:p>
                  <w:pPr>
                    <w:pStyle w:val="311"/>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1200</w:t>
                  </w:r>
                </w:p>
              </w:tc>
              <w:tc>
                <w:tcPr>
                  <w:tcW w:w="1695" w:type="dxa"/>
                  <w:tcBorders>
                    <w:top w:val="single" w:color="auto" w:sz="4" w:space="0"/>
                    <w:left w:val="single" w:color="auto" w:sz="4" w:space="0"/>
                    <w:bottom w:val="single" w:color="auto" w:sz="4" w:space="0"/>
                    <w:right w:val="single" w:color="auto" w:sz="4" w:space="0"/>
                  </w:tcBorders>
                  <w:vAlign w:val="center"/>
                </w:tcPr>
                <w:p>
                  <w:pPr>
                    <w:pStyle w:val="311"/>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op w:val="single" w:color="auto" w:sz="4" w:space="0"/>
                    <w:left w:val="single" w:color="auto" w:sz="4" w:space="0"/>
                    <w:bottom w:val="single" w:color="auto" w:sz="4" w:space="0"/>
                    <w:right w:val="single" w:color="auto" w:sz="4" w:space="0"/>
                  </w:tcBorders>
                  <w:vAlign w:val="center"/>
                </w:tcPr>
                <w:p>
                  <w:pPr>
                    <w:pStyle w:val="311"/>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33</w:t>
                  </w:r>
                </w:p>
              </w:tc>
              <w:tc>
                <w:tcPr>
                  <w:tcW w:w="1928" w:type="dxa"/>
                  <w:tcBorders>
                    <w:top w:val="single" w:color="auto" w:sz="4" w:space="0"/>
                    <w:left w:val="single" w:color="auto" w:sz="4" w:space="0"/>
                    <w:bottom w:val="single" w:color="auto" w:sz="4" w:space="0"/>
                    <w:right w:val="single" w:color="auto" w:sz="4" w:space="0"/>
                  </w:tcBorders>
                  <w:vAlign w:val="center"/>
                </w:tcPr>
                <w:p>
                  <w:pPr>
                    <w:pStyle w:val="311"/>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间二甲苯+对二甲苯</w:t>
                  </w:r>
                </w:p>
              </w:tc>
              <w:tc>
                <w:tcPr>
                  <w:tcW w:w="1673" w:type="dxa"/>
                  <w:tcBorders>
                    <w:top w:val="single" w:color="auto" w:sz="4" w:space="0"/>
                    <w:left w:val="single" w:color="auto" w:sz="4" w:space="0"/>
                    <w:bottom w:val="single" w:color="auto" w:sz="4" w:space="0"/>
                    <w:right w:val="single" w:color="auto" w:sz="4" w:space="0"/>
                  </w:tcBorders>
                  <w:vAlign w:val="center"/>
                </w:tcPr>
                <w:p>
                  <w:pPr>
                    <w:pStyle w:val="311"/>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108-38-3，106-42-3</w:t>
                  </w:r>
                </w:p>
              </w:tc>
              <w:tc>
                <w:tcPr>
                  <w:tcW w:w="1800" w:type="dxa"/>
                  <w:tcBorders>
                    <w:top w:val="single" w:color="auto" w:sz="4" w:space="0"/>
                    <w:left w:val="single" w:color="auto" w:sz="4" w:space="0"/>
                    <w:bottom w:val="single" w:color="auto" w:sz="4" w:space="0"/>
                    <w:right w:val="single" w:color="auto" w:sz="4" w:space="0"/>
                  </w:tcBorders>
                  <w:vAlign w:val="center"/>
                </w:tcPr>
                <w:p>
                  <w:pPr>
                    <w:pStyle w:val="311"/>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163</w:t>
                  </w:r>
                </w:p>
              </w:tc>
              <w:tc>
                <w:tcPr>
                  <w:tcW w:w="1695" w:type="dxa"/>
                  <w:tcBorders>
                    <w:top w:val="single" w:color="auto" w:sz="4" w:space="0"/>
                    <w:left w:val="single" w:color="auto" w:sz="4" w:space="0"/>
                    <w:bottom w:val="single" w:color="auto" w:sz="4" w:space="0"/>
                    <w:right w:val="single" w:color="auto" w:sz="4" w:space="0"/>
                  </w:tcBorders>
                  <w:vAlign w:val="center"/>
                </w:tcPr>
                <w:p>
                  <w:pPr>
                    <w:pStyle w:val="311"/>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op w:val="single" w:color="auto" w:sz="4" w:space="0"/>
                    <w:left w:val="single" w:color="auto" w:sz="4" w:space="0"/>
                    <w:bottom w:val="single" w:color="auto" w:sz="4" w:space="0"/>
                    <w:right w:val="single" w:color="auto" w:sz="4" w:space="0"/>
                  </w:tcBorders>
                  <w:vAlign w:val="center"/>
                </w:tcPr>
                <w:p>
                  <w:pPr>
                    <w:pStyle w:val="311"/>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34</w:t>
                  </w:r>
                </w:p>
              </w:tc>
              <w:tc>
                <w:tcPr>
                  <w:tcW w:w="1928" w:type="dxa"/>
                  <w:tcBorders>
                    <w:top w:val="single" w:color="auto" w:sz="4" w:space="0"/>
                    <w:left w:val="single" w:color="auto" w:sz="4" w:space="0"/>
                    <w:bottom w:val="single" w:color="auto" w:sz="4" w:space="0"/>
                    <w:right w:val="single" w:color="auto" w:sz="4" w:space="0"/>
                  </w:tcBorders>
                  <w:vAlign w:val="center"/>
                </w:tcPr>
                <w:p>
                  <w:pPr>
                    <w:pStyle w:val="311"/>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邻二甲苯</w:t>
                  </w:r>
                </w:p>
              </w:tc>
              <w:tc>
                <w:tcPr>
                  <w:tcW w:w="1673" w:type="dxa"/>
                  <w:tcBorders>
                    <w:top w:val="single" w:color="auto" w:sz="4" w:space="0"/>
                    <w:left w:val="single" w:color="auto" w:sz="4" w:space="0"/>
                    <w:bottom w:val="single" w:color="auto" w:sz="4" w:space="0"/>
                    <w:right w:val="single" w:color="auto" w:sz="4" w:space="0"/>
                  </w:tcBorders>
                  <w:vAlign w:val="center"/>
                </w:tcPr>
                <w:p>
                  <w:pPr>
                    <w:pStyle w:val="311"/>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95-47-6</w:t>
                  </w:r>
                </w:p>
              </w:tc>
              <w:tc>
                <w:tcPr>
                  <w:tcW w:w="1800" w:type="dxa"/>
                  <w:tcBorders>
                    <w:top w:val="single" w:color="auto" w:sz="4" w:space="0"/>
                    <w:left w:val="single" w:color="auto" w:sz="4" w:space="0"/>
                    <w:bottom w:val="single" w:color="auto" w:sz="4" w:space="0"/>
                    <w:right w:val="single" w:color="auto" w:sz="4" w:space="0"/>
                  </w:tcBorders>
                  <w:vAlign w:val="center"/>
                </w:tcPr>
                <w:p>
                  <w:pPr>
                    <w:pStyle w:val="311"/>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222</w:t>
                  </w:r>
                </w:p>
              </w:tc>
              <w:tc>
                <w:tcPr>
                  <w:tcW w:w="1695" w:type="dxa"/>
                  <w:tcBorders>
                    <w:top w:val="single" w:color="auto" w:sz="4" w:space="0"/>
                    <w:left w:val="single" w:color="auto" w:sz="4" w:space="0"/>
                    <w:bottom w:val="single" w:color="auto" w:sz="4" w:space="0"/>
                    <w:right w:val="single" w:color="auto" w:sz="4" w:space="0"/>
                  </w:tcBorders>
                  <w:vAlign w:val="center"/>
                </w:tcPr>
                <w:p>
                  <w:pPr>
                    <w:pStyle w:val="311"/>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027" w:type="dxa"/>
                  <w:gridSpan w:val="5"/>
                  <w:tcBorders>
                    <w:top w:val="single" w:color="auto" w:sz="4" w:space="0"/>
                    <w:left w:val="single" w:color="auto" w:sz="4" w:space="0"/>
                    <w:bottom w:val="single" w:color="auto" w:sz="4" w:space="0"/>
                    <w:right w:val="single" w:color="auto" w:sz="4" w:space="0"/>
                  </w:tcBorders>
                  <w:vAlign w:val="center"/>
                </w:tcPr>
                <w:p>
                  <w:pPr>
                    <w:pStyle w:val="311"/>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半挥发性有机物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op w:val="single" w:color="auto" w:sz="4" w:space="0"/>
                    <w:left w:val="single" w:color="auto" w:sz="4" w:space="0"/>
                    <w:bottom w:val="single" w:color="auto" w:sz="4" w:space="0"/>
                    <w:right w:val="single" w:color="auto" w:sz="4" w:space="0"/>
                  </w:tcBorders>
                  <w:vAlign w:val="center"/>
                </w:tcPr>
                <w:p>
                  <w:pPr>
                    <w:pStyle w:val="311"/>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35</w:t>
                  </w:r>
                </w:p>
              </w:tc>
              <w:tc>
                <w:tcPr>
                  <w:tcW w:w="1928" w:type="dxa"/>
                  <w:tcBorders>
                    <w:top w:val="single" w:color="auto" w:sz="4" w:space="0"/>
                    <w:left w:val="single" w:color="auto" w:sz="4" w:space="0"/>
                    <w:bottom w:val="single" w:color="auto" w:sz="4" w:space="0"/>
                    <w:right w:val="single" w:color="auto" w:sz="4" w:space="0"/>
                  </w:tcBorders>
                  <w:vAlign w:val="center"/>
                </w:tcPr>
                <w:p>
                  <w:pPr>
                    <w:pStyle w:val="311"/>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硝基苯</w:t>
                  </w:r>
                </w:p>
              </w:tc>
              <w:tc>
                <w:tcPr>
                  <w:tcW w:w="1673" w:type="dxa"/>
                  <w:tcBorders>
                    <w:top w:val="single" w:color="auto" w:sz="4" w:space="0"/>
                    <w:left w:val="single" w:color="auto" w:sz="4" w:space="0"/>
                    <w:bottom w:val="single" w:color="auto" w:sz="4" w:space="0"/>
                    <w:right w:val="single" w:color="auto" w:sz="4" w:space="0"/>
                  </w:tcBorders>
                  <w:vAlign w:val="center"/>
                </w:tcPr>
                <w:p>
                  <w:pPr>
                    <w:pStyle w:val="311"/>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98-95-3</w:t>
                  </w:r>
                </w:p>
              </w:tc>
              <w:tc>
                <w:tcPr>
                  <w:tcW w:w="1800" w:type="dxa"/>
                  <w:tcBorders>
                    <w:top w:val="single" w:color="auto" w:sz="4" w:space="0"/>
                    <w:left w:val="single" w:color="auto" w:sz="4" w:space="0"/>
                    <w:bottom w:val="single" w:color="auto" w:sz="4" w:space="0"/>
                    <w:right w:val="single" w:color="auto" w:sz="4" w:space="0"/>
                  </w:tcBorders>
                  <w:vAlign w:val="center"/>
                </w:tcPr>
                <w:p>
                  <w:pPr>
                    <w:pStyle w:val="311"/>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34</w:t>
                  </w:r>
                </w:p>
              </w:tc>
              <w:tc>
                <w:tcPr>
                  <w:tcW w:w="1695" w:type="dxa"/>
                  <w:tcBorders>
                    <w:top w:val="single" w:color="auto" w:sz="4" w:space="0"/>
                    <w:left w:val="single" w:color="auto" w:sz="4" w:space="0"/>
                    <w:bottom w:val="single" w:color="auto" w:sz="4" w:space="0"/>
                    <w:right w:val="single" w:color="auto" w:sz="4" w:space="0"/>
                  </w:tcBorders>
                  <w:vAlign w:val="center"/>
                </w:tcPr>
                <w:p>
                  <w:pPr>
                    <w:pStyle w:val="311"/>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190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op w:val="single" w:color="auto" w:sz="4" w:space="0"/>
                    <w:left w:val="single" w:color="auto" w:sz="4" w:space="0"/>
                    <w:bottom w:val="single" w:color="auto" w:sz="4" w:space="0"/>
                    <w:right w:val="single" w:color="auto" w:sz="4" w:space="0"/>
                  </w:tcBorders>
                  <w:vAlign w:val="center"/>
                </w:tcPr>
                <w:p>
                  <w:pPr>
                    <w:pStyle w:val="311"/>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36</w:t>
                  </w:r>
                </w:p>
              </w:tc>
              <w:tc>
                <w:tcPr>
                  <w:tcW w:w="1928" w:type="dxa"/>
                  <w:tcBorders>
                    <w:top w:val="single" w:color="auto" w:sz="4" w:space="0"/>
                    <w:left w:val="single" w:color="auto" w:sz="4" w:space="0"/>
                    <w:bottom w:val="single" w:color="auto" w:sz="4" w:space="0"/>
                    <w:right w:val="single" w:color="auto" w:sz="4" w:space="0"/>
                  </w:tcBorders>
                  <w:vAlign w:val="center"/>
                </w:tcPr>
                <w:p>
                  <w:pPr>
                    <w:pStyle w:val="311"/>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苯胺</w:t>
                  </w:r>
                </w:p>
              </w:tc>
              <w:tc>
                <w:tcPr>
                  <w:tcW w:w="1673" w:type="dxa"/>
                  <w:tcBorders>
                    <w:top w:val="single" w:color="auto" w:sz="4" w:space="0"/>
                    <w:left w:val="single" w:color="auto" w:sz="4" w:space="0"/>
                    <w:bottom w:val="single" w:color="auto" w:sz="4" w:space="0"/>
                    <w:right w:val="single" w:color="auto" w:sz="4" w:space="0"/>
                  </w:tcBorders>
                  <w:vAlign w:val="center"/>
                </w:tcPr>
                <w:p>
                  <w:pPr>
                    <w:pStyle w:val="311"/>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62-53-3</w:t>
                  </w:r>
                </w:p>
              </w:tc>
              <w:tc>
                <w:tcPr>
                  <w:tcW w:w="1800" w:type="dxa"/>
                  <w:tcBorders>
                    <w:top w:val="single" w:color="auto" w:sz="4" w:space="0"/>
                    <w:left w:val="single" w:color="auto" w:sz="4" w:space="0"/>
                    <w:bottom w:val="single" w:color="auto" w:sz="4" w:space="0"/>
                    <w:right w:val="single" w:color="auto" w:sz="4" w:space="0"/>
                  </w:tcBorders>
                  <w:vAlign w:val="center"/>
                </w:tcPr>
                <w:p>
                  <w:pPr>
                    <w:pStyle w:val="311"/>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92</w:t>
                  </w:r>
                </w:p>
              </w:tc>
              <w:tc>
                <w:tcPr>
                  <w:tcW w:w="1695" w:type="dxa"/>
                  <w:tcBorders>
                    <w:top w:val="single" w:color="auto" w:sz="4" w:space="0"/>
                    <w:left w:val="single" w:color="auto" w:sz="4" w:space="0"/>
                    <w:bottom w:val="single" w:color="auto" w:sz="4" w:space="0"/>
                    <w:right w:val="single" w:color="auto" w:sz="4" w:space="0"/>
                  </w:tcBorders>
                  <w:vAlign w:val="center"/>
                </w:tcPr>
                <w:p>
                  <w:pPr>
                    <w:pStyle w:val="311"/>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211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op w:val="single" w:color="auto" w:sz="4" w:space="0"/>
                    <w:left w:val="single" w:color="auto" w:sz="4" w:space="0"/>
                    <w:bottom w:val="single" w:color="auto" w:sz="4" w:space="0"/>
                    <w:right w:val="single" w:color="auto" w:sz="4" w:space="0"/>
                  </w:tcBorders>
                  <w:vAlign w:val="center"/>
                </w:tcPr>
                <w:p>
                  <w:pPr>
                    <w:pStyle w:val="311"/>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37</w:t>
                  </w:r>
                </w:p>
              </w:tc>
              <w:tc>
                <w:tcPr>
                  <w:tcW w:w="1928" w:type="dxa"/>
                  <w:tcBorders>
                    <w:top w:val="single" w:color="auto" w:sz="4" w:space="0"/>
                    <w:left w:val="single" w:color="auto" w:sz="4" w:space="0"/>
                    <w:bottom w:val="single" w:color="auto" w:sz="4" w:space="0"/>
                    <w:right w:val="single" w:color="auto" w:sz="4" w:space="0"/>
                  </w:tcBorders>
                  <w:vAlign w:val="center"/>
                </w:tcPr>
                <w:p>
                  <w:pPr>
                    <w:pStyle w:val="311"/>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2-氯酚</w:t>
                  </w:r>
                </w:p>
              </w:tc>
              <w:tc>
                <w:tcPr>
                  <w:tcW w:w="1673" w:type="dxa"/>
                  <w:tcBorders>
                    <w:top w:val="single" w:color="auto" w:sz="4" w:space="0"/>
                    <w:left w:val="single" w:color="auto" w:sz="4" w:space="0"/>
                    <w:bottom w:val="single" w:color="auto" w:sz="4" w:space="0"/>
                    <w:right w:val="single" w:color="auto" w:sz="4" w:space="0"/>
                  </w:tcBorders>
                  <w:vAlign w:val="center"/>
                </w:tcPr>
                <w:p>
                  <w:pPr>
                    <w:pStyle w:val="311"/>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95-57-8</w:t>
                  </w:r>
                </w:p>
              </w:tc>
              <w:tc>
                <w:tcPr>
                  <w:tcW w:w="1800" w:type="dxa"/>
                  <w:tcBorders>
                    <w:top w:val="single" w:color="auto" w:sz="4" w:space="0"/>
                    <w:left w:val="single" w:color="auto" w:sz="4" w:space="0"/>
                    <w:bottom w:val="single" w:color="auto" w:sz="4" w:space="0"/>
                    <w:right w:val="single" w:color="auto" w:sz="4" w:space="0"/>
                  </w:tcBorders>
                  <w:vAlign w:val="center"/>
                </w:tcPr>
                <w:p>
                  <w:pPr>
                    <w:pStyle w:val="311"/>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250</w:t>
                  </w:r>
                </w:p>
              </w:tc>
              <w:tc>
                <w:tcPr>
                  <w:tcW w:w="1695" w:type="dxa"/>
                  <w:tcBorders>
                    <w:top w:val="single" w:color="auto" w:sz="4" w:space="0"/>
                    <w:left w:val="single" w:color="auto" w:sz="4" w:space="0"/>
                    <w:bottom w:val="single" w:color="auto" w:sz="4" w:space="0"/>
                    <w:right w:val="single" w:color="auto" w:sz="4" w:space="0"/>
                  </w:tcBorders>
                  <w:vAlign w:val="center"/>
                </w:tcPr>
                <w:p>
                  <w:pPr>
                    <w:pStyle w:val="311"/>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op w:val="single" w:color="auto" w:sz="4" w:space="0"/>
                    <w:left w:val="single" w:color="auto" w:sz="4" w:space="0"/>
                    <w:bottom w:val="single" w:color="auto" w:sz="4" w:space="0"/>
                    <w:right w:val="single" w:color="auto" w:sz="4" w:space="0"/>
                  </w:tcBorders>
                  <w:vAlign w:val="center"/>
                </w:tcPr>
                <w:p>
                  <w:pPr>
                    <w:pStyle w:val="311"/>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38</w:t>
                  </w:r>
                </w:p>
              </w:tc>
              <w:tc>
                <w:tcPr>
                  <w:tcW w:w="1928" w:type="dxa"/>
                  <w:tcBorders>
                    <w:top w:val="single" w:color="auto" w:sz="4" w:space="0"/>
                    <w:left w:val="single" w:color="auto" w:sz="4" w:space="0"/>
                    <w:bottom w:val="single" w:color="auto" w:sz="4" w:space="0"/>
                    <w:right w:val="single" w:color="auto" w:sz="4" w:space="0"/>
                  </w:tcBorders>
                  <w:vAlign w:val="center"/>
                </w:tcPr>
                <w:p>
                  <w:pPr>
                    <w:pStyle w:val="311"/>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苯并[a]蒽</w:t>
                  </w:r>
                </w:p>
              </w:tc>
              <w:tc>
                <w:tcPr>
                  <w:tcW w:w="1673" w:type="dxa"/>
                  <w:tcBorders>
                    <w:top w:val="single" w:color="auto" w:sz="4" w:space="0"/>
                    <w:left w:val="single" w:color="auto" w:sz="4" w:space="0"/>
                    <w:bottom w:val="single" w:color="auto" w:sz="4" w:space="0"/>
                    <w:right w:val="single" w:color="auto" w:sz="4" w:space="0"/>
                  </w:tcBorders>
                  <w:vAlign w:val="center"/>
                </w:tcPr>
                <w:p>
                  <w:pPr>
                    <w:pStyle w:val="311"/>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56-55-3</w:t>
                  </w:r>
                </w:p>
              </w:tc>
              <w:tc>
                <w:tcPr>
                  <w:tcW w:w="1800" w:type="dxa"/>
                  <w:tcBorders>
                    <w:top w:val="single" w:color="auto" w:sz="4" w:space="0"/>
                    <w:left w:val="single" w:color="auto" w:sz="4" w:space="0"/>
                    <w:bottom w:val="single" w:color="auto" w:sz="4" w:space="0"/>
                    <w:right w:val="single" w:color="auto" w:sz="4" w:space="0"/>
                  </w:tcBorders>
                  <w:vAlign w:val="center"/>
                </w:tcPr>
                <w:p>
                  <w:pPr>
                    <w:pStyle w:val="311"/>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5.5</w:t>
                  </w:r>
                </w:p>
              </w:tc>
              <w:tc>
                <w:tcPr>
                  <w:tcW w:w="1695" w:type="dxa"/>
                  <w:tcBorders>
                    <w:top w:val="single" w:color="auto" w:sz="4" w:space="0"/>
                    <w:left w:val="single" w:color="auto" w:sz="4" w:space="0"/>
                    <w:bottom w:val="single" w:color="auto" w:sz="4" w:space="0"/>
                    <w:right w:val="single" w:color="auto" w:sz="4" w:space="0"/>
                  </w:tcBorders>
                  <w:vAlign w:val="center"/>
                </w:tcPr>
                <w:p>
                  <w:pPr>
                    <w:pStyle w:val="311"/>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op w:val="single" w:color="auto" w:sz="4" w:space="0"/>
                    <w:left w:val="single" w:color="auto" w:sz="4" w:space="0"/>
                    <w:bottom w:val="single" w:color="auto" w:sz="4" w:space="0"/>
                    <w:right w:val="single" w:color="auto" w:sz="4" w:space="0"/>
                  </w:tcBorders>
                  <w:vAlign w:val="center"/>
                </w:tcPr>
                <w:p>
                  <w:pPr>
                    <w:pStyle w:val="311"/>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39</w:t>
                  </w:r>
                </w:p>
              </w:tc>
              <w:tc>
                <w:tcPr>
                  <w:tcW w:w="1928" w:type="dxa"/>
                  <w:tcBorders>
                    <w:top w:val="single" w:color="auto" w:sz="4" w:space="0"/>
                    <w:left w:val="single" w:color="auto" w:sz="4" w:space="0"/>
                    <w:bottom w:val="single" w:color="auto" w:sz="4" w:space="0"/>
                    <w:right w:val="single" w:color="auto" w:sz="4" w:space="0"/>
                  </w:tcBorders>
                  <w:vAlign w:val="center"/>
                </w:tcPr>
                <w:p>
                  <w:pPr>
                    <w:pStyle w:val="311"/>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苯并[a]芘</w:t>
                  </w:r>
                </w:p>
              </w:tc>
              <w:tc>
                <w:tcPr>
                  <w:tcW w:w="1673" w:type="dxa"/>
                  <w:tcBorders>
                    <w:top w:val="single" w:color="auto" w:sz="4" w:space="0"/>
                    <w:left w:val="single" w:color="auto" w:sz="4" w:space="0"/>
                    <w:bottom w:val="single" w:color="auto" w:sz="4" w:space="0"/>
                    <w:right w:val="single" w:color="auto" w:sz="4" w:space="0"/>
                  </w:tcBorders>
                  <w:vAlign w:val="center"/>
                </w:tcPr>
                <w:p>
                  <w:pPr>
                    <w:pStyle w:val="311"/>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50-32-8</w:t>
                  </w:r>
                </w:p>
              </w:tc>
              <w:tc>
                <w:tcPr>
                  <w:tcW w:w="1800" w:type="dxa"/>
                  <w:tcBorders>
                    <w:top w:val="single" w:color="auto" w:sz="4" w:space="0"/>
                    <w:left w:val="single" w:color="auto" w:sz="4" w:space="0"/>
                    <w:bottom w:val="single" w:color="auto" w:sz="4" w:space="0"/>
                    <w:right w:val="single" w:color="auto" w:sz="4" w:space="0"/>
                  </w:tcBorders>
                  <w:vAlign w:val="center"/>
                </w:tcPr>
                <w:p>
                  <w:pPr>
                    <w:pStyle w:val="311"/>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0.55</w:t>
                  </w:r>
                </w:p>
              </w:tc>
              <w:tc>
                <w:tcPr>
                  <w:tcW w:w="1695" w:type="dxa"/>
                  <w:tcBorders>
                    <w:top w:val="single" w:color="auto" w:sz="4" w:space="0"/>
                    <w:left w:val="single" w:color="auto" w:sz="4" w:space="0"/>
                    <w:bottom w:val="single" w:color="auto" w:sz="4" w:space="0"/>
                    <w:right w:val="single" w:color="auto" w:sz="4" w:space="0"/>
                  </w:tcBorders>
                  <w:vAlign w:val="center"/>
                </w:tcPr>
                <w:p>
                  <w:pPr>
                    <w:pStyle w:val="311"/>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op w:val="single" w:color="auto" w:sz="4" w:space="0"/>
                    <w:left w:val="single" w:color="auto" w:sz="4" w:space="0"/>
                    <w:bottom w:val="single" w:color="auto" w:sz="4" w:space="0"/>
                    <w:right w:val="single" w:color="auto" w:sz="4" w:space="0"/>
                  </w:tcBorders>
                  <w:vAlign w:val="center"/>
                </w:tcPr>
                <w:p>
                  <w:pPr>
                    <w:pStyle w:val="311"/>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40</w:t>
                  </w:r>
                </w:p>
              </w:tc>
              <w:tc>
                <w:tcPr>
                  <w:tcW w:w="1928" w:type="dxa"/>
                  <w:tcBorders>
                    <w:top w:val="single" w:color="auto" w:sz="4" w:space="0"/>
                    <w:left w:val="single" w:color="auto" w:sz="4" w:space="0"/>
                    <w:bottom w:val="single" w:color="auto" w:sz="4" w:space="0"/>
                    <w:right w:val="single" w:color="auto" w:sz="4" w:space="0"/>
                  </w:tcBorders>
                  <w:vAlign w:val="center"/>
                </w:tcPr>
                <w:p>
                  <w:pPr>
                    <w:pStyle w:val="311"/>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苯并[b]荧蒽</w:t>
                  </w:r>
                </w:p>
              </w:tc>
              <w:tc>
                <w:tcPr>
                  <w:tcW w:w="1673" w:type="dxa"/>
                  <w:tcBorders>
                    <w:top w:val="single" w:color="auto" w:sz="4" w:space="0"/>
                    <w:left w:val="single" w:color="auto" w:sz="4" w:space="0"/>
                    <w:bottom w:val="single" w:color="auto" w:sz="4" w:space="0"/>
                    <w:right w:val="single" w:color="auto" w:sz="4" w:space="0"/>
                  </w:tcBorders>
                  <w:vAlign w:val="center"/>
                </w:tcPr>
                <w:p>
                  <w:pPr>
                    <w:pStyle w:val="311"/>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205-99-2</w:t>
                  </w:r>
                </w:p>
              </w:tc>
              <w:tc>
                <w:tcPr>
                  <w:tcW w:w="1800" w:type="dxa"/>
                  <w:tcBorders>
                    <w:top w:val="single" w:color="auto" w:sz="4" w:space="0"/>
                    <w:left w:val="single" w:color="auto" w:sz="4" w:space="0"/>
                    <w:bottom w:val="single" w:color="auto" w:sz="4" w:space="0"/>
                    <w:right w:val="single" w:color="auto" w:sz="4" w:space="0"/>
                  </w:tcBorders>
                  <w:vAlign w:val="center"/>
                </w:tcPr>
                <w:p>
                  <w:pPr>
                    <w:pStyle w:val="311"/>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5.5</w:t>
                  </w:r>
                </w:p>
              </w:tc>
              <w:tc>
                <w:tcPr>
                  <w:tcW w:w="1695" w:type="dxa"/>
                  <w:tcBorders>
                    <w:top w:val="single" w:color="auto" w:sz="4" w:space="0"/>
                    <w:left w:val="single" w:color="auto" w:sz="4" w:space="0"/>
                    <w:bottom w:val="single" w:color="auto" w:sz="4" w:space="0"/>
                    <w:right w:val="single" w:color="auto" w:sz="4" w:space="0"/>
                  </w:tcBorders>
                  <w:vAlign w:val="center"/>
                </w:tcPr>
                <w:p>
                  <w:pPr>
                    <w:pStyle w:val="311"/>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9" w:hRule="atLeast"/>
              </w:trPr>
              <w:tc>
                <w:tcPr>
                  <w:tcW w:w="931" w:type="dxa"/>
                  <w:tcBorders>
                    <w:top w:val="single" w:color="auto" w:sz="4" w:space="0"/>
                    <w:left w:val="single" w:color="auto" w:sz="4" w:space="0"/>
                    <w:bottom w:val="single" w:color="auto" w:sz="4" w:space="0"/>
                    <w:right w:val="single" w:color="auto" w:sz="4" w:space="0"/>
                  </w:tcBorders>
                  <w:vAlign w:val="center"/>
                </w:tcPr>
                <w:p>
                  <w:pPr>
                    <w:pStyle w:val="311"/>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41</w:t>
                  </w:r>
                </w:p>
              </w:tc>
              <w:tc>
                <w:tcPr>
                  <w:tcW w:w="1928" w:type="dxa"/>
                  <w:tcBorders>
                    <w:top w:val="single" w:color="auto" w:sz="4" w:space="0"/>
                    <w:left w:val="single" w:color="auto" w:sz="4" w:space="0"/>
                    <w:bottom w:val="single" w:color="auto" w:sz="4" w:space="0"/>
                    <w:right w:val="single" w:color="auto" w:sz="4" w:space="0"/>
                  </w:tcBorders>
                  <w:vAlign w:val="center"/>
                </w:tcPr>
                <w:p>
                  <w:pPr>
                    <w:pStyle w:val="311"/>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苯并[k]荧蒽</w:t>
                  </w:r>
                </w:p>
              </w:tc>
              <w:tc>
                <w:tcPr>
                  <w:tcW w:w="1673" w:type="dxa"/>
                  <w:tcBorders>
                    <w:top w:val="single" w:color="auto" w:sz="4" w:space="0"/>
                    <w:left w:val="single" w:color="auto" w:sz="4" w:space="0"/>
                    <w:bottom w:val="single" w:color="auto" w:sz="4" w:space="0"/>
                    <w:right w:val="single" w:color="auto" w:sz="4" w:space="0"/>
                  </w:tcBorders>
                  <w:vAlign w:val="center"/>
                </w:tcPr>
                <w:p>
                  <w:pPr>
                    <w:pStyle w:val="311"/>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207-08-9</w:t>
                  </w:r>
                </w:p>
              </w:tc>
              <w:tc>
                <w:tcPr>
                  <w:tcW w:w="1800" w:type="dxa"/>
                  <w:tcBorders>
                    <w:top w:val="single" w:color="auto" w:sz="4" w:space="0"/>
                    <w:left w:val="single" w:color="auto" w:sz="4" w:space="0"/>
                    <w:bottom w:val="single" w:color="auto" w:sz="4" w:space="0"/>
                    <w:right w:val="single" w:color="auto" w:sz="4" w:space="0"/>
                  </w:tcBorders>
                  <w:vAlign w:val="center"/>
                </w:tcPr>
                <w:p>
                  <w:pPr>
                    <w:pStyle w:val="311"/>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55</w:t>
                  </w:r>
                </w:p>
              </w:tc>
              <w:tc>
                <w:tcPr>
                  <w:tcW w:w="1695" w:type="dxa"/>
                  <w:tcBorders>
                    <w:top w:val="single" w:color="auto" w:sz="4" w:space="0"/>
                    <w:left w:val="single" w:color="auto" w:sz="4" w:space="0"/>
                    <w:bottom w:val="single" w:color="auto" w:sz="4" w:space="0"/>
                    <w:right w:val="single" w:color="auto" w:sz="4" w:space="0"/>
                  </w:tcBorders>
                  <w:vAlign w:val="center"/>
                </w:tcPr>
                <w:p>
                  <w:pPr>
                    <w:pStyle w:val="311"/>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550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op w:val="single" w:color="auto" w:sz="4" w:space="0"/>
                    <w:left w:val="single" w:color="auto" w:sz="4" w:space="0"/>
                    <w:bottom w:val="single" w:color="auto" w:sz="4" w:space="0"/>
                    <w:right w:val="single" w:color="auto" w:sz="4" w:space="0"/>
                  </w:tcBorders>
                  <w:vAlign w:val="center"/>
                </w:tcPr>
                <w:p>
                  <w:pPr>
                    <w:pStyle w:val="311"/>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42</w:t>
                  </w:r>
                </w:p>
              </w:tc>
              <w:tc>
                <w:tcPr>
                  <w:tcW w:w="1928" w:type="dxa"/>
                  <w:tcBorders>
                    <w:top w:val="single" w:color="auto" w:sz="4" w:space="0"/>
                    <w:left w:val="single" w:color="auto" w:sz="4" w:space="0"/>
                    <w:bottom w:val="single" w:color="auto" w:sz="4" w:space="0"/>
                    <w:right w:val="single" w:color="auto" w:sz="4" w:space="0"/>
                  </w:tcBorders>
                  <w:vAlign w:val="center"/>
                </w:tcPr>
                <w:p>
                  <w:pPr>
                    <w:pStyle w:val="311"/>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䓛</w:t>
                  </w:r>
                </w:p>
              </w:tc>
              <w:tc>
                <w:tcPr>
                  <w:tcW w:w="1673" w:type="dxa"/>
                  <w:tcBorders>
                    <w:top w:val="single" w:color="auto" w:sz="4" w:space="0"/>
                    <w:left w:val="single" w:color="auto" w:sz="4" w:space="0"/>
                    <w:bottom w:val="single" w:color="auto" w:sz="4" w:space="0"/>
                    <w:right w:val="single" w:color="auto" w:sz="4" w:space="0"/>
                  </w:tcBorders>
                  <w:vAlign w:val="center"/>
                </w:tcPr>
                <w:p>
                  <w:pPr>
                    <w:pStyle w:val="311"/>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218-01-9</w:t>
                  </w:r>
                </w:p>
              </w:tc>
              <w:tc>
                <w:tcPr>
                  <w:tcW w:w="1800" w:type="dxa"/>
                  <w:tcBorders>
                    <w:top w:val="single" w:color="auto" w:sz="4" w:space="0"/>
                    <w:left w:val="single" w:color="auto" w:sz="4" w:space="0"/>
                    <w:bottom w:val="single" w:color="auto" w:sz="4" w:space="0"/>
                    <w:right w:val="single" w:color="auto" w:sz="4" w:space="0"/>
                  </w:tcBorders>
                  <w:vAlign w:val="center"/>
                </w:tcPr>
                <w:p>
                  <w:pPr>
                    <w:pStyle w:val="311"/>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490</w:t>
                  </w:r>
                </w:p>
              </w:tc>
              <w:tc>
                <w:tcPr>
                  <w:tcW w:w="1695" w:type="dxa"/>
                  <w:tcBorders>
                    <w:top w:val="single" w:color="auto" w:sz="4" w:space="0"/>
                    <w:left w:val="single" w:color="auto" w:sz="4" w:space="0"/>
                    <w:bottom w:val="single" w:color="auto" w:sz="4" w:space="0"/>
                    <w:right w:val="single" w:color="auto" w:sz="4" w:space="0"/>
                  </w:tcBorders>
                  <w:vAlign w:val="center"/>
                </w:tcPr>
                <w:p>
                  <w:pPr>
                    <w:pStyle w:val="311"/>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4900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op w:val="single" w:color="auto" w:sz="4" w:space="0"/>
                    <w:left w:val="single" w:color="auto" w:sz="4" w:space="0"/>
                    <w:bottom w:val="single" w:color="auto" w:sz="4" w:space="0"/>
                    <w:right w:val="single" w:color="auto" w:sz="4" w:space="0"/>
                  </w:tcBorders>
                  <w:vAlign w:val="center"/>
                </w:tcPr>
                <w:p>
                  <w:pPr>
                    <w:pStyle w:val="311"/>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43</w:t>
                  </w:r>
                </w:p>
              </w:tc>
              <w:tc>
                <w:tcPr>
                  <w:tcW w:w="1928" w:type="dxa"/>
                  <w:tcBorders>
                    <w:top w:val="single" w:color="auto" w:sz="4" w:space="0"/>
                    <w:left w:val="single" w:color="auto" w:sz="4" w:space="0"/>
                    <w:bottom w:val="single" w:color="auto" w:sz="4" w:space="0"/>
                    <w:right w:val="single" w:color="auto" w:sz="4" w:space="0"/>
                  </w:tcBorders>
                  <w:vAlign w:val="center"/>
                </w:tcPr>
                <w:p>
                  <w:pPr>
                    <w:pStyle w:val="311"/>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二苯并[a,h]蒽</w:t>
                  </w:r>
                </w:p>
              </w:tc>
              <w:tc>
                <w:tcPr>
                  <w:tcW w:w="1673" w:type="dxa"/>
                  <w:tcBorders>
                    <w:top w:val="single" w:color="auto" w:sz="4" w:space="0"/>
                    <w:left w:val="single" w:color="auto" w:sz="4" w:space="0"/>
                    <w:bottom w:val="single" w:color="auto" w:sz="4" w:space="0"/>
                    <w:right w:val="single" w:color="auto" w:sz="4" w:space="0"/>
                  </w:tcBorders>
                  <w:vAlign w:val="center"/>
                </w:tcPr>
                <w:p>
                  <w:pPr>
                    <w:pStyle w:val="311"/>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53-70-3</w:t>
                  </w:r>
                </w:p>
              </w:tc>
              <w:tc>
                <w:tcPr>
                  <w:tcW w:w="1800" w:type="dxa"/>
                  <w:tcBorders>
                    <w:top w:val="single" w:color="auto" w:sz="4" w:space="0"/>
                    <w:left w:val="single" w:color="auto" w:sz="4" w:space="0"/>
                    <w:bottom w:val="single" w:color="auto" w:sz="4" w:space="0"/>
                    <w:right w:val="single" w:color="auto" w:sz="4" w:space="0"/>
                  </w:tcBorders>
                  <w:vAlign w:val="center"/>
                </w:tcPr>
                <w:p>
                  <w:pPr>
                    <w:pStyle w:val="311"/>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0.55</w:t>
                  </w:r>
                </w:p>
              </w:tc>
              <w:tc>
                <w:tcPr>
                  <w:tcW w:w="1695" w:type="dxa"/>
                  <w:tcBorders>
                    <w:top w:val="single" w:color="auto" w:sz="4" w:space="0"/>
                    <w:left w:val="single" w:color="auto" w:sz="4" w:space="0"/>
                    <w:bottom w:val="single" w:color="auto" w:sz="4" w:space="0"/>
                    <w:right w:val="single" w:color="auto" w:sz="4" w:space="0"/>
                  </w:tcBorders>
                  <w:vAlign w:val="center"/>
                </w:tcPr>
                <w:p>
                  <w:pPr>
                    <w:pStyle w:val="311"/>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op w:val="single" w:color="auto" w:sz="4" w:space="0"/>
                    <w:left w:val="single" w:color="auto" w:sz="4" w:space="0"/>
                    <w:bottom w:val="single" w:color="auto" w:sz="4" w:space="0"/>
                    <w:right w:val="single" w:color="auto" w:sz="4" w:space="0"/>
                  </w:tcBorders>
                  <w:vAlign w:val="center"/>
                </w:tcPr>
                <w:p>
                  <w:pPr>
                    <w:pStyle w:val="311"/>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44</w:t>
                  </w:r>
                </w:p>
              </w:tc>
              <w:tc>
                <w:tcPr>
                  <w:tcW w:w="1928" w:type="dxa"/>
                  <w:tcBorders>
                    <w:top w:val="single" w:color="auto" w:sz="4" w:space="0"/>
                    <w:left w:val="single" w:color="auto" w:sz="4" w:space="0"/>
                    <w:bottom w:val="single" w:color="auto" w:sz="4" w:space="0"/>
                    <w:right w:val="single" w:color="auto" w:sz="4" w:space="0"/>
                  </w:tcBorders>
                  <w:vAlign w:val="center"/>
                </w:tcPr>
                <w:p>
                  <w:pPr>
                    <w:pStyle w:val="311"/>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茚并[1,2,3-cd]芘</w:t>
                  </w:r>
                </w:p>
              </w:tc>
              <w:tc>
                <w:tcPr>
                  <w:tcW w:w="1673" w:type="dxa"/>
                  <w:tcBorders>
                    <w:top w:val="single" w:color="auto" w:sz="4" w:space="0"/>
                    <w:left w:val="single" w:color="auto" w:sz="4" w:space="0"/>
                    <w:bottom w:val="single" w:color="auto" w:sz="4" w:space="0"/>
                    <w:right w:val="single" w:color="auto" w:sz="4" w:space="0"/>
                  </w:tcBorders>
                  <w:vAlign w:val="center"/>
                </w:tcPr>
                <w:p>
                  <w:pPr>
                    <w:pStyle w:val="311"/>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193-39-5</w:t>
                  </w:r>
                </w:p>
              </w:tc>
              <w:tc>
                <w:tcPr>
                  <w:tcW w:w="1800" w:type="dxa"/>
                  <w:tcBorders>
                    <w:top w:val="single" w:color="auto" w:sz="4" w:space="0"/>
                    <w:left w:val="single" w:color="auto" w:sz="4" w:space="0"/>
                    <w:bottom w:val="single" w:color="auto" w:sz="4" w:space="0"/>
                    <w:right w:val="single" w:color="auto" w:sz="4" w:space="0"/>
                  </w:tcBorders>
                  <w:vAlign w:val="center"/>
                </w:tcPr>
                <w:p>
                  <w:pPr>
                    <w:pStyle w:val="311"/>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5.5</w:t>
                  </w:r>
                </w:p>
              </w:tc>
              <w:tc>
                <w:tcPr>
                  <w:tcW w:w="1695" w:type="dxa"/>
                  <w:tcBorders>
                    <w:top w:val="single" w:color="auto" w:sz="4" w:space="0"/>
                    <w:left w:val="single" w:color="auto" w:sz="4" w:space="0"/>
                    <w:bottom w:val="single" w:color="auto" w:sz="4" w:space="0"/>
                    <w:right w:val="single" w:color="auto" w:sz="4" w:space="0"/>
                  </w:tcBorders>
                  <w:vAlign w:val="center"/>
                </w:tcPr>
                <w:p>
                  <w:pPr>
                    <w:pStyle w:val="311"/>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op w:val="single" w:color="auto" w:sz="4" w:space="0"/>
                    <w:left w:val="single" w:color="auto" w:sz="4" w:space="0"/>
                    <w:bottom w:val="single" w:color="auto" w:sz="4" w:space="0"/>
                    <w:right w:val="single" w:color="auto" w:sz="4" w:space="0"/>
                  </w:tcBorders>
                  <w:vAlign w:val="center"/>
                </w:tcPr>
                <w:p>
                  <w:pPr>
                    <w:pStyle w:val="311"/>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45</w:t>
                  </w:r>
                </w:p>
              </w:tc>
              <w:tc>
                <w:tcPr>
                  <w:tcW w:w="1928" w:type="dxa"/>
                  <w:tcBorders>
                    <w:top w:val="single" w:color="auto" w:sz="4" w:space="0"/>
                    <w:left w:val="single" w:color="auto" w:sz="4" w:space="0"/>
                    <w:bottom w:val="single" w:color="auto" w:sz="4" w:space="0"/>
                    <w:right w:val="single" w:color="auto" w:sz="4" w:space="0"/>
                  </w:tcBorders>
                  <w:vAlign w:val="center"/>
                </w:tcPr>
                <w:p>
                  <w:pPr>
                    <w:pStyle w:val="311"/>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萘</w:t>
                  </w:r>
                </w:p>
              </w:tc>
              <w:tc>
                <w:tcPr>
                  <w:tcW w:w="1673" w:type="dxa"/>
                  <w:tcBorders>
                    <w:top w:val="single" w:color="auto" w:sz="4" w:space="0"/>
                    <w:left w:val="single" w:color="auto" w:sz="4" w:space="0"/>
                    <w:bottom w:val="single" w:color="auto" w:sz="4" w:space="0"/>
                    <w:right w:val="single" w:color="auto" w:sz="4" w:space="0"/>
                  </w:tcBorders>
                  <w:vAlign w:val="center"/>
                </w:tcPr>
                <w:p>
                  <w:pPr>
                    <w:pStyle w:val="311"/>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91-20-3</w:t>
                  </w:r>
                </w:p>
              </w:tc>
              <w:tc>
                <w:tcPr>
                  <w:tcW w:w="1800" w:type="dxa"/>
                  <w:tcBorders>
                    <w:top w:val="single" w:color="auto" w:sz="4" w:space="0"/>
                    <w:left w:val="single" w:color="auto" w:sz="4" w:space="0"/>
                    <w:bottom w:val="single" w:color="auto" w:sz="4" w:space="0"/>
                    <w:right w:val="single" w:color="auto" w:sz="4" w:space="0"/>
                  </w:tcBorders>
                  <w:vAlign w:val="center"/>
                </w:tcPr>
                <w:p>
                  <w:pPr>
                    <w:pStyle w:val="311"/>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25</w:t>
                  </w:r>
                </w:p>
              </w:tc>
              <w:tc>
                <w:tcPr>
                  <w:tcW w:w="1695" w:type="dxa"/>
                  <w:tcBorders>
                    <w:top w:val="single" w:color="auto" w:sz="4" w:space="0"/>
                    <w:left w:val="single" w:color="auto" w:sz="4" w:space="0"/>
                    <w:bottom w:val="single" w:color="auto" w:sz="4" w:space="0"/>
                    <w:right w:val="single" w:color="auto" w:sz="4" w:space="0"/>
                  </w:tcBorders>
                  <w:vAlign w:val="center"/>
                </w:tcPr>
                <w:p>
                  <w:pPr>
                    <w:pStyle w:val="311"/>
                    <w:spacing w:line="240" w:lineRule="auto"/>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255</w:t>
                  </w:r>
                </w:p>
              </w:tc>
            </w:tr>
          </w:tbl>
          <w:p>
            <w:pPr>
              <w:adjustRightInd w:val="0"/>
              <w:snapToGrid w:val="0"/>
              <w:spacing w:line="360" w:lineRule="auto"/>
              <w:jc w:val="center"/>
              <w:rPr>
                <w:b/>
                <w:bCs/>
                <w:kern w:val="0"/>
                <w:szCs w:val="21"/>
              </w:rPr>
            </w:pPr>
          </w:p>
          <w:p>
            <w:pPr>
              <w:pStyle w:val="331"/>
              <w:numPr>
                <w:ilvl w:val="0"/>
                <w:numId w:val="6"/>
              </w:numPr>
              <w:adjustRightInd w:val="0"/>
              <w:snapToGrid w:val="0"/>
              <w:spacing w:line="360" w:lineRule="auto"/>
              <w:ind w:left="0" w:firstLine="0" w:firstLineChars="0"/>
              <w:jc w:val="center"/>
              <w:rPr>
                <w:b/>
                <w:bCs/>
                <w:kern w:val="0"/>
                <w:szCs w:val="21"/>
              </w:rPr>
            </w:pPr>
            <w:r>
              <w:rPr>
                <w:b/>
                <w:bCs/>
                <w:kern w:val="0"/>
                <w:szCs w:val="21"/>
              </w:rPr>
              <w:t>农用地土壤污染风险筛选值（基本项目）表  单位：mg/kg</w:t>
            </w:r>
          </w:p>
          <w:tbl>
            <w:tblPr>
              <w:tblStyle w:val="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4"/>
              <w:gridCol w:w="1276"/>
              <w:gridCol w:w="2268"/>
              <w:gridCol w:w="2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1804" w:type="dxa"/>
                  <w:vMerge w:val="restart"/>
                  <w:vAlign w:val="center"/>
                </w:tcPr>
                <w:p>
                  <w:pPr>
                    <w:jc w:val="center"/>
                    <w:rPr>
                      <w:b/>
                      <w:bCs/>
                      <w:szCs w:val="21"/>
                      <w:lang w:bidi="ar"/>
                    </w:rPr>
                  </w:pPr>
                  <w:r>
                    <w:rPr>
                      <w:b/>
                      <w:bCs/>
                      <w:szCs w:val="21"/>
                      <w:lang w:bidi="ar"/>
                    </w:rPr>
                    <w:t>序号</w:t>
                  </w:r>
                </w:p>
              </w:tc>
              <w:tc>
                <w:tcPr>
                  <w:tcW w:w="3544" w:type="dxa"/>
                  <w:gridSpan w:val="2"/>
                  <w:vMerge w:val="restart"/>
                  <w:vAlign w:val="center"/>
                </w:tcPr>
                <w:p>
                  <w:pPr>
                    <w:jc w:val="center"/>
                    <w:rPr>
                      <w:b/>
                      <w:bCs/>
                      <w:szCs w:val="21"/>
                      <w:lang w:bidi="ar"/>
                    </w:rPr>
                  </w:pPr>
                  <w:r>
                    <w:rPr>
                      <w:b/>
                      <w:bCs/>
                      <w:szCs w:val="21"/>
                      <w:lang w:bidi="ar"/>
                    </w:rPr>
                    <w:t>污染物项目</w:t>
                  </w:r>
                </w:p>
              </w:tc>
              <w:tc>
                <w:tcPr>
                  <w:tcW w:w="2646" w:type="dxa"/>
                  <w:vAlign w:val="center"/>
                </w:tcPr>
                <w:p>
                  <w:pPr>
                    <w:jc w:val="center"/>
                    <w:rPr>
                      <w:szCs w:val="21"/>
                      <w:lang w:bidi="ar"/>
                    </w:rPr>
                  </w:pPr>
                  <w:r>
                    <w:rPr>
                      <w:b/>
                      <w:bCs/>
                      <w:szCs w:val="21"/>
                      <w:lang w:bidi="ar"/>
                    </w:rPr>
                    <w:t>风险筛选值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1804" w:type="dxa"/>
                  <w:vMerge w:val="continue"/>
                  <w:vAlign w:val="center"/>
                </w:tcPr>
                <w:p>
                  <w:pPr>
                    <w:jc w:val="center"/>
                    <w:rPr>
                      <w:szCs w:val="21"/>
                      <w:lang w:bidi="ar"/>
                    </w:rPr>
                  </w:pPr>
                </w:p>
              </w:tc>
              <w:tc>
                <w:tcPr>
                  <w:tcW w:w="3544" w:type="dxa"/>
                  <w:gridSpan w:val="2"/>
                  <w:vMerge w:val="continue"/>
                  <w:vAlign w:val="center"/>
                </w:tcPr>
                <w:p>
                  <w:pPr>
                    <w:jc w:val="center"/>
                    <w:rPr>
                      <w:szCs w:val="21"/>
                      <w:lang w:bidi="ar"/>
                    </w:rPr>
                  </w:pPr>
                </w:p>
              </w:tc>
              <w:tc>
                <w:tcPr>
                  <w:tcW w:w="2646" w:type="dxa"/>
                  <w:vAlign w:val="center"/>
                </w:tcPr>
                <w:p>
                  <w:pPr>
                    <w:jc w:val="center"/>
                    <w:rPr>
                      <w:szCs w:val="21"/>
                      <w:lang w:bidi="ar"/>
                    </w:rPr>
                  </w:pPr>
                  <w:r>
                    <w:rPr>
                      <w:szCs w:val="21"/>
                      <w:lang w:bidi="ar"/>
                    </w:rPr>
                    <w:t>6.5＜pH≤7.5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1804" w:type="dxa"/>
                  <w:vMerge w:val="restart"/>
                  <w:vAlign w:val="center"/>
                </w:tcPr>
                <w:p>
                  <w:pPr>
                    <w:jc w:val="center"/>
                    <w:rPr>
                      <w:szCs w:val="21"/>
                      <w:lang w:bidi="ar"/>
                    </w:rPr>
                  </w:pPr>
                  <w:r>
                    <w:rPr>
                      <w:szCs w:val="21"/>
                      <w:lang w:bidi="ar"/>
                    </w:rPr>
                    <w:t>1</w:t>
                  </w:r>
                </w:p>
              </w:tc>
              <w:tc>
                <w:tcPr>
                  <w:tcW w:w="1276" w:type="dxa"/>
                  <w:vMerge w:val="restart"/>
                  <w:vAlign w:val="center"/>
                </w:tcPr>
                <w:p>
                  <w:pPr>
                    <w:jc w:val="center"/>
                    <w:rPr>
                      <w:szCs w:val="21"/>
                      <w:lang w:bidi="ar"/>
                    </w:rPr>
                  </w:pPr>
                  <w:r>
                    <w:rPr>
                      <w:szCs w:val="21"/>
                      <w:lang w:bidi="ar"/>
                    </w:rPr>
                    <w:t>镉</w:t>
                  </w:r>
                </w:p>
              </w:tc>
              <w:tc>
                <w:tcPr>
                  <w:tcW w:w="2268" w:type="dxa"/>
                  <w:vAlign w:val="center"/>
                </w:tcPr>
                <w:p>
                  <w:pPr>
                    <w:jc w:val="center"/>
                    <w:rPr>
                      <w:szCs w:val="21"/>
                      <w:lang w:bidi="ar"/>
                    </w:rPr>
                  </w:pPr>
                  <w:r>
                    <w:rPr>
                      <w:szCs w:val="21"/>
                      <w:lang w:bidi="ar"/>
                    </w:rPr>
                    <w:t>水田</w:t>
                  </w:r>
                </w:p>
              </w:tc>
              <w:tc>
                <w:tcPr>
                  <w:tcW w:w="2646" w:type="dxa"/>
                  <w:vAlign w:val="center"/>
                </w:tcPr>
                <w:p>
                  <w:pPr>
                    <w:jc w:val="center"/>
                    <w:rPr>
                      <w:szCs w:val="21"/>
                      <w:lang w:bidi="ar"/>
                    </w:rPr>
                  </w:pPr>
                  <w:r>
                    <w:rPr>
                      <w:szCs w:val="21"/>
                      <w:lang w:bidi="ar"/>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1804" w:type="dxa"/>
                  <w:vMerge w:val="continue"/>
                  <w:vAlign w:val="center"/>
                </w:tcPr>
                <w:p>
                  <w:pPr>
                    <w:jc w:val="center"/>
                    <w:rPr>
                      <w:szCs w:val="21"/>
                      <w:lang w:bidi="ar"/>
                    </w:rPr>
                  </w:pPr>
                </w:p>
              </w:tc>
              <w:tc>
                <w:tcPr>
                  <w:tcW w:w="1276" w:type="dxa"/>
                  <w:vMerge w:val="continue"/>
                  <w:vAlign w:val="center"/>
                </w:tcPr>
                <w:p>
                  <w:pPr>
                    <w:jc w:val="center"/>
                    <w:rPr>
                      <w:szCs w:val="21"/>
                      <w:lang w:bidi="ar"/>
                    </w:rPr>
                  </w:pPr>
                </w:p>
              </w:tc>
              <w:tc>
                <w:tcPr>
                  <w:tcW w:w="2268" w:type="dxa"/>
                  <w:vAlign w:val="center"/>
                </w:tcPr>
                <w:p>
                  <w:pPr>
                    <w:jc w:val="center"/>
                    <w:rPr>
                      <w:szCs w:val="21"/>
                      <w:lang w:bidi="ar"/>
                    </w:rPr>
                  </w:pPr>
                  <w:r>
                    <w:rPr>
                      <w:szCs w:val="21"/>
                      <w:lang w:bidi="ar"/>
                    </w:rPr>
                    <w:t>其他</w:t>
                  </w:r>
                </w:p>
              </w:tc>
              <w:tc>
                <w:tcPr>
                  <w:tcW w:w="2646" w:type="dxa"/>
                  <w:vAlign w:val="center"/>
                </w:tcPr>
                <w:p>
                  <w:pPr>
                    <w:jc w:val="center"/>
                    <w:rPr>
                      <w:szCs w:val="21"/>
                      <w:lang w:bidi="ar"/>
                    </w:rPr>
                  </w:pPr>
                  <w:r>
                    <w:rPr>
                      <w:szCs w:val="21"/>
                      <w:lang w:bidi="ar"/>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1804" w:type="dxa"/>
                  <w:vMerge w:val="restart"/>
                  <w:vAlign w:val="center"/>
                </w:tcPr>
                <w:p>
                  <w:pPr>
                    <w:jc w:val="center"/>
                    <w:rPr>
                      <w:szCs w:val="21"/>
                      <w:lang w:bidi="ar"/>
                    </w:rPr>
                  </w:pPr>
                  <w:r>
                    <w:rPr>
                      <w:szCs w:val="21"/>
                      <w:lang w:bidi="ar"/>
                    </w:rPr>
                    <w:t>2</w:t>
                  </w:r>
                </w:p>
              </w:tc>
              <w:tc>
                <w:tcPr>
                  <w:tcW w:w="1276" w:type="dxa"/>
                  <w:vMerge w:val="restart"/>
                  <w:vAlign w:val="center"/>
                </w:tcPr>
                <w:p>
                  <w:pPr>
                    <w:jc w:val="center"/>
                    <w:rPr>
                      <w:szCs w:val="21"/>
                      <w:lang w:bidi="ar"/>
                    </w:rPr>
                  </w:pPr>
                  <w:r>
                    <w:rPr>
                      <w:szCs w:val="21"/>
                      <w:lang w:bidi="ar"/>
                    </w:rPr>
                    <w:t>汞</w:t>
                  </w:r>
                </w:p>
              </w:tc>
              <w:tc>
                <w:tcPr>
                  <w:tcW w:w="2268" w:type="dxa"/>
                  <w:vAlign w:val="center"/>
                </w:tcPr>
                <w:p>
                  <w:pPr>
                    <w:jc w:val="center"/>
                    <w:rPr>
                      <w:szCs w:val="21"/>
                      <w:lang w:bidi="ar"/>
                    </w:rPr>
                  </w:pPr>
                  <w:r>
                    <w:rPr>
                      <w:szCs w:val="21"/>
                      <w:lang w:bidi="ar"/>
                    </w:rPr>
                    <w:t>水田</w:t>
                  </w:r>
                </w:p>
              </w:tc>
              <w:tc>
                <w:tcPr>
                  <w:tcW w:w="2646" w:type="dxa"/>
                  <w:vAlign w:val="center"/>
                </w:tcPr>
                <w:p>
                  <w:pPr>
                    <w:jc w:val="center"/>
                    <w:rPr>
                      <w:szCs w:val="21"/>
                      <w:lang w:bidi="ar"/>
                    </w:rPr>
                  </w:pPr>
                  <w:r>
                    <w:rPr>
                      <w:szCs w:val="21"/>
                      <w:lang w:bidi="ar"/>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1804" w:type="dxa"/>
                  <w:vMerge w:val="continue"/>
                  <w:vAlign w:val="center"/>
                </w:tcPr>
                <w:p>
                  <w:pPr>
                    <w:jc w:val="center"/>
                    <w:rPr>
                      <w:szCs w:val="21"/>
                      <w:lang w:bidi="ar"/>
                    </w:rPr>
                  </w:pPr>
                </w:p>
              </w:tc>
              <w:tc>
                <w:tcPr>
                  <w:tcW w:w="1276" w:type="dxa"/>
                  <w:vMerge w:val="continue"/>
                  <w:vAlign w:val="center"/>
                </w:tcPr>
                <w:p>
                  <w:pPr>
                    <w:jc w:val="center"/>
                    <w:rPr>
                      <w:szCs w:val="21"/>
                      <w:lang w:bidi="ar"/>
                    </w:rPr>
                  </w:pPr>
                </w:p>
              </w:tc>
              <w:tc>
                <w:tcPr>
                  <w:tcW w:w="2268" w:type="dxa"/>
                  <w:vAlign w:val="center"/>
                </w:tcPr>
                <w:p>
                  <w:pPr>
                    <w:jc w:val="center"/>
                    <w:rPr>
                      <w:szCs w:val="21"/>
                      <w:lang w:bidi="ar"/>
                    </w:rPr>
                  </w:pPr>
                  <w:r>
                    <w:rPr>
                      <w:szCs w:val="21"/>
                      <w:lang w:bidi="ar"/>
                    </w:rPr>
                    <w:t>其他</w:t>
                  </w:r>
                </w:p>
              </w:tc>
              <w:tc>
                <w:tcPr>
                  <w:tcW w:w="2646" w:type="dxa"/>
                  <w:vAlign w:val="center"/>
                </w:tcPr>
                <w:p>
                  <w:pPr>
                    <w:jc w:val="center"/>
                    <w:rPr>
                      <w:szCs w:val="21"/>
                      <w:lang w:bidi="ar"/>
                    </w:rPr>
                  </w:pPr>
                  <w:r>
                    <w:rPr>
                      <w:szCs w:val="21"/>
                      <w:lang w:bidi="ar"/>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1804" w:type="dxa"/>
                  <w:vMerge w:val="restart"/>
                  <w:vAlign w:val="center"/>
                </w:tcPr>
                <w:p>
                  <w:pPr>
                    <w:jc w:val="center"/>
                    <w:rPr>
                      <w:szCs w:val="21"/>
                      <w:lang w:bidi="ar"/>
                    </w:rPr>
                  </w:pPr>
                  <w:r>
                    <w:rPr>
                      <w:szCs w:val="21"/>
                      <w:lang w:bidi="ar"/>
                    </w:rPr>
                    <w:t>3</w:t>
                  </w:r>
                </w:p>
              </w:tc>
              <w:tc>
                <w:tcPr>
                  <w:tcW w:w="1276" w:type="dxa"/>
                  <w:vMerge w:val="restart"/>
                  <w:vAlign w:val="center"/>
                </w:tcPr>
                <w:p>
                  <w:pPr>
                    <w:jc w:val="center"/>
                    <w:rPr>
                      <w:szCs w:val="21"/>
                      <w:lang w:bidi="ar"/>
                    </w:rPr>
                  </w:pPr>
                  <w:r>
                    <w:rPr>
                      <w:szCs w:val="21"/>
                      <w:lang w:bidi="ar"/>
                    </w:rPr>
                    <w:t>砷</w:t>
                  </w:r>
                </w:p>
              </w:tc>
              <w:tc>
                <w:tcPr>
                  <w:tcW w:w="2268" w:type="dxa"/>
                  <w:vAlign w:val="center"/>
                </w:tcPr>
                <w:p>
                  <w:pPr>
                    <w:jc w:val="center"/>
                    <w:rPr>
                      <w:szCs w:val="21"/>
                      <w:lang w:bidi="ar"/>
                    </w:rPr>
                  </w:pPr>
                  <w:r>
                    <w:rPr>
                      <w:szCs w:val="21"/>
                      <w:lang w:bidi="ar"/>
                    </w:rPr>
                    <w:t>水田</w:t>
                  </w:r>
                </w:p>
              </w:tc>
              <w:tc>
                <w:tcPr>
                  <w:tcW w:w="2646" w:type="dxa"/>
                  <w:vAlign w:val="center"/>
                </w:tcPr>
                <w:p>
                  <w:pPr>
                    <w:jc w:val="center"/>
                    <w:rPr>
                      <w:szCs w:val="21"/>
                      <w:lang w:bidi="ar"/>
                    </w:rPr>
                  </w:pPr>
                  <w:r>
                    <w:rPr>
                      <w:szCs w:val="21"/>
                      <w:lang w:bidi="ar"/>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1804" w:type="dxa"/>
                  <w:vMerge w:val="continue"/>
                  <w:vAlign w:val="center"/>
                </w:tcPr>
                <w:p>
                  <w:pPr>
                    <w:jc w:val="center"/>
                    <w:rPr>
                      <w:szCs w:val="21"/>
                      <w:lang w:bidi="ar"/>
                    </w:rPr>
                  </w:pPr>
                </w:p>
              </w:tc>
              <w:tc>
                <w:tcPr>
                  <w:tcW w:w="1276" w:type="dxa"/>
                  <w:vMerge w:val="continue"/>
                  <w:vAlign w:val="center"/>
                </w:tcPr>
                <w:p>
                  <w:pPr>
                    <w:jc w:val="center"/>
                    <w:rPr>
                      <w:szCs w:val="21"/>
                      <w:lang w:bidi="ar"/>
                    </w:rPr>
                  </w:pPr>
                </w:p>
              </w:tc>
              <w:tc>
                <w:tcPr>
                  <w:tcW w:w="2268" w:type="dxa"/>
                  <w:vAlign w:val="center"/>
                </w:tcPr>
                <w:p>
                  <w:pPr>
                    <w:jc w:val="center"/>
                    <w:rPr>
                      <w:szCs w:val="21"/>
                      <w:lang w:bidi="ar"/>
                    </w:rPr>
                  </w:pPr>
                  <w:r>
                    <w:rPr>
                      <w:szCs w:val="21"/>
                      <w:lang w:bidi="ar"/>
                    </w:rPr>
                    <w:t>其他</w:t>
                  </w:r>
                </w:p>
              </w:tc>
              <w:tc>
                <w:tcPr>
                  <w:tcW w:w="2646" w:type="dxa"/>
                  <w:vAlign w:val="center"/>
                </w:tcPr>
                <w:p>
                  <w:pPr>
                    <w:jc w:val="center"/>
                    <w:rPr>
                      <w:szCs w:val="21"/>
                      <w:lang w:bidi="ar"/>
                    </w:rPr>
                  </w:pPr>
                  <w:r>
                    <w:rPr>
                      <w:szCs w:val="21"/>
                      <w:lang w:bidi="ar"/>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1804" w:type="dxa"/>
                  <w:vMerge w:val="restart"/>
                  <w:vAlign w:val="center"/>
                </w:tcPr>
                <w:p>
                  <w:pPr>
                    <w:jc w:val="center"/>
                    <w:rPr>
                      <w:szCs w:val="21"/>
                      <w:lang w:bidi="ar"/>
                    </w:rPr>
                  </w:pPr>
                  <w:r>
                    <w:rPr>
                      <w:szCs w:val="21"/>
                      <w:lang w:bidi="ar"/>
                    </w:rPr>
                    <w:t>4</w:t>
                  </w:r>
                </w:p>
              </w:tc>
              <w:tc>
                <w:tcPr>
                  <w:tcW w:w="1276" w:type="dxa"/>
                  <w:vMerge w:val="restart"/>
                  <w:vAlign w:val="center"/>
                </w:tcPr>
                <w:p>
                  <w:pPr>
                    <w:jc w:val="center"/>
                    <w:rPr>
                      <w:szCs w:val="21"/>
                      <w:lang w:bidi="ar"/>
                    </w:rPr>
                  </w:pPr>
                  <w:r>
                    <w:rPr>
                      <w:szCs w:val="21"/>
                      <w:lang w:bidi="ar"/>
                    </w:rPr>
                    <w:t>铅</w:t>
                  </w:r>
                </w:p>
              </w:tc>
              <w:tc>
                <w:tcPr>
                  <w:tcW w:w="2268" w:type="dxa"/>
                  <w:vAlign w:val="center"/>
                </w:tcPr>
                <w:p>
                  <w:pPr>
                    <w:jc w:val="center"/>
                    <w:rPr>
                      <w:szCs w:val="21"/>
                      <w:lang w:bidi="ar"/>
                    </w:rPr>
                  </w:pPr>
                  <w:r>
                    <w:rPr>
                      <w:szCs w:val="21"/>
                      <w:lang w:bidi="ar"/>
                    </w:rPr>
                    <w:t>水田</w:t>
                  </w:r>
                </w:p>
              </w:tc>
              <w:tc>
                <w:tcPr>
                  <w:tcW w:w="2646" w:type="dxa"/>
                  <w:vAlign w:val="center"/>
                </w:tcPr>
                <w:p>
                  <w:pPr>
                    <w:jc w:val="center"/>
                    <w:rPr>
                      <w:szCs w:val="21"/>
                      <w:lang w:bidi="ar"/>
                    </w:rPr>
                  </w:pPr>
                  <w:r>
                    <w:rPr>
                      <w:szCs w:val="21"/>
                      <w:lang w:bidi="ar"/>
                    </w:rPr>
                    <w:t>140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1804" w:type="dxa"/>
                  <w:vMerge w:val="continue"/>
                  <w:vAlign w:val="center"/>
                </w:tcPr>
                <w:p>
                  <w:pPr>
                    <w:jc w:val="center"/>
                    <w:rPr>
                      <w:szCs w:val="21"/>
                      <w:lang w:bidi="ar"/>
                    </w:rPr>
                  </w:pPr>
                </w:p>
              </w:tc>
              <w:tc>
                <w:tcPr>
                  <w:tcW w:w="1276" w:type="dxa"/>
                  <w:vMerge w:val="continue"/>
                  <w:vAlign w:val="center"/>
                </w:tcPr>
                <w:p>
                  <w:pPr>
                    <w:jc w:val="center"/>
                    <w:rPr>
                      <w:szCs w:val="21"/>
                      <w:lang w:bidi="ar"/>
                    </w:rPr>
                  </w:pPr>
                </w:p>
              </w:tc>
              <w:tc>
                <w:tcPr>
                  <w:tcW w:w="2268" w:type="dxa"/>
                  <w:vAlign w:val="center"/>
                </w:tcPr>
                <w:p>
                  <w:pPr>
                    <w:jc w:val="center"/>
                    <w:rPr>
                      <w:szCs w:val="21"/>
                      <w:lang w:bidi="ar"/>
                    </w:rPr>
                  </w:pPr>
                  <w:r>
                    <w:rPr>
                      <w:szCs w:val="21"/>
                      <w:lang w:bidi="ar"/>
                    </w:rPr>
                    <w:t>其他</w:t>
                  </w:r>
                </w:p>
              </w:tc>
              <w:tc>
                <w:tcPr>
                  <w:tcW w:w="2646" w:type="dxa"/>
                  <w:vAlign w:val="center"/>
                </w:tcPr>
                <w:p>
                  <w:pPr>
                    <w:jc w:val="center"/>
                    <w:rPr>
                      <w:szCs w:val="21"/>
                      <w:lang w:bidi="ar"/>
                    </w:rPr>
                  </w:pPr>
                  <w:r>
                    <w:rPr>
                      <w:szCs w:val="21"/>
                      <w:lang w:bidi="ar"/>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1804" w:type="dxa"/>
                  <w:vMerge w:val="restart"/>
                  <w:vAlign w:val="center"/>
                </w:tcPr>
                <w:p>
                  <w:pPr>
                    <w:jc w:val="center"/>
                    <w:rPr>
                      <w:szCs w:val="21"/>
                      <w:lang w:bidi="ar"/>
                    </w:rPr>
                  </w:pPr>
                  <w:r>
                    <w:rPr>
                      <w:szCs w:val="21"/>
                      <w:lang w:bidi="ar"/>
                    </w:rPr>
                    <w:t>5</w:t>
                  </w:r>
                </w:p>
              </w:tc>
              <w:tc>
                <w:tcPr>
                  <w:tcW w:w="1276" w:type="dxa"/>
                  <w:vMerge w:val="restart"/>
                  <w:vAlign w:val="center"/>
                </w:tcPr>
                <w:p>
                  <w:pPr>
                    <w:jc w:val="center"/>
                    <w:rPr>
                      <w:szCs w:val="21"/>
                      <w:lang w:bidi="ar"/>
                    </w:rPr>
                  </w:pPr>
                  <w:r>
                    <w:rPr>
                      <w:szCs w:val="21"/>
                      <w:lang w:bidi="ar"/>
                    </w:rPr>
                    <w:t>铬</w:t>
                  </w:r>
                </w:p>
              </w:tc>
              <w:tc>
                <w:tcPr>
                  <w:tcW w:w="2268" w:type="dxa"/>
                  <w:vAlign w:val="center"/>
                </w:tcPr>
                <w:p>
                  <w:pPr>
                    <w:jc w:val="center"/>
                    <w:rPr>
                      <w:szCs w:val="21"/>
                      <w:lang w:bidi="ar"/>
                    </w:rPr>
                  </w:pPr>
                  <w:r>
                    <w:rPr>
                      <w:szCs w:val="21"/>
                      <w:lang w:bidi="ar"/>
                    </w:rPr>
                    <w:t>水田</w:t>
                  </w:r>
                </w:p>
              </w:tc>
              <w:tc>
                <w:tcPr>
                  <w:tcW w:w="2646" w:type="dxa"/>
                  <w:vAlign w:val="center"/>
                </w:tcPr>
                <w:p>
                  <w:pPr>
                    <w:jc w:val="center"/>
                    <w:rPr>
                      <w:szCs w:val="21"/>
                      <w:lang w:bidi="ar"/>
                    </w:rPr>
                  </w:pPr>
                  <w:r>
                    <w:rPr>
                      <w:szCs w:val="21"/>
                      <w:lang w:bidi="ar"/>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1804" w:type="dxa"/>
                  <w:vMerge w:val="continue"/>
                  <w:vAlign w:val="center"/>
                </w:tcPr>
                <w:p>
                  <w:pPr>
                    <w:jc w:val="center"/>
                    <w:rPr>
                      <w:szCs w:val="21"/>
                      <w:lang w:bidi="ar"/>
                    </w:rPr>
                  </w:pPr>
                </w:p>
              </w:tc>
              <w:tc>
                <w:tcPr>
                  <w:tcW w:w="1276" w:type="dxa"/>
                  <w:vMerge w:val="continue"/>
                  <w:vAlign w:val="center"/>
                </w:tcPr>
                <w:p>
                  <w:pPr>
                    <w:jc w:val="center"/>
                    <w:rPr>
                      <w:szCs w:val="21"/>
                      <w:lang w:bidi="ar"/>
                    </w:rPr>
                  </w:pPr>
                </w:p>
              </w:tc>
              <w:tc>
                <w:tcPr>
                  <w:tcW w:w="2268" w:type="dxa"/>
                  <w:vAlign w:val="center"/>
                </w:tcPr>
                <w:p>
                  <w:pPr>
                    <w:jc w:val="center"/>
                    <w:rPr>
                      <w:szCs w:val="21"/>
                      <w:lang w:bidi="ar"/>
                    </w:rPr>
                  </w:pPr>
                  <w:r>
                    <w:rPr>
                      <w:szCs w:val="21"/>
                      <w:lang w:bidi="ar"/>
                    </w:rPr>
                    <w:t>其他</w:t>
                  </w:r>
                </w:p>
              </w:tc>
              <w:tc>
                <w:tcPr>
                  <w:tcW w:w="2646" w:type="dxa"/>
                  <w:vAlign w:val="center"/>
                </w:tcPr>
                <w:p>
                  <w:pPr>
                    <w:jc w:val="center"/>
                    <w:rPr>
                      <w:szCs w:val="21"/>
                      <w:lang w:bidi="ar"/>
                    </w:rPr>
                  </w:pPr>
                  <w:r>
                    <w:rPr>
                      <w:szCs w:val="21"/>
                      <w:lang w:bidi="ar"/>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1804" w:type="dxa"/>
                  <w:vMerge w:val="restart"/>
                  <w:vAlign w:val="center"/>
                </w:tcPr>
                <w:p>
                  <w:pPr>
                    <w:jc w:val="center"/>
                    <w:rPr>
                      <w:szCs w:val="21"/>
                      <w:lang w:bidi="ar"/>
                    </w:rPr>
                  </w:pPr>
                  <w:r>
                    <w:rPr>
                      <w:szCs w:val="21"/>
                      <w:lang w:bidi="ar"/>
                    </w:rPr>
                    <w:t>6</w:t>
                  </w:r>
                </w:p>
              </w:tc>
              <w:tc>
                <w:tcPr>
                  <w:tcW w:w="1276" w:type="dxa"/>
                  <w:vMerge w:val="restart"/>
                  <w:vAlign w:val="center"/>
                </w:tcPr>
                <w:p>
                  <w:pPr>
                    <w:jc w:val="center"/>
                    <w:rPr>
                      <w:szCs w:val="21"/>
                      <w:lang w:bidi="ar"/>
                    </w:rPr>
                  </w:pPr>
                  <w:r>
                    <w:rPr>
                      <w:szCs w:val="21"/>
                      <w:lang w:bidi="ar"/>
                    </w:rPr>
                    <w:t>铜</w:t>
                  </w:r>
                </w:p>
              </w:tc>
              <w:tc>
                <w:tcPr>
                  <w:tcW w:w="2268" w:type="dxa"/>
                  <w:vAlign w:val="center"/>
                </w:tcPr>
                <w:p>
                  <w:pPr>
                    <w:jc w:val="center"/>
                    <w:rPr>
                      <w:szCs w:val="21"/>
                      <w:lang w:bidi="ar"/>
                    </w:rPr>
                  </w:pPr>
                  <w:r>
                    <w:rPr>
                      <w:szCs w:val="21"/>
                      <w:lang w:bidi="ar"/>
                    </w:rPr>
                    <w:t>果园</w:t>
                  </w:r>
                </w:p>
              </w:tc>
              <w:tc>
                <w:tcPr>
                  <w:tcW w:w="2646" w:type="dxa"/>
                  <w:vAlign w:val="center"/>
                </w:tcPr>
                <w:p>
                  <w:pPr>
                    <w:jc w:val="center"/>
                    <w:rPr>
                      <w:szCs w:val="21"/>
                      <w:lang w:bidi="ar"/>
                    </w:rPr>
                  </w:pPr>
                  <w:r>
                    <w:rPr>
                      <w:szCs w:val="21"/>
                      <w:lang w:bidi="ar"/>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1804" w:type="dxa"/>
                  <w:vMerge w:val="continue"/>
                  <w:vAlign w:val="center"/>
                </w:tcPr>
                <w:p>
                  <w:pPr>
                    <w:jc w:val="center"/>
                    <w:rPr>
                      <w:szCs w:val="21"/>
                      <w:lang w:bidi="ar"/>
                    </w:rPr>
                  </w:pPr>
                </w:p>
              </w:tc>
              <w:tc>
                <w:tcPr>
                  <w:tcW w:w="1276" w:type="dxa"/>
                  <w:vMerge w:val="continue"/>
                  <w:vAlign w:val="center"/>
                </w:tcPr>
                <w:p>
                  <w:pPr>
                    <w:jc w:val="center"/>
                    <w:rPr>
                      <w:szCs w:val="21"/>
                      <w:lang w:bidi="ar"/>
                    </w:rPr>
                  </w:pPr>
                </w:p>
              </w:tc>
              <w:tc>
                <w:tcPr>
                  <w:tcW w:w="2268" w:type="dxa"/>
                  <w:vAlign w:val="center"/>
                </w:tcPr>
                <w:p>
                  <w:pPr>
                    <w:jc w:val="center"/>
                    <w:rPr>
                      <w:szCs w:val="21"/>
                      <w:lang w:bidi="ar"/>
                    </w:rPr>
                  </w:pPr>
                  <w:r>
                    <w:rPr>
                      <w:szCs w:val="21"/>
                      <w:lang w:bidi="ar"/>
                    </w:rPr>
                    <w:t>其他</w:t>
                  </w:r>
                </w:p>
              </w:tc>
              <w:tc>
                <w:tcPr>
                  <w:tcW w:w="2646" w:type="dxa"/>
                  <w:vAlign w:val="center"/>
                </w:tcPr>
                <w:p>
                  <w:pPr>
                    <w:jc w:val="center"/>
                    <w:rPr>
                      <w:szCs w:val="21"/>
                      <w:lang w:bidi="ar"/>
                    </w:rPr>
                  </w:pPr>
                  <w:r>
                    <w:rPr>
                      <w:szCs w:val="21"/>
                      <w:lang w:bidi="ar"/>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1804" w:type="dxa"/>
                  <w:vAlign w:val="center"/>
                </w:tcPr>
                <w:p>
                  <w:pPr>
                    <w:jc w:val="center"/>
                    <w:rPr>
                      <w:szCs w:val="21"/>
                      <w:lang w:bidi="ar"/>
                    </w:rPr>
                  </w:pPr>
                  <w:r>
                    <w:rPr>
                      <w:szCs w:val="21"/>
                      <w:lang w:bidi="ar"/>
                    </w:rPr>
                    <w:t>7</w:t>
                  </w:r>
                </w:p>
              </w:tc>
              <w:tc>
                <w:tcPr>
                  <w:tcW w:w="3544" w:type="dxa"/>
                  <w:gridSpan w:val="2"/>
                  <w:vAlign w:val="center"/>
                </w:tcPr>
                <w:p>
                  <w:pPr>
                    <w:jc w:val="center"/>
                    <w:rPr>
                      <w:szCs w:val="21"/>
                      <w:lang w:bidi="ar"/>
                    </w:rPr>
                  </w:pPr>
                  <w:r>
                    <w:rPr>
                      <w:szCs w:val="21"/>
                      <w:lang w:bidi="ar"/>
                    </w:rPr>
                    <w:t>镍</w:t>
                  </w:r>
                </w:p>
              </w:tc>
              <w:tc>
                <w:tcPr>
                  <w:tcW w:w="2646" w:type="dxa"/>
                  <w:vAlign w:val="center"/>
                </w:tcPr>
                <w:p>
                  <w:pPr>
                    <w:jc w:val="center"/>
                    <w:rPr>
                      <w:szCs w:val="21"/>
                      <w:lang w:bidi="ar"/>
                    </w:rPr>
                  </w:pPr>
                  <w:r>
                    <w:rPr>
                      <w:szCs w:val="21"/>
                      <w:lang w:bidi="ar"/>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1804" w:type="dxa"/>
                  <w:vAlign w:val="center"/>
                </w:tcPr>
                <w:p>
                  <w:pPr>
                    <w:jc w:val="center"/>
                    <w:rPr>
                      <w:szCs w:val="21"/>
                      <w:lang w:bidi="ar"/>
                    </w:rPr>
                  </w:pPr>
                  <w:r>
                    <w:rPr>
                      <w:szCs w:val="21"/>
                      <w:lang w:bidi="ar"/>
                    </w:rPr>
                    <w:t>8</w:t>
                  </w:r>
                </w:p>
              </w:tc>
              <w:tc>
                <w:tcPr>
                  <w:tcW w:w="3544" w:type="dxa"/>
                  <w:gridSpan w:val="2"/>
                  <w:vAlign w:val="center"/>
                </w:tcPr>
                <w:p>
                  <w:pPr>
                    <w:jc w:val="center"/>
                    <w:rPr>
                      <w:szCs w:val="21"/>
                      <w:lang w:bidi="ar"/>
                    </w:rPr>
                  </w:pPr>
                  <w:r>
                    <w:rPr>
                      <w:szCs w:val="21"/>
                      <w:lang w:bidi="ar"/>
                    </w:rPr>
                    <w:t>锌</w:t>
                  </w:r>
                </w:p>
              </w:tc>
              <w:tc>
                <w:tcPr>
                  <w:tcW w:w="2646" w:type="dxa"/>
                  <w:vAlign w:val="center"/>
                </w:tcPr>
                <w:p>
                  <w:pPr>
                    <w:jc w:val="center"/>
                    <w:rPr>
                      <w:szCs w:val="21"/>
                      <w:lang w:bidi="ar"/>
                    </w:rPr>
                  </w:pPr>
                  <w:r>
                    <w:rPr>
                      <w:szCs w:val="21"/>
                      <w:lang w:bidi="ar"/>
                    </w:rPr>
                    <w:t>250</w:t>
                  </w:r>
                </w:p>
              </w:tc>
            </w:tr>
          </w:tbl>
          <w:p>
            <w:pPr>
              <w:pStyle w:val="331"/>
              <w:numPr>
                <w:ilvl w:val="0"/>
                <w:numId w:val="6"/>
              </w:numPr>
              <w:adjustRightInd w:val="0"/>
              <w:snapToGrid w:val="0"/>
              <w:spacing w:line="360" w:lineRule="auto"/>
              <w:ind w:left="0" w:firstLine="0" w:firstLineChars="0"/>
              <w:jc w:val="center"/>
              <w:rPr>
                <w:b/>
                <w:bCs/>
                <w:kern w:val="0"/>
                <w:szCs w:val="21"/>
              </w:rPr>
            </w:pPr>
            <w:r>
              <w:rPr>
                <w:b/>
                <w:bCs/>
                <w:kern w:val="0"/>
                <w:szCs w:val="21"/>
              </w:rPr>
              <w:t xml:space="preserve"> 建设用地土壤污染风险筛选值  单位：mg/kg</w:t>
            </w:r>
          </w:p>
          <w:tbl>
            <w:tblPr>
              <w:tblStyle w:val="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2"/>
              <w:gridCol w:w="2410"/>
              <w:gridCol w:w="45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9" w:hRule="atLeast"/>
                <w:tblHeader/>
                <w:jc w:val="center"/>
              </w:trPr>
              <w:tc>
                <w:tcPr>
                  <w:tcW w:w="1112" w:type="dxa"/>
                  <w:vMerge w:val="restart"/>
                  <w:vAlign w:val="center"/>
                </w:tcPr>
                <w:p>
                  <w:pPr>
                    <w:jc w:val="center"/>
                    <w:rPr>
                      <w:b/>
                      <w:bCs/>
                      <w:szCs w:val="21"/>
                      <w:lang w:bidi="ar"/>
                    </w:rPr>
                  </w:pPr>
                  <w:r>
                    <w:rPr>
                      <w:b/>
                      <w:bCs/>
                      <w:szCs w:val="21"/>
                      <w:lang w:bidi="ar"/>
                    </w:rPr>
                    <w:t>序号</w:t>
                  </w:r>
                </w:p>
              </w:tc>
              <w:tc>
                <w:tcPr>
                  <w:tcW w:w="2410" w:type="dxa"/>
                  <w:vMerge w:val="restart"/>
                  <w:vAlign w:val="center"/>
                </w:tcPr>
                <w:p>
                  <w:pPr>
                    <w:jc w:val="center"/>
                    <w:rPr>
                      <w:b/>
                      <w:bCs/>
                      <w:szCs w:val="21"/>
                      <w:lang w:bidi="ar"/>
                    </w:rPr>
                  </w:pPr>
                  <w:r>
                    <w:rPr>
                      <w:b/>
                      <w:bCs/>
                      <w:szCs w:val="21"/>
                      <w:lang w:bidi="ar"/>
                    </w:rPr>
                    <w:t>污染物项目</w:t>
                  </w:r>
                </w:p>
              </w:tc>
              <w:tc>
                <w:tcPr>
                  <w:tcW w:w="4504" w:type="dxa"/>
                  <w:vAlign w:val="center"/>
                </w:tcPr>
                <w:p>
                  <w:pPr>
                    <w:jc w:val="center"/>
                    <w:rPr>
                      <w:szCs w:val="21"/>
                      <w:lang w:bidi="ar"/>
                    </w:rPr>
                  </w:pPr>
                  <w:r>
                    <w:rPr>
                      <w:szCs w:val="21"/>
                      <w:lang w:bidi="ar"/>
                    </w:rPr>
                    <w:t>风险筛选值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1112" w:type="dxa"/>
                  <w:vMerge w:val="continue"/>
                  <w:vAlign w:val="center"/>
                </w:tcPr>
                <w:p>
                  <w:pPr>
                    <w:jc w:val="center"/>
                    <w:rPr>
                      <w:szCs w:val="21"/>
                      <w:lang w:bidi="ar"/>
                    </w:rPr>
                  </w:pPr>
                </w:p>
              </w:tc>
              <w:tc>
                <w:tcPr>
                  <w:tcW w:w="2410" w:type="dxa"/>
                  <w:vMerge w:val="continue"/>
                  <w:vAlign w:val="center"/>
                </w:tcPr>
                <w:p>
                  <w:pPr>
                    <w:jc w:val="center"/>
                    <w:rPr>
                      <w:szCs w:val="21"/>
                      <w:lang w:bidi="ar"/>
                    </w:rPr>
                  </w:pPr>
                </w:p>
              </w:tc>
              <w:tc>
                <w:tcPr>
                  <w:tcW w:w="4504" w:type="dxa"/>
                  <w:vAlign w:val="center"/>
                </w:tcPr>
                <w:p>
                  <w:pPr>
                    <w:jc w:val="center"/>
                    <w:rPr>
                      <w:szCs w:val="21"/>
                      <w:lang w:bidi="ar"/>
                    </w:rPr>
                  </w:pPr>
                  <w:r>
                    <w:rPr>
                      <w:szCs w:val="21"/>
                      <w:lang w:bidi="ar"/>
                    </w:rPr>
                    <w:t>第二类用地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1112" w:type="dxa"/>
                  <w:vAlign w:val="center"/>
                </w:tcPr>
                <w:p>
                  <w:pPr>
                    <w:jc w:val="center"/>
                    <w:rPr>
                      <w:szCs w:val="21"/>
                      <w:lang w:bidi="ar"/>
                    </w:rPr>
                  </w:pPr>
                  <w:r>
                    <w:rPr>
                      <w:szCs w:val="21"/>
                      <w:lang w:bidi="ar"/>
                    </w:rPr>
                    <w:t>1</w:t>
                  </w:r>
                </w:p>
              </w:tc>
              <w:tc>
                <w:tcPr>
                  <w:tcW w:w="2410" w:type="dxa"/>
                  <w:vAlign w:val="center"/>
                </w:tcPr>
                <w:p>
                  <w:pPr>
                    <w:jc w:val="center"/>
                    <w:rPr>
                      <w:szCs w:val="21"/>
                      <w:lang w:bidi="ar"/>
                    </w:rPr>
                  </w:pPr>
                  <w:r>
                    <w:rPr>
                      <w:szCs w:val="21"/>
                      <w:lang w:bidi="ar"/>
                    </w:rPr>
                    <w:t>石油烃</w:t>
                  </w:r>
                </w:p>
              </w:tc>
              <w:tc>
                <w:tcPr>
                  <w:tcW w:w="4504" w:type="dxa"/>
                  <w:vAlign w:val="center"/>
                </w:tcPr>
                <w:p>
                  <w:pPr>
                    <w:jc w:val="center"/>
                    <w:rPr>
                      <w:szCs w:val="21"/>
                      <w:lang w:bidi="ar"/>
                    </w:rPr>
                  </w:pPr>
                  <w:r>
                    <w:rPr>
                      <w:szCs w:val="21"/>
                      <w:lang w:bidi="ar"/>
                    </w:rPr>
                    <w:t>4500</w:t>
                  </w:r>
                </w:p>
              </w:tc>
            </w:tr>
          </w:tbl>
          <w:p>
            <w:pPr>
              <w:adjustRightInd w:val="0"/>
              <w:snapToGrid w:val="0"/>
              <w:spacing w:line="360" w:lineRule="auto"/>
              <w:rPr>
                <w:b/>
                <w:bCs/>
                <w:kern w:val="0"/>
                <w:szCs w:val="21"/>
              </w:rPr>
            </w:pPr>
            <w:r>
              <w:rPr>
                <w:b/>
                <w:bCs/>
                <w:kern w:val="0"/>
                <w:szCs w:val="21"/>
              </w:rPr>
              <w:t>3.6污染物排放标准</w:t>
            </w:r>
          </w:p>
          <w:p>
            <w:pPr>
              <w:pStyle w:val="19"/>
              <w:spacing w:before="0" w:after="0" w:line="360" w:lineRule="auto"/>
              <w:ind w:right="0" w:firstLine="420" w:firstLineChars="200"/>
              <w:rPr>
                <w:sz w:val="21"/>
                <w:szCs w:val="21"/>
              </w:rPr>
            </w:pPr>
            <w:r>
              <w:rPr>
                <w:sz w:val="21"/>
                <w:szCs w:val="21"/>
              </w:rPr>
              <w:t>1、废气</w:t>
            </w:r>
          </w:p>
          <w:p>
            <w:pPr>
              <w:spacing w:line="360" w:lineRule="auto"/>
              <w:ind w:firstLine="420" w:firstLineChars="200"/>
              <w:rPr>
                <w:szCs w:val="21"/>
              </w:rPr>
            </w:pPr>
            <w:r>
              <w:rPr>
                <w:szCs w:val="21"/>
              </w:rPr>
              <w:t>废气执行《四川省施工场地扬尘排放标准》（DB51/2682-2020）中表1规定的浓度限值。</w:t>
            </w:r>
          </w:p>
          <w:p>
            <w:pPr>
              <w:pStyle w:val="331"/>
              <w:numPr>
                <w:ilvl w:val="0"/>
                <w:numId w:val="6"/>
              </w:numPr>
              <w:adjustRightInd w:val="0"/>
              <w:snapToGrid w:val="0"/>
              <w:spacing w:line="360" w:lineRule="auto"/>
              <w:ind w:left="0" w:firstLine="0" w:firstLineChars="0"/>
              <w:jc w:val="center"/>
              <w:rPr>
                <w:b/>
                <w:bCs/>
                <w:kern w:val="0"/>
                <w:szCs w:val="21"/>
              </w:rPr>
            </w:pPr>
            <w:r>
              <w:rPr>
                <w:b/>
                <w:bCs/>
                <w:kern w:val="0"/>
                <w:szCs w:val="21"/>
              </w:rPr>
              <w:t>《四川省施工场地扬尘排放标准》（DB51/2682-2020） 单位：mg/m</w:t>
            </w:r>
            <w:r>
              <w:rPr>
                <w:b/>
                <w:bCs/>
                <w:kern w:val="0"/>
                <w:szCs w:val="21"/>
                <w:vertAlign w:val="superscript"/>
              </w:rPr>
              <w:t>3</w:t>
            </w:r>
          </w:p>
          <w:tbl>
            <w:tblPr>
              <w:tblStyle w:val="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99"/>
              <w:gridCol w:w="2684"/>
              <w:gridCol w:w="26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99" w:type="dxa"/>
                  <w:vAlign w:val="center"/>
                </w:tcPr>
                <w:p>
                  <w:pPr>
                    <w:jc w:val="center"/>
                    <w:rPr>
                      <w:szCs w:val="21"/>
                    </w:rPr>
                  </w:pPr>
                  <w:r>
                    <w:rPr>
                      <w:szCs w:val="21"/>
                    </w:rPr>
                    <w:t>监测项目</w:t>
                  </w:r>
                </w:p>
              </w:tc>
              <w:tc>
                <w:tcPr>
                  <w:tcW w:w="2684" w:type="dxa"/>
                  <w:vAlign w:val="center"/>
                </w:tcPr>
                <w:p>
                  <w:pPr>
                    <w:jc w:val="center"/>
                    <w:rPr>
                      <w:szCs w:val="21"/>
                    </w:rPr>
                  </w:pPr>
                  <w:r>
                    <w:rPr>
                      <w:szCs w:val="21"/>
                    </w:rPr>
                    <w:t>施工阶段</w:t>
                  </w:r>
                </w:p>
              </w:tc>
              <w:tc>
                <w:tcPr>
                  <w:tcW w:w="2684" w:type="dxa"/>
                  <w:vAlign w:val="center"/>
                </w:tcPr>
                <w:p>
                  <w:pPr>
                    <w:jc w:val="center"/>
                    <w:rPr>
                      <w:szCs w:val="21"/>
                    </w:rPr>
                  </w:pPr>
                  <w:r>
                    <w:rPr>
                      <w:szCs w:val="21"/>
                    </w:rPr>
                    <w:t>颗粒物（mg/m</w:t>
                  </w:r>
                  <w:r>
                    <w:rPr>
                      <w:szCs w:val="21"/>
                      <w:vertAlign w:val="superscript"/>
                    </w:rPr>
                    <w:t>3</w:t>
                  </w:r>
                  <w:r>
                    <w:rPr>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99" w:type="dxa"/>
                  <w:vMerge w:val="restart"/>
                  <w:vAlign w:val="center"/>
                </w:tcPr>
                <w:p>
                  <w:pPr>
                    <w:jc w:val="center"/>
                    <w:rPr>
                      <w:szCs w:val="21"/>
                    </w:rPr>
                  </w:pPr>
                  <w:r>
                    <w:rPr>
                      <w:szCs w:val="21"/>
                    </w:rPr>
                    <w:t>TSP</w:t>
                  </w:r>
                </w:p>
              </w:tc>
              <w:tc>
                <w:tcPr>
                  <w:tcW w:w="2684" w:type="dxa"/>
                  <w:vAlign w:val="center"/>
                </w:tcPr>
                <w:p>
                  <w:pPr>
                    <w:jc w:val="center"/>
                    <w:rPr>
                      <w:szCs w:val="21"/>
                    </w:rPr>
                  </w:pPr>
                  <w:r>
                    <w:rPr>
                      <w:szCs w:val="21"/>
                    </w:rPr>
                    <w:t>拆除工程/土石方开挖/土方回填阶段</w:t>
                  </w:r>
                </w:p>
              </w:tc>
              <w:tc>
                <w:tcPr>
                  <w:tcW w:w="2684" w:type="dxa"/>
                  <w:vAlign w:val="center"/>
                </w:tcPr>
                <w:p>
                  <w:pPr>
                    <w:jc w:val="center"/>
                    <w:rPr>
                      <w:szCs w:val="21"/>
                    </w:rPr>
                  </w:pPr>
                  <w:r>
                    <w:rPr>
                      <w:szCs w:val="21"/>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99" w:type="dxa"/>
                  <w:vMerge w:val="continue"/>
                  <w:vAlign w:val="center"/>
                </w:tcPr>
                <w:p>
                  <w:pPr>
                    <w:jc w:val="center"/>
                    <w:rPr>
                      <w:szCs w:val="21"/>
                    </w:rPr>
                  </w:pPr>
                </w:p>
              </w:tc>
              <w:tc>
                <w:tcPr>
                  <w:tcW w:w="2684" w:type="dxa"/>
                  <w:vAlign w:val="center"/>
                </w:tcPr>
                <w:p>
                  <w:pPr>
                    <w:jc w:val="center"/>
                    <w:rPr>
                      <w:szCs w:val="21"/>
                    </w:rPr>
                  </w:pPr>
                  <w:r>
                    <w:rPr>
                      <w:szCs w:val="21"/>
                    </w:rPr>
                    <w:t>其他工程阶段</w:t>
                  </w:r>
                </w:p>
              </w:tc>
              <w:tc>
                <w:tcPr>
                  <w:tcW w:w="2684" w:type="dxa"/>
                  <w:vAlign w:val="center"/>
                </w:tcPr>
                <w:p>
                  <w:pPr>
                    <w:jc w:val="center"/>
                    <w:rPr>
                      <w:szCs w:val="21"/>
                    </w:rPr>
                  </w:pPr>
                  <w:r>
                    <w:rPr>
                      <w:szCs w:val="21"/>
                    </w:rPr>
                    <w:t>0.25</w:t>
                  </w:r>
                </w:p>
              </w:tc>
            </w:tr>
          </w:tbl>
          <w:p>
            <w:pPr>
              <w:pStyle w:val="19"/>
              <w:spacing w:before="0" w:after="0" w:line="360" w:lineRule="auto"/>
              <w:ind w:right="0" w:firstLine="420" w:firstLineChars="200"/>
              <w:rPr>
                <w:sz w:val="21"/>
                <w:szCs w:val="21"/>
              </w:rPr>
            </w:pPr>
            <w:r>
              <w:rPr>
                <w:sz w:val="21"/>
                <w:szCs w:val="21"/>
              </w:rPr>
              <w:t>钻探设备中的柴油机、发电机应尽量采用符合《非道路移动机械用柴油机排气污染物排放限值及测量方法》（中国第三、四阶段）的设备，老的钻探设备应满足制造当时的排放限值。</w:t>
            </w:r>
          </w:p>
          <w:p>
            <w:pPr>
              <w:pStyle w:val="19"/>
              <w:spacing w:before="0" w:after="0" w:line="360" w:lineRule="auto"/>
              <w:ind w:right="0" w:firstLine="420" w:firstLineChars="200"/>
              <w:rPr>
                <w:sz w:val="21"/>
                <w:szCs w:val="21"/>
              </w:rPr>
            </w:pPr>
            <w:r>
              <w:rPr>
                <w:sz w:val="21"/>
                <w:szCs w:val="21"/>
              </w:rPr>
              <w:t>2、废水</w:t>
            </w:r>
          </w:p>
          <w:p>
            <w:pPr>
              <w:spacing w:line="360" w:lineRule="auto"/>
              <w:ind w:firstLine="420" w:firstLineChars="200"/>
              <w:rPr>
                <w:szCs w:val="21"/>
              </w:rPr>
            </w:pPr>
            <w:r>
              <w:rPr>
                <w:rFonts w:hint="eastAsia"/>
                <w:szCs w:val="21"/>
              </w:rPr>
              <w:t>生活污水经旱厕收集后由吸污车拉运至北山镇污水处理厂处理后排放</w:t>
            </w:r>
            <w:r>
              <w:rPr>
                <w:szCs w:val="21"/>
              </w:rPr>
              <w:t>。</w:t>
            </w:r>
            <w:r>
              <w:rPr>
                <w:rFonts w:hint="eastAsia"/>
                <w:szCs w:val="21"/>
              </w:rPr>
              <w:t>钻井废水回用于压裂液配制，不能回用时同</w:t>
            </w:r>
            <w:r>
              <w:rPr>
                <w:szCs w:val="21"/>
              </w:rPr>
              <w:t>试气废水在井场进行预处理后，拟交由四川瑞利生物科技有限公司外运处理达《污水综合排放标准》（GB8978-1996）一级标准后排放。</w:t>
            </w:r>
          </w:p>
          <w:p>
            <w:pPr>
              <w:pStyle w:val="331"/>
              <w:numPr>
                <w:ilvl w:val="0"/>
                <w:numId w:val="6"/>
              </w:numPr>
              <w:adjustRightInd w:val="0"/>
              <w:snapToGrid w:val="0"/>
              <w:spacing w:line="360" w:lineRule="auto"/>
              <w:ind w:left="0" w:firstLine="0" w:firstLineChars="0"/>
              <w:jc w:val="center"/>
              <w:rPr>
                <w:b/>
                <w:bCs/>
                <w:kern w:val="0"/>
                <w:szCs w:val="21"/>
              </w:rPr>
            </w:pPr>
            <w:r>
              <w:rPr>
                <w:b/>
                <w:bCs/>
                <w:kern w:val="0"/>
                <w:szCs w:val="21"/>
              </w:rPr>
              <w:t>污水综合排放标准   单位：mg/L</w:t>
            </w:r>
          </w:p>
          <w:tbl>
            <w:tblPr>
              <w:tblStyle w:val="4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05"/>
              <w:gridCol w:w="2005"/>
              <w:gridCol w:w="2006"/>
              <w:gridCol w:w="20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005" w:type="dxa"/>
                  <w:vAlign w:val="center"/>
                </w:tcPr>
                <w:p>
                  <w:pPr>
                    <w:jc w:val="center"/>
                    <w:rPr>
                      <w:szCs w:val="21"/>
                    </w:rPr>
                  </w:pPr>
                  <w:r>
                    <w:rPr>
                      <w:szCs w:val="21"/>
                    </w:rPr>
                    <w:t>污染物</w:t>
                  </w:r>
                </w:p>
              </w:tc>
              <w:tc>
                <w:tcPr>
                  <w:tcW w:w="2005" w:type="dxa"/>
                  <w:vAlign w:val="center"/>
                </w:tcPr>
                <w:p>
                  <w:pPr>
                    <w:jc w:val="center"/>
                    <w:rPr>
                      <w:szCs w:val="21"/>
                    </w:rPr>
                  </w:pPr>
                  <w:r>
                    <w:rPr>
                      <w:szCs w:val="21"/>
                    </w:rPr>
                    <w:t>排放标准</w:t>
                  </w:r>
                </w:p>
              </w:tc>
              <w:tc>
                <w:tcPr>
                  <w:tcW w:w="2006" w:type="dxa"/>
                  <w:vAlign w:val="center"/>
                </w:tcPr>
                <w:p>
                  <w:pPr>
                    <w:jc w:val="center"/>
                    <w:rPr>
                      <w:szCs w:val="21"/>
                    </w:rPr>
                  </w:pPr>
                  <w:r>
                    <w:rPr>
                      <w:szCs w:val="21"/>
                    </w:rPr>
                    <w:t>污染物</w:t>
                  </w:r>
                </w:p>
              </w:tc>
              <w:tc>
                <w:tcPr>
                  <w:tcW w:w="2006" w:type="dxa"/>
                  <w:vAlign w:val="center"/>
                </w:tcPr>
                <w:p>
                  <w:pPr>
                    <w:jc w:val="center"/>
                    <w:rPr>
                      <w:szCs w:val="21"/>
                    </w:rPr>
                  </w:pPr>
                  <w:r>
                    <w:rPr>
                      <w:szCs w:val="21"/>
                    </w:rPr>
                    <w:t>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005" w:type="dxa"/>
                  <w:vAlign w:val="center"/>
                </w:tcPr>
                <w:p>
                  <w:pPr>
                    <w:jc w:val="center"/>
                    <w:rPr>
                      <w:szCs w:val="21"/>
                    </w:rPr>
                  </w:pPr>
                  <w:r>
                    <w:rPr>
                      <w:szCs w:val="21"/>
                    </w:rPr>
                    <w:t>pH</w:t>
                  </w:r>
                </w:p>
              </w:tc>
              <w:tc>
                <w:tcPr>
                  <w:tcW w:w="2005" w:type="dxa"/>
                  <w:vAlign w:val="center"/>
                </w:tcPr>
                <w:p>
                  <w:pPr>
                    <w:jc w:val="center"/>
                    <w:rPr>
                      <w:szCs w:val="21"/>
                    </w:rPr>
                  </w:pPr>
                  <w:r>
                    <w:rPr>
                      <w:szCs w:val="21"/>
                    </w:rPr>
                    <w:t>6~9</w:t>
                  </w:r>
                </w:p>
              </w:tc>
              <w:tc>
                <w:tcPr>
                  <w:tcW w:w="2006" w:type="dxa"/>
                  <w:vAlign w:val="center"/>
                </w:tcPr>
                <w:p>
                  <w:pPr>
                    <w:jc w:val="center"/>
                    <w:rPr>
                      <w:szCs w:val="21"/>
                    </w:rPr>
                  </w:pPr>
                  <w:r>
                    <w:rPr>
                      <w:szCs w:val="21"/>
                    </w:rPr>
                    <w:t>总氰化物</w:t>
                  </w:r>
                </w:p>
              </w:tc>
              <w:tc>
                <w:tcPr>
                  <w:tcW w:w="2006" w:type="dxa"/>
                  <w:vAlign w:val="center"/>
                </w:tcPr>
                <w:p>
                  <w:pPr>
                    <w:jc w:val="center"/>
                    <w:rPr>
                      <w:szCs w:val="21"/>
                    </w:rPr>
                  </w:pPr>
                  <w:r>
                    <w:rPr>
                      <w:szCs w:val="21"/>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005" w:type="dxa"/>
                  <w:vAlign w:val="center"/>
                </w:tcPr>
                <w:p>
                  <w:pPr>
                    <w:jc w:val="center"/>
                    <w:rPr>
                      <w:szCs w:val="21"/>
                    </w:rPr>
                  </w:pPr>
                  <w:r>
                    <w:rPr>
                      <w:szCs w:val="21"/>
                    </w:rPr>
                    <w:t>SS</w:t>
                  </w:r>
                </w:p>
              </w:tc>
              <w:tc>
                <w:tcPr>
                  <w:tcW w:w="2005" w:type="dxa"/>
                  <w:vAlign w:val="center"/>
                </w:tcPr>
                <w:p>
                  <w:pPr>
                    <w:jc w:val="center"/>
                    <w:rPr>
                      <w:szCs w:val="21"/>
                    </w:rPr>
                  </w:pPr>
                  <w:r>
                    <w:rPr>
                      <w:szCs w:val="21"/>
                    </w:rPr>
                    <w:t>70</w:t>
                  </w:r>
                </w:p>
              </w:tc>
              <w:tc>
                <w:tcPr>
                  <w:tcW w:w="2006" w:type="dxa"/>
                  <w:vAlign w:val="center"/>
                </w:tcPr>
                <w:p>
                  <w:pPr>
                    <w:jc w:val="center"/>
                    <w:rPr>
                      <w:szCs w:val="21"/>
                    </w:rPr>
                  </w:pPr>
                  <w:r>
                    <w:rPr>
                      <w:szCs w:val="21"/>
                    </w:rPr>
                    <w:t>硫化物</w:t>
                  </w:r>
                </w:p>
              </w:tc>
              <w:tc>
                <w:tcPr>
                  <w:tcW w:w="2006" w:type="dxa"/>
                  <w:vAlign w:val="center"/>
                </w:tcPr>
                <w:p>
                  <w:pPr>
                    <w:jc w:val="center"/>
                    <w:rPr>
                      <w:szCs w:val="21"/>
                    </w:rPr>
                  </w:pPr>
                  <w:r>
                    <w:rPr>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005" w:type="dxa"/>
                  <w:vAlign w:val="center"/>
                </w:tcPr>
                <w:p>
                  <w:pPr>
                    <w:jc w:val="center"/>
                    <w:rPr>
                      <w:szCs w:val="21"/>
                    </w:rPr>
                  </w:pPr>
                  <w:r>
                    <w:rPr>
                      <w:szCs w:val="21"/>
                    </w:rPr>
                    <w:t>BOD</w:t>
                  </w:r>
                  <w:r>
                    <w:rPr>
                      <w:szCs w:val="21"/>
                      <w:vertAlign w:val="subscript"/>
                    </w:rPr>
                    <w:t>5</w:t>
                  </w:r>
                </w:p>
              </w:tc>
              <w:tc>
                <w:tcPr>
                  <w:tcW w:w="2005" w:type="dxa"/>
                  <w:vAlign w:val="center"/>
                </w:tcPr>
                <w:p>
                  <w:pPr>
                    <w:jc w:val="center"/>
                    <w:rPr>
                      <w:szCs w:val="21"/>
                    </w:rPr>
                  </w:pPr>
                  <w:r>
                    <w:rPr>
                      <w:szCs w:val="21"/>
                    </w:rPr>
                    <w:t>20</w:t>
                  </w:r>
                </w:p>
              </w:tc>
              <w:tc>
                <w:tcPr>
                  <w:tcW w:w="2006" w:type="dxa"/>
                  <w:vAlign w:val="center"/>
                </w:tcPr>
                <w:p>
                  <w:pPr>
                    <w:jc w:val="center"/>
                    <w:rPr>
                      <w:szCs w:val="21"/>
                    </w:rPr>
                  </w:pPr>
                  <w:r>
                    <w:rPr>
                      <w:szCs w:val="21"/>
                    </w:rPr>
                    <w:t>氨氮</w:t>
                  </w:r>
                </w:p>
              </w:tc>
              <w:tc>
                <w:tcPr>
                  <w:tcW w:w="2006" w:type="dxa"/>
                  <w:vAlign w:val="center"/>
                </w:tcPr>
                <w:p>
                  <w:pPr>
                    <w:jc w:val="center"/>
                    <w:rPr>
                      <w:szCs w:val="21"/>
                    </w:rPr>
                  </w:pPr>
                  <w:r>
                    <w:rPr>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005" w:type="dxa"/>
                  <w:vAlign w:val="center"/>
                </w:tcPr>
                <w:p>
                  <w:pPr>
                    <w:jc w:val="center"/>
                    <w:rPr>
                      <w:szCs w:val="21"/>
                    </w:rPr>
                  </w:pPr>
                  <w:r>
                    <w:rPr>
                      <w:szCs w:val="21"/>
                    </w:rPr>
                    <w:t>COD</w:t>
                  </w:r>
                </w:p>
              </w:tc>
              <w:tc>
                <w:tcPr>
                  <w:tcW w:w="2005" w:type="dxa"/>
                  <w:vAlign w:val="center"/>
                </w:tcPr>
                <w:p>
                  <w:pPr>
                    <w:jc w:val="center"/>
                    <w:rPr>
                      <w:szCs w:val="21"/>
                    </w:rPr>
                  </w:pPr>
                  <w:r>
                    <w:rPr>
                      <w:szCs w:val="21"/>
                    </w:rPr>
                    <w:t>100</w:t>
                  </w:r>
                </w:p>
              </w:tc>
              <w:tc>
                <w:tcPr>
                  <w:tcW w:w="2006" w:type="dxa"/>
                  <w:vAlign w:val="center"/>
                </w:tcPr>
                <w:p>
                  <w:pPr>
                    <w:jc w:val="center"/>
                    <w:rPr>
                      <w:szCs w:val="21"/>
                    </w:rPr>
                  </w:pPr>
                  <w:r>
                    <w:rPr>
                      <w:szCs w:val="21"/>
                    </w:rPr>
                    <w:t>氟化物</w:t>
                  </w:r>
                </w:p>
              </w:tc>
              <w:tc>
                <w:tcPr>
                  <w:tcW w:w="2006" w:type="dxa"/>
                  <w:vAlign w:val="center"/>
                </w:tcPr>
                <w:p>
                  <w:pPr>
                    <w:jc w:val="center"/>
                    <w:rPr>
                      <w:szCs w:val="21"/>
                    </w:rPr>
                  </w:pPr>
                  <w:r>
                    <w:rPr>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005" w:type="dxa"/>
                  <w:vAlign w:val="center"/>
                </w:tcPr>
                <w:p>
                  <w:pPr>
                    <w:jc w:val="center"/>
                    <w:rPr>
                      <w:szCs w:val="21"/>
                    </w:rPr>
                  </w:pPr>
                  <w:r>
                    <w:rPr>
                      <w:szCs w:val="21"/>
                    </w:rPr>
                    <w:t>石油类</w:t>
                  </w:r>
                </w:p>
              </w:tc>
              <w:tc>
                <w:tcPr>
                  <w:tcW w:w="2005" w:type="dxa"/>
                  <w:vAlign w:val="center"/>
                </w:tcPr>
                <w:p>
                  <w:pPr>
                    <w:jc w:val="center"/>
                    <w:rPr>
                      <w:szCs w:val="21"/>
                    </w:rPr>
                  </w:pPr>
                  <w:r>
                    <w:rPr>
                      <w:szCs w:val="21"/>
                    </w:rPr>
                    <w:t>5</w:t>
                  </w:r>
                </w:p>
              </w:tc>
              <w:tc>
                <w:tcPr>
                  <w:tcW w:w="2006" w:type="dxa"/>
                  <w:vAlign w:val="center"/>
                </w:tcPr>
                <w:p>
                  <w:pPr>
                    <w:jc w:val="center"/>
                    <w:rPr>
                      <w:szCs w:val="21"/>
                    </w:rPr>
                  </w:pPr>
                  <w:r>
                    <w:rPr>
                      <w:szCs w:val="21"/>
                    </w:rPr>
                    <w:t>磷酸盐</w:t>
                  </w:r>
                </w:p>
              </w:tc>
              <w:tc>
                <w:tcPr>
                  <w:tcW w:w="2006" w:type="dxa"/>
                  <w:vAlign w:val="center"/>
                </w:tcPr>
                <w:p>
                  <w:pPr>
                    <w:jc w:val="center"/>
                    <w:rPr>
                      <w:szCs w:val="21"/>
                    </w:rPr>
                  </w:pPr>
                  <w:r>
                    <w:rPr>
                      <w:szCs w:val="21"/>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005" w:type="dxa"/>
                  <w:vAlign w:val="center"/>
                </w:tcPr>
                <w:p>
                  <w:pPr>
                    <w:jc w:val="center"/>
                    <w:rPr>
                      <w:szCs w:val="21"/>
                    </w:rPr>
                  </w:pPr>
                  <w:r>
                    <w:rPr>
                      <w:szCs w:val="21"/>
                    </w:rPr>
                    <w:t>挥发酚</w:t>
                  </w:r>
                </w:p>
              </w:tc>
              <w:tc>
                <w:tcPr>
                  <w:tcW w:w="2005" w:type="dxa"/>
                  <w:vAlign w:val="center"/>
                </w:tcPr>
                <w:p>
                  <w:pPr>
                    <w:jc w:val="center"/>
                    <w:rPr>
                      <w:szCs w:val="21"/>
                    </w:rPr>
                  </w:pPr>
                  <w:r>
                    <w:rPr>
                      <w:szCs w:val="21"/>
                    </w:rPr>
                    <w:t>0.5</w:t>
                  </w:r>
                </w:p>
              </w:tc>
              <w:tc>
                <w:tcPr>
                  <w:tcW w:w="2006" w:type="dxa"/>
                  <w:vAlign w:val="center"/>
                </w:tcPr>
                <w:p>
                  <w:pPr>
                    <w:jc w:val="center"/>
                    <w:rPr>
                      <w:szCs w:val="21"/>
                    </w:rPr>
                  </w:pPr>
                </w:p>
              </w:tc>
              <w:tc>
                <w:tcPr>
                  <w:tcW w:w="2006" w:type="dxa"/>
                  <w:vAlign w:val="center"/>
                </w:tcPr>
                <w:p>
                  <w:pPr>
                    <w:jc w:val="center"/>
                    <w:rPr>
                      <w:szCs w:val="21"/>
                    </w:rPr>
                  </w:pPr>
                </w:p>
              </w:tc>
            </w:tr>
          </w:tbl>
          <w:p>
            <w:pPr>
              <w:spacing w:line="360" w:lineRule="auto"/>
              <w:ind w:firstLine="420" w:firstLineChars="200"/>
              <w:rPr>
                <w:szCs w:val="21"/>
              </w:rPr>
            </w:pPr>
          </w:p>
          <w:p>
            <w:pPr>
              <w:pStyle w:val="19"/>
              <w:spacing w:before="0" w:after="0" w:line="360" w:lineRule="auto"/>
              <w:ind w:right="0" w:firstLine="420" w:firstLineChars="200"/>
              <w:rPr>
                <w:sz w:val="21"/>
                <w:szCs w:val="21"/>
              </w:rPr>
            </w:pPr>
            <w:r>
              <w:rPr>
                <w:sz w:val="21"/>
                <w:szCs w:val="21"/>
              </w:rPr>
              <w:t>3、噪声</w:t>
            </w:r>
          </w:p>
          <w:p>
            <w:pPr>
              <w:pStyle w:val="19"/>
              <w:spacing w:before="0" w:after="0" w:line="360" w:lineRule="auto"/>
              <w:ind w:right="0" w:firstLine="420" w:firstLineChars="200"/>
              <w:rPr>
                <w:sz w:val="21"/>
                <w:szCs w:val="21"/>
              </w:rPr>
            </w:pPr>
            <w:r>
              <w:rPr>
                <w:sz w:val="21"/>
                <w:szCs w:val="21"/>
              </w:rPr>
              <w:t>建筑施工期间噪声执行《建筑施工场界环境噪声排放标准》（GB12523-2011）各施工阶段标准。</w:t>
            </w:r>
          </w:p>
          <w:p>
            <w:pPr>
              <w:pStyle w:val="331"/>
              <w:numPr>
                <w:ilvl w:val="0"/>
                <w:numId w:val="6"/>
              </w:numPr>
              <w:adjustRightInd w:val="0"/>
              <w:snapToGrid w:val="0"/>
              <w:spacing w:line="360" w:lineRule="auto"/>
              <w:ind w:left="0" w:firstLine="0" w:firstLineChars="0"/>
              <w:jc w:val="center"/>
              <w:rPr>
                <w:b/>
                <w:bCs/>
                <w:kern w:val="0"/>
                <w:szCs w:val="21"/>
              </w:rPr>
            </w:pPr>
            <w:r>
              <w:rPr>
                <w:b/>
                <w:bCs/>
                <w:kern w:val="0"/>
                <w:szCs w:val="21"/>
              </w:rPr>
              <w:t>建筑施工场界环境噪声排放标准  单位：dB(A)</w:t>
            </w:r>
          </w:p>
          <w:tbl>
            <w:tblPr>
              <w:tblStyle w:val="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50"/>
              <w:gridCol w:w="38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150" w:type="dxa"/>
                  <w:vAlign w:val="center"/>
                </w:tcPr>
                <w:p>
                  <w:pPr>
                    <w:jc w:val="center"/>
                    <w:rPr>
                      <w:bCs/>
                      <w:szCs w:val="21"/>
                    </w:rPr>
                  </w:pPr>
                  <w:r>
                    <w:rPr>
                      <w:bCs/>
                      <w:szCs w:val="21"/>
                    </w:rPr>
                    <w:t>昼间</w:t>
                  </w:r>
                </w:p>
              </w:tc>
              <w:tc>
                <w:tcPr>
                  <w:tcW w:w="3893" w:type="dxa"/>
                  <w:vAlign w:val="center"/>
                </w:tcPr>
                <w:p>
                  <w:pPr>
                    <w:jc w:val="center"/>
                    <w:rPr>
                      <w:bCs/>
                      <w:szCs w:val="21"/>
                    </w:rPr>
                  </w:pPr>
                  <w:r>
                    <w:rPr>
                      <w:bCs/>
                      <w:szCs w:val="21"/>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150" w:type="dxa"/>
                  <w:vAlign w:val="center"/>
                </w:tcPr>
                <w:p>
                  <w:pPr>
                    <w:jc w:val="center"/>
                    <w:rPr>
                      <w:szCs w:val="21"/>
                    </w:rPr>
                  </w:pPr>
                  <w:r>
                    <w:rPr>
                      <w:szCs w:val="21"/>
                    </w:rPr>
                    <w:t>70</w:t>
                  </w:r>
                </w:p>
              </w:tc>
              <w:tc>
                <w:tcPr>
                  <w:tcW w:w="3893" w:type="dxa"/>
                  <w:vAlign w:val="center"/>
                </w:tcPr>
                <w:p>
                  <w:pPr>
                    <w:jc w:val="center"/>
                    <w:rPr>
                      <w:szCs w:val="21"/>
                    </w:rPr>
                  </w:pPr>
                  <w:r>
                    <w:rPr>
                      <w:szCs w:val="21"/>
                    </w:rPr>
                    <w:t>55</w:t>
                  </w:r>
                </w:p>
              </w:tc>
            </w:tr>
          </w:tbl>
          <w:p>
            <w:pPr>
              <w:pStyle w:val="19"/>
              <w:spacing w:before="0" w:after="0" w:line="360" w:lineRule="auto"/>
              <w:ind w:right="0" w:firstLine="420" w:firstLineChars="200"/>
              <w:rPr>
                <w:sz w:val="21"/>
                <w:szCs w:val="21"/>
              </w:rPr>
            </w:pPr>
            <w:r>
              <w:rPr>
                <w:sz w:val="21"/>
                <w:szCs w:val="21"/>
              </w:rPr>
              <w:t>4、固体废弃物</w:t>
            </w:r>
          </w:p>
          <w:p>
            <w:pPr>
              <w:spacing w:line="360" w:lineRule="auto"/>
              <w:ind w:firstLine="420" w:firstLineChars="200"/>
              <w:rPr>
                <w:szCs w:val="21"/>
              </w:rPr>
            </w:pPr>
            <w:r>
              <w:rPr>
                <w:szCs w:val="21"/>
              </w:rPr>
              <w:t>一般工业固体废物</w:t>
            </w:r>
            <w:r>
              <w:rPr>
                <w:rFonts w:hint="eastAsia"/>
                <w:szCs w:val="21"/>
              </w:rPr>
              <w:t>参照执行《一般工业固体废物贮存和填埋污染控制标准》（GB18599-2020），</w:t>
            </w:r>
            <w:r>
              <w:rPr>
                <w:szCs w:val="21"/>
              </w:rPr>
              <w:t>贮存过程中应满足相应的防渗漏、防雨淋、防扬尘等环境保护要求。</w:t>
            </w:r>
          </w:p>
          <w:p>
            <w:pPr>
              <w:spacing w:line="360" w:lineRule="auto"/>
              <w:ind w:firstLine="420" w:firstLineChars="200"/>
              <w:rPr>
                <w:kern w:val="0"/>
                <w:szCs w:val="21"/>
              </w:rPr>
            </w:pPr>
            <w:r>
              <w:rPr>
                <w:szCs w:val="21"/>
              </w:rPr>
              <w:t>危险废物执行《危险废物贮存污染控制标准》（GB 18597-2001，2013 年修订）及环保部公告﹝2013﹞第36号。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86" w:hRule="atLeast"/>
          <w:jc w:val="center"/>
        </w:trPr>
        <w:tc>
          <w:tcPr>
            <w:tcW w:w="904" w:type="dxa"/>
            <w:vAlign w:val="center"/>
          </w:tcPr>
          <w:p>
            <w:pPr>
              <w:adjustRightInd w:val="0"/>
              <w:snapToGrid w:val="0"/>
              <w:jc w:val="center"/>
              <w:rPr>
                <w:kern w:val="0"/>
                <w:szCs w:val="21"/>
              </w:rPr>
            </w:pPr>
            <w:r>
              <w:rPr>
                <w:kern w:val="0"/>
                <w:szCs w:val="21"/>
              </w:rPr>
              <w:t>其他</w:t>
            </w:r>
          </w:p>
        </w:tc>
        <w:tc>
          <w:tcPr>
            <w:tcW w:w="8253" w:type="dxa"/>
            <w:vAlign w:val="center"/>
          </w:tcPr>
          <w:p>
            <w:pPr>
              <w:adjustRightInd w:val="0"/>
              <w:snapToGrid w:val="0"/>
              <w:spacing w:line="360" w:lineRule="auto"/>
              <w:ind w:firstLine="420" w:firstLineChars="200"/>
              <w:rPr>
                <w:kern w:val="0"/>
                <w:szCs w:val="21"/>
              </w:rPr>
            </w:pPr>
            <w:r>
              <w:rPr>
                <w:bCs/>
                <w:szCs w:val="21"/>
              </w:rPr>
              <w:t>根据实施总量控制的原则，结合本项目污染物排放的实际情况，工程周期短、废气排放量小，试气作业废水外运处理，生活污水农用，本次评价不设总量控制指标。</w:t>
            </w:r>
          </w:p>
        </w:tc>
      </w:tr>
    </w:tbl>
    <w:p>
      <w:pPr>
        <w:pStyle w:val="36"/>
        <w:adjustRightInd w:val="0"/>
        <w:snapToGrid w:val="0"/>
        <w:spacing w:before="0" w:beforeAutospacing="0" w:after="0" w:afterAutospacing="0" w:line="14" w:lineRule="auto"/>
        <w:jc w:val="center"/>
        <w:rPr>
          <w:rFonts w:ascii="Times New Roman" w:hAnsi="Times New Roman" w:eastAsia="黑体"/>
          <w:snapToGrid w:val="0"/>
          <w:kern w:val="2"/>
          <w:sz w:val="21"/>
          <w:szCs w:val="21"/>
        </w:rPr>
      </w:pPr>
    </w:p>
    <w:p>
      <w:pPr>
        <w:pStyle w:val="36"/>
        <w:jc w:val="center"/>
        <w:outlineLvl w:val="0"/>
        <w:rPr>
          <w:rFonts w:ascii="Times New Roman" w:hAnsi="Times New Roman" w:eastAsia="黑体"/>
          <w:snapToGrid w:val="0"/>
          <w:sz w:val="21"/>
          <w:szCs w:val="21"/>
        </w:rPr>
      </w:pPr>
      <w:r>
        <w:rPr>
          <w:rFonts w:ascii="Times New Roman" w:hAnsi="Times New Roman" w:eastAsia="黑体"/>
          <w:snapToGrid w:val="0"/>
          <w:kern w:val="2"/>
          <w:sz w:val="21"/>
          <w:szCs w:val="21"/>
        </w:rPr>
        <w:br w:type="page"/>
      </w:r>
      <w:r>
        <w:rPr>
          <w:rFonts w:ascii="Times New Roman" w:hAnsi="Times New Roman" w:eastAsia="黑体"/>
          <w:snapToGrid w:val="0"/>
          <w:szCs w:val="21"/>
        </w:rPr>
        <w:t>四、生态环境影响分析</w:t>
      </w:r>
    </w:p>
    <w:tbl>
      <w:tblPr>
        <w:tblStyle w:val="4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79"/>
        <w:gridCol w:w="836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1965" w:hRule="atLeast"/>
          <w:jc w:val="center"/>
        </w:trPr>
        <w:tc>
          <w:tcPr>
            <w:tcW w:w="879" w:type="dxa"/>
            <w:tcMar>
              <w:left w:w="28" w:type="dxa"/>
              <w:right w:w="28" w:type="dxa"/>
            </w:tcMar>
            <w:vAlign w:val="center"/>
          </w:tcPr>
          <w:p>
            <w:pPr>
              <w:pStyle w:val="36"/>
              <w:widowControl w:val="0"/>
              <w:adjustRightInd w:val="0"/>
              <w:snapToGrid w:val="0"/>
              <w:spacing w:before="0" w:beforeAutospacing="0" w:after="0" w:afterAutospacing="0"/>
              <w:jc w:val="center"/>
              <w:rPr>
                <w:rFonts w:ascii="Times New Roman" w:hAnsi="Times New Roman"/>
                <w:bCs/>
                <w:kern w:val="2"/>
                <w:sz w:val="21"/>
                <w:szCs w:val="21"/>
              </w:rPr>
            </w:pPr>
            <w:bookmarkStart w:id="29" w:name="_Hlk49796138"/>
            <w:r>
              <w:rPr>
                <w:rFonts w:ascii="Times New Roman" w:hAnsi="Times New Roman"/>
                <w:bCs/>
                <w:spacing w:val="10"/>
                <w:kern w:val="2"/>
                <w:sz w:val="21"/>
                <w:szCs w:val="21"/>
              </w:rPr>
              <w:t>施工期生态环境影响分析</w:t>
            </w:r>
            <w:bookmarkEnd w:id="29"/>
          </w:p>
        </w:tc>
        <w:tc>
          <w:tcPr>
            <w:tcW w:w="8363" w:type="dxa"/>
          </w:tcPr>
          <w:p>
            <w:pPr>
              <w:spacing w:line="360" w:lineRule="auto"/>
              <w:rPr>
                <w:b/>
                <w:szCs w:val="21"/>
              </w:rPr>
            </w:pPr>
            <w:r>
              <w:rPr>
                <w:rFonts w:hint="eastAsia"/>
                <w:b/>
                <w:szCs w:val="21"/>
              </w:rPr>
              <w:t>4.1钻前</w:t>
            </w:r>
            <w:r>
              <w:rPr>
                <w:b/>
                <w:szCs w:val="21"/>
              </w:rPr>
              <w:t>工程污染源源强核算</w:t>
            </w:r>
            <w:r>
              <w:rPr>
                <w:rFonts w:hint="eastAsia"/>
                <w:b/>
                <w:szCs w:val="21"/>
              </w:rPr>
              <w:t>及</w:t>
            </w:r>
            <w:r>
              <w:rPr>
                <w:b/>
                <w:szCs w:val="21"/>
              </w:rPr>
              <w:t>环境</w:t>
            </w:r>
            <w:r>
              <w:rPr>
                <w:rFonts w:hint="eastAsia"/>
                <w:b/>
                <w:szCs w:val="21"/>
              </w:rPr>
              <w:t>影响</w:t>
            </w:r>
            <w:r>
              <w:rPr>
                <w:b/>
                <w:szCs w:val="21"/>
              </w:rPr>
              <w:t>分析</w:t>
            </w:r>
          </w:p>
          <w:p>
            <w:pPr>
              <w:spacing w:line="360" w:lineRule="auto"/>
              <w:rPr>
                <w:b/>
                <w:szCs w:val="21"/>
              </w:rPr>
            </w:pPr>
            <w:r>
              <w:rPr>
                <w:rFonts w:hint="eastAsia"/>
                <w:b/>
                <w:szCs w:val="21"/>
              </w:rPr>
              <w:t>4.1.1废气</w:t>
            </w:r>
          </w:p>
          <w:p>
            <w:pPr>
              <w:spacing w:line="360" w:lineRule="auto"/>
              <w:ind w:firstLine="420" w:firstLineChars="200"/>
              <w:rPr>
                <w:szCs w:val="21"/>
              </w:rPr>
            </w:pPr>
            <w:r>
              <w:rPr>
                <w:rFonts w:hint="eastAsia"/>
                <w:szCs w:val="21"/>
              </w:rPr>
              <w:t>（1）废气</w:t>
            </w:r>
            <w:r>
              <w:rPr>
                <w:szCs w:val="21"/>
              </w:rPr>
              <w:t>源强</w:t>
            </w:r>
          </w:p>
          <w:p>
            <w:pPr>
              <w:spacing w:line="360" w:lineRule="auto"/>
              <w:ind w:firstLine="420" w:firstLineChars="200"/>
              <w:rPr>
                <w:szCs w:val="21"/>
              </w:rPr>
            </w:pPr>
            <w:r>
              <w:rPr>
                <w:rFonts w:hint="eastAsia"/>
                <w:szCs w:val="21"/>
              </w:rPr>
              <w:t>钻前工程施工期产生的空气污染主要是：施工过程中土石方开挖、建筑材料运输、装卸过程产生的扬尘使周边大气环境中的TSP浓度增加，施工现场周围粉尘浓度与源强大小及源强距离有关；施工期间使用的各种动力机械（如载重汽车、铲车等）产生的尾气也使大气环境受到污染，尾气中所含的有害物质主要有CO、THC、NO</w:t>
            </w:r>
            <w:r>
              <w:rPr>
                <w:rFonts w:hint="eastAsia"/>
                <w:szCs w:val="21"/>
                <w:vertAlign w:val="subscript"/>
              </w:rPr>
              <w:t>X</w:t>
            </w:r>
            <w:r>
              <w:rPr>
                <w:rFonts w:hint="eastAsia"/>
                <w:szCs w:val="21"/>
              </w:rPr>
              <w:t>等。</w:t>
            </w:r>
          </w:p>
          <w:p>
            <w:pPr>
              <w:spacing w:line="360" w:lineRule="auto"/>
              <w:ind w:firstLine="420" w:firstLineChars="200"/>
              <w:rPr>
                <w:szCs w:val="21"/>
              </w:rPr>
            </w:pPr>
            <w:r>
              <w:rPr>
                <w:rFonts w:hint="eastAsia"/>
                <w:szCs w:val="21"/>
              </w:rPr>
              <w:t>（2）环境</w:t>
            </w:r>
            <w:r>
              <w:rPr>
                <w:szCs w:val="21"/>
              </w:rPr>
              <w:t>影响分析</w:t>
            </w:r>
          </w:p>
          <w:p>
            <w:pPr>
              <w:spacing w:line="360" w:lineRule="auto"/>
              <w:ind w:firstLine="420" w:firstLineChars="200"/>
              <w:rPr>
                <w:szCs w:val="21"/>
              </w:rPr>
            </w:pPr>
            <w:r>
              <w:rPr>
                <w:rFonts w:hint="eastAsia"/>
                <w:szCs w:val="21"/>
              </w:rPr>
              <w:t>钻前作业累计施工工时</w:t>
            </w:r>
            <w:r>
              <w:rPr>
                <w:rFonts w:hint="eastAsia"/>
                <w:color w:val="FF0000"/>
                <w:szCs w:val="21"/>
              </w:rPr>
              <w:t>较短</w:t>
            </w:r>
            <w:r>
              <w:rPr>
                <w:rFonts w:hint="eastAsia"/>
                <w:szCs w:val="21"/>
              </w:rPr>
              <w:t>，施工现场采取洒水降尘，不会对周围环境</w:t>
            </w:r>
            <w:r>
              <w:rPr>
                <w:szCs w:val="21"/>
              </w:rPr>
              <w:t>空气</w:t>
            </w:r>
            <w:r>
              <w:rPr>
                <w:rFonts w:hint="eastAsia"/>
                <w:szCs w:val="21"/>
              </w:rPr>
              <w:t>产生明显的不适影响，也不会对周边农业生产造成明显影响。总体看来，钻前作业不会对当地环境空气造成明显不利影响，对周围环境影响是可接受的。</w:t>
            </w:r>
            <w:r>
              <w:rPr>
                <w:szCs w:val="21"/>
              </w:rPr>
              <w:cr/>
            </w:r>
            <w:r>
              <w:rPr>
                <w:rFonts w:hint="eastAsia"/>
                <w:b/>
                <w:szCs w:val="21"/>
              </w:rPr>
              <w:t>4.1.2废水</w:t>
            </w:r>
          </w:p>
          <w:p>
            <w:pPr>
              <w:spacing w:line="360" w:lineRule="auto"/>
              <w:ind w:firstLine="420" w:firstLineChars="200"/>
              <w:rPr>
                <w:szCs w:val="21"/>
              </w:rPr>
            </w:pPr>
            <w:r>
              <w:rPr>
                <w:rFonts w:hint="eastAsia"/>
                <w:szCs w:val="21"/>
              </w:rPr>
              <w:t>（1）废水</w:t>
            </w:r>
            <w:r>
              <w:rPr>
                <w:szCs w:val="21"/>
              </w:rPr>
              <w:t>源强</w:t>
            </w:r>
          </w:p>
          <w:p>
            <w:pPr>
              <w:spacing w:line="360" w:lineRule="auto"/>
              <w:ind w:firstLine="420" w:firstLineChars="200"/>
              <w:rPr>
                <w:szCs w:val="21"/>
              </w:rPr>
            </w:pPr>
            <w:r>
              <w:rPr>
                <w:rFonts w:hint="eastAsia"/>
                <w:szCs w:val="21"/>
              </w:rPr>
              <w:t>钻前工程废水由施工废水和生活污水两部分组成。基建人员有30人，人均生活用水量按100L/d计，生活总用水量约3.0m</w:t>
            </w:r>
            <w:r>
              <w:rPr>
                <w:rFonts w:hint="eastAsia"/>
                <w:szCs w:val="21"/>
                <w:vertAlign w:val="superscript"/>
              </w:rPr>
              <w:t>3</w:t>
            </w:r>
            <w:r>
              <w:rPr>
                <w:rFonts w:hint="eastAsia"/>
                <w:szCs w:val="21"/>
              </w:rPr>
              <w:t>/d，施工</w:t>
            </w:r>
            <w:r>
              <w:rPr>
                <w:szCs w:val="21"/>
              </w:rPr>
              <w:t>工期约</w:t>
            </w:r>
            <w:r>
              <w:rPr>
                <w:rFonts w:hint="eastAsia"/>
                <w:szCs w:val="21"/>
              </w:rPr>
              <w:t>1个月</w:t>
            </w:r>
            <w:r>
              <w:rPr>
                <w:szCs w:val="21"/>
              </w:rPr>
              <w:t>，因此</w:t>
            </w:r>
            <w:r>
              <w:rPr>
                <w:rFonts w:hint="eastAsia"/>
                <w:szCs w:val="21"/>
              </w:rPr>
              <w:t>生活用水总量90m</w:t>
            </w:r>
            <w:r>
              <w:rPr>
                <w:rFonts w:hint="eastAsia"/>
                <w:szCs w:val="21"/>
                <w:vertAlign w:val="superscript"/>
              </w:rPr>
              <w:t>3</w:t>
            </w:r>
            <w:r>
              <w:rPr>
                <w:rFonts w:hint="eastAsia"/>
                <w:szCs w:val="21"/>
              </w:rPr>
              <w:t>。产污系数取0.9，则生活污水量2.7m</w:t>
            </w:r>
            <w:r>
              <w:rPr>
                <w:rFonts w:hint="eastAsia"/>
                <w:szCs w:val="21"/>
                <w:vertAlign w:val="superscript"/>
              </w:rPr>
              <w:t>3</w:t>
            </w:r>
            <w:r>
              <w:rPr>
                <w:rFonts w:hint="eastAsia"/>
                <w:szCs w:val="21"/>
              </w:rPr>
              <w:t>/d，生活污水总量为81m</w:t>
            </w:r>
            <w:r>
              <w:rPr>
                <w:rFonts w:hint="eastAsia"/>
                <w:szCs w:val="21"/>
                <w:vertAlign w:val="superscript"/>
              </w:rPr>
              <w:t>3</w:t>
            </w:r>
            <w:r>
              <w:rPr>
                <w:rFonts w:hint="eastAsia"/>
                <w:szCs w:val="21"/>
              </w:rPr>
              <w:t>，主要污染物为COD、BOD</w:t>
            </w:r>
            <w:r>
              <w:rPr>
                <w:rFonts w:hint="eastAsia"/>
                <w:szCs w:val="21"/>
                <w:vertAlign w:val="subscript"/>
              </w:rPr>
              <w:t>5</w:t>
            </w:r>
            <w:r>
              <w:rPr>
                <w:rFonts w:hint="eastAsia"/>
                <w:szCs w:val="21"/>
              </w:rPr>
              <w:t>、SS、NH</w:t>
            </w:r>
            <w:r>
              <w:rPr>
                <w:rFonts w:hint="eastAsia"/>
                <w:szCs w:val="21"/>
                <w:vertAlign w:val="subscript"/>
              </w:rPr>
              <w:t>3</w:t>
            </w:r>
            <w:r>
              <w:rPr>
                <w:rFonts w:hint="eastAsia"/>
                <w:szCs w:val="21"/>
              </w:rPr>
              <w:t>-N，浓度依次约400mg/L、200mg/L、300mg/L、25mg/L。</w:t>
            </w:r>
          </w:p>
          <w:p>
            <w:pPr>
              <w:spacing w:line="360" w:lineRule="auto"/>
              <w:ind w:firstLine="420" w:firstLineChars="200"/>
              <w:rPr>
                <w:szCs w:val="21"/>
              </w:rPr>
            </w:pPr>
            <w:r>
              <w:rPr>
                <w:rFonts w:hint="eastAsia"/>
                <w:szCs w:val="21"/>
              </w:rPr>
              <w:t>（2）环境</w:t>
            </w:r>
            <w:r>
              <w:rPr>
                <w:szCs w:val="21"/>
              </w:rPr>
              <w:t>影响分析</w:t>
            </w:r>
          </w:p>
          <w:p>
            <w:pPr>
              <w:spacing w:line="360" w:lineRule="auto"/>
              <w:ind w:firstLine="420" w:firstLineChars="200"/>
              <w:rPr>
                <w:szCs w:val="21"/>
              </w:rPr>
            </w:pPr>
            <w:r>
              <w:rPr>
                <w:rFonts w:hint="eastAsia"/>
                <w:szCs w:val="21"/>
              </w:rPr>
              <w:t>钻前施工作业废水来自施工场地，道路施工过程遇雨产生的地表径流，径流雨水中夹带有悬浮物；井场基础建设产生的废水主要来自砂石骨料加工、混凝土搅拌及养护等过程。</w:t>
            </w:r>
          </w:p>
          <w:p>
            <w:pPr>
              <w:spacing w:line="360" w:lineRule="auto"/>
              <w:ind w:firstLine="420" w:firstLineChars="200"/>
              <w:rPr>
                <w:szCs w:val="21"/>
              </w:rPr>
            </w:pPr>
            <w:r>
              <w:rPr>
                <w:rFonts w:hint="eastAsia"/>
                <w:szCs w:val="21"/>
              </w:rPr>
              <w:t>项目产生的生活污水利用农户已建设施处理；施工废水循环利用于洒水抑尘，无施工废水排放。不会对周边地表水环境造成明显不利影响。</w:t>
            </w:r>
          </w:p>
          <w:p>
            <w:pPr>
              <w:spacing w:line="360" w:lineRule="auto"/>
              <w:rPr>
                <w:b/>
                <w:szCs w:val="21"/>
              </w:rPr>
            </w:pPr>
            <w:r>
              <w:rPr>
                <w:rFonts w:hint="eastAsia"/>
                <w:b/>
                <w:szCs w:val="21"/>
              </w:rPr>
              <w:t>4.1.3噪声</w:t>
            </w:r>
          </w:p>
          <w:p>
            <w:pPr>
              <w:spacing w:line="360" w:lineRule="auto"/>
              <w:ind w:firstLine="420" w:firstLineChars="200"/>
              <w:contextualSpacing/>
              <w:rPr>
                <w:bCs/>
                <w:szCs w:val="21"/>
              </w:rPr>
            </w:pPr>
            <w:r>
              <w:rPr>
                <w:rFonts w:hint="eastAsia"/>
                <w:bCs/>
                <w:szCs w:val="21"/>
              </w:rPr>
              <w:t>（1）噪声</w:t>
            </w:r>
            <w:r>
              <w:rPr>
                <w:bCs/>
                <w:szCs w:val="21"/>
              </w:rPr>
              <w:t>源强核算</w:t>
            </w:r>
          </w:p>
          <w:p>
            <w:pPr>
              <w:spacing w:line="360" w:lineRule="auto"/>
              <w:ind w:firstLine="420" w:firstLineChars="200"/>
              <w:contextualSpacing/>
              <w:rPr>
                <w:szCs w:val="21"/>
              </w:rPr>
            </w:pPr>
            <w:r>
              <w:rPr>
                <w:bCs/>
                <w:szCs w:val="21"/>
              </w:rPr>
              <w:t>施工期噪声主要来自压裂设备安装噪声</w:t>
            </w:r>
            <w:r>
              <w:rPr>
                <w:szCs w:val="21"/>
              </w:rPr>
              <w:t>及运输车辆进出场地产生的噪声。施工期主要噪声设备下表。</w:t>
            </w:r>
          </w:p>
          <w:p>
            <w:pPr>
              <w:pStyle w:val="19"/>
              <w:tabs>
                <w:tab w:val="left" w:pos="0"/>
                <w:tab w:val="left" w:pos="833"/>
              </w:tabs>
              <w:snapToGrid/>
              <w:spacing w:before="0" w:after="0" w:line="360" w:lineRule="auto"/>
              <w:ind w:right="0"/>
              <w:contextualSpacing/>
              <w:jc w:val="center"/>
              <w:rPr>
                <w:b/>
                <w:sz w:val="21"/>
                <w:szCs w:val="21"/>
              </w:rPr>
            </w:pPr>
            <w:r>
              <w:rPr>
                <w:b/>
                <w:sz w:val="21"/>
                <w:szCs w:val="21"/>
              </w:rPr>
              <w:t>表4-1施工期主要噪声源特性</w:t>
            </w:r>
          </w:p>
          <w:tbl>
            <w:tblPr>
              <w:tblStyle w:val="42"/>
              <w:tblW w:w="82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2"/>
              <w:gridCol w:w="1147"/>
              <w:gridCol w:w="549"/>
              <w:gridCol w:w="560"/>
              <w:gridCol w:w="700"/>
              <w:gridCol w:w="561"/>
              <w:gridCol w:w="1820"/>
              <w:gridCol w:w="1148"/>
              <w:gridCol w:w="10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blHeader/>
                <w:jc w:val="center"/>
              </w:trPr>
              <w:tc>
                <w:tcPr>
                  <w:tcW w:w="672" w:type="dxa"/>
                  <w:vMerge w:val="restart"/>
                  <w:vAlign w:val="center"/>
                </w:tcPr>
                <w:p>
                  <w:pPr>
                    <w:contextualSpacing/>
                    <w:jc w:val="center"/>
                    <w:rPr>
                      <w:szCs w:val="21"/>
                    </w:rPr>
                  </w:pPr>
                  <w:r>
                    <w:rPr>
                      <w:kern w:val="0"/>
                      <w:szCs w:val="21"/>
                    </w:rPr>
                    <w:t>序号</w:t>
                  </w:r>
                </w:p>
              </w:tc>
              <w:tc>
                <w:tcPr>
                  <w:tcW w:w="1147" w:type="dxa"/>
                  <w:vMerge w:val="restart"/>
                  <w:vAlign w:val="center"/>
                </w:tcPr>
                <w:p>
                  <w:pPr>
                    <w:contextualSpacing/>
                    <w:jc w:val="center"/>
                    <w:rPr>
                      <w:szCs w:val="21"/>
                    </w:rPr>
                  </w:pPr>
                  <w:r>
                    <w:rPr>
                      <w:kern w:val="0"/>
                      <w:szCs w:val="21"/>
                    </w:rPr>
                    <w:t>声源名称</w:t>
                  </w:r>
                </w:p>
              </w:tc>
              <w:tc>
                <w:tcPr>
                  <w:tcW w:w="549" w:type="dxa"/>
                  <w:vMerge w:val="restart"/>
                  <w:vAlign w:val="center"/>
                </w:tcPr>
                <w:p>
                  <w:pPr>
                    <w:contextualSpacing/>
                    <w:jc w:val="center"/>
                    <w:rPr>
                      <w:kern w:val="0"/>
                      <w:szCs w:val="21"/>
                    </w:rPr>
                  </w:pPr>
                  <w:r>
                    <w:rPr>
                      <w:kern w:val="0"/>
                      <w:szCs w:val="21"/>
                    </w:rPr>
                    <w:t>型号</w:t>
                  </w:r>
                </w:p>
              </w:tc>
              <w:tc>
                <w:tcPr>
                  <w:tcW w:w="1821" w:type="dxa"/>
                  <w:gridSpan w:val="3"/>
                  <w:vAlign w:val="center"/>
                </w:tcPr>
                <w:p>
                  <w:pPr>
                    <w:contextualSpacing/>
                    <w:jc w:val="center"/>
                    <w:rPr>
                      <w:kern w:val="0"/>
                      <w:szCs w:val="21"/>
                    </w:rPr>
                  </w:pPr>
                  <w:r>
                    <w:rPr>
                      <w:kern w:val="0"/>
                      <w:szCs w:val="21"/>
                    </w:rPr>
                    <w:t>空间相对位置/m</w:t>
                  </w:r>
                </w:p>
              </w:tc>
              <w:tc>
                <w:tcPr>
                  <w:tcW w:w="1820" w:type="dxa"/>
                  <w:vMerge w:val="restart"/>
                  <w:vAlign w:val="center"/>
                </w:tcPr>
                <w:p>
                  <w:pPr>
                    <w:contextualSpacing/>
                    <w:jc w:val="center"/>
                    <w:rPr>
                      <w:kern w:val="0"/>
                      <w:szCs w:val="21"/>
                    </w:rPr>
                  </w:pPr>
                  <w:r>
                    <w:rPr>
                      <w:kern w:val="0"/>
                      <w:szCs w:val="21"/>
                    </w:rPr>
                    <w:t>声源源强</w:t>
                  </w:r>
                </w:p>
                <w:p>
                  <w:pPr>
                    <w:contextualSpacing/>
                    <w:jc w:val="center"/>
                    <w:rPr>
                      <w:szCs w:val="21"/>
                    </w:rPr>
                  </w:pPr>
                  <w:r>
                    <w:rPr>
                      <w:kern w:val="0"/>
                      <w:szCs w:val="21"/>
                    </w:rPr>
                    <w:t>（声压级/距声源距离）/（dB(A)/m）</w:t>
                  </w:r>
                </w:p>
              </w:tc>
              <w:tc>
                <w:tcPr>
                  <w:tcW w:w="1148" w:type="dxa"/>
                  <w:vMerge w:val="restart"/>
                  <w:vAlign w:val="center"/>
                </w:tcPr>
                <w:p>
                  <w:pPr>
                    <w:contextualSpacing/>
                    <w:jc w:val="center"/>
                    <w:rPr>
                      <w:szCs w:val="21"/>
                    </w:rPr>
                  </w:pPr>
                  <w:r>
                    <w:rPr>
                      <w:szCs w:val="21"/>
                    </w:rPr>
                    <w:t>声源控制措施</w:t>
                  </w:r>
                </w:p>
              </w:tc>
              <w:tc>
                <w:tcPr>
                  <w:tcW w:w="1081" w:type="dxa"/>
                  <w:vMerge w:val="restart"/>
                  <w:vAlign w:val="center"/>
                </w:tcPr>
                <w:p>
                  <w:pPr>
                    <w:contextualSpacing/>
                    <w:jc w:val="center"/>
                    <w:rPr>
                      <w:szCs w:val="21"/>
                    </w:rPr>
                  </w:pPr>
                  <w:r>
                    <w:rPr>
                      <w:kern w:val="0"/>
                      <w:szCs w:val="21"/>
                    </w:rPr>
                    <w:t>运行时间(h)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blHeader/>
                <w:jc w:val="center"/>
              </w:trPr>
              <w:tc>
                <w:tcPr>
                  <w:tcW w:w="672" w:type="dxa"/>
                  <w:vMerge w:val="continue"/>
                  <w:vAlign w:val="center"/>
                </w:tcPr>
                <w:p>
                  <w:pPr>
                    <w:contextualSpacing/>
                    <w:jc w:val="center"/>
                    <w:rPr>
                      <w:kern w:val="0"/>
                      <w:szCs w:val="21"/>
                    </w:rPr>
                  </w:pPr>
                </w:p>
              </w:tc>
              <w:tc>
                <w:tcPr>
                  <w:tcW w:w="1147" w:type="dxa"/>
                  <w:vMerge w:val="continue"/>
                  <w:vAlign w:val="center"/>
                </w:tcPr>
                <w:p>
                  <w:pPr>
                    <w:contextualSpacing/>
                    <w:jc w:val="center"/>
                    <w:rPr>
                      <w:kern w:val="0"/>
                      <w:szCs w:val="21"/>
                    </w:rPr>
                  </w:pPr>
                </w:p>
              </w:tc>
              <w:tc>
                <w:tcPr>
                  <w:tcW w:w="549" w:type="dxa"/>
                  <w:vMerge w:val="continue"/>
                  <w:vAlign w:val="center"/>
                </w:tcPr>
                <w:p>
                  <w:pPr>
                    <w:contextualSpacing/>
                    <w:jc w:val="center"/>
                    <w:rPr>
                      <w:kern w:val="0"/>
                      <w:szCs w:val="21"/>
                    </w:rPr>
                  </w:pPr>
                </w:p>
              </w:tc>
              <w:tc>
                <w:tcPr>
                  <w:tcW w:w="560" w:type="dxa"/>
                  <w:vAlign w:val="center"/>
                </w:tcPr>
                <w:p>
                  <w:pPr>
                    <w:contextualSpacing/>
                    <w:jc w:val="center"/>
                    <w:rPr>
                      <w:szCs w:val="21"/>
                    </w:rPr>
                  </w:pPr>
                  <w:r>
                    <w:rPr>
                      <w:szCs w:val="21"/>
                    </w:rPr>
                    <w:t>X</w:t>
                  </w:r>
                </w:p>
              </w:tc>
              <w:tc>
                <w:tcPr>
                  <w:tcW w:w="700" w:type="dxa"/>
                  <w:vAlign w:val="center"/>
                </w:tcPr>
                <w:p>
                  <w:pPr>
                    <w:contextualSpacing/>
                    <w:jc w:val="center"/>
                    <w:rPr>
                      <w:szCs w:val="21"/>
                    </w:rPr>
                  </w:pPr>
                  <w:r>
                    <w:rPr>
                      <w:szCs w:val="21"/>
                    </w:rPr>
                    <w:t>Y</w:t>
                  </w:r>
                </w:p>
              </w:tc>
              <w:tc>
                <w:tcPr>
                  <w:tcW w:w="561" w:type="dxa"/>
                  <w:vAlign w:val="center"/>
                </w:tcPr>
                <w:p>
                  <w:pPr>
                    <w:contextualSpacing/>
                    <w:jc w:val="center"/>
                    <w:rPr>
                      <w:kern w:val="0"/>
                      <w:szCs w:val="21"/>
                    </w:rPr>
                  </w:pPr>
                  <w:r>
                    <w:rPr>
                      <w:kern w:val="0"/>
                      <w:szCs w:val="21"/>
                    </w:rPr>
                    <w:t>Z</w:t>
                  </w:r>
                </w:p>
              </w:tc>
              <w:tc>
                <w:tcPr>
                  <w:tcW w:w="1820" w:type="dxa"/>
                  <w:vMerge w:val="continue"/>
                  <w:vAlign w:val="center"/>
                </w:tcPr>
                <w:p>
                  <w:pPr>
                    <w:contextualSpacing/>
                    <w:jc w:val="center"/>
                    <w:rPr>
                      <w:kern w:val="0"/>
                      <w:szCs w:val="21"/>
                    </w:rPr>
                  </w:pPr>
                </w:p>
              </w:tc>
              <w:tc>
                <w:tcPr>
                  <w:tcW w:w="1148" w:type="dxa"/>
                  <w:vMerge w:val="continue"/>
                  <w:vAlign w:val="center"/>
                </w:tcPr>
                <w:p>
                  <w:pPr>
                    <w:contextualSpacing/>
                    <w:jc w:val="center"/>
                    <w:rPr>
                      <w:kern w:val="0"/>
                      <w:szCs w:val="21"/>
                    </w:rPr>
                  </w:pPr>
                </w:p>
              </w:tc>
              <w:tc>
                <w:tcPr>
                  <w:tcW w:w="1081" w:type="dxa"/>
                  <w:vMerge w:val="continue"/>
                  <w:vAlign w:val="center"/>
                </w:tcPr>
                <w:p>
                  <w:pPr>
                    <w:contextualSpacing/>
                    <w:jc w:val="center"/>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672" w:type="dxa"/>
                  <w:vAlign w:val="center"/>
                </w:tcPr>
                <w:p>
                  <w:pPr>
                    <w:contextualSpacing/>
                    <w:jc w:val="center"/>
                    <w:rPr>
                      <w:szCs w:val="21"/>
                    </w:rPr>
                  </w:pPr>
                  <w:r>
                    <w:rPr>
                      <w:kern w:val="0"/>
                      <w:szCs w:val="21"/>
                    </w:rPr>
                    <w:t>1</w:t>
                  </w:r>
                </w:p>
              </w:tc>
              <w:tc>
                <w:tcPr>
                  <w:tcW w:w="1147" w:type="dxa"/>
                  <w:vAlign w:val="center"/>
                </w:tcPr>
                <w:p>
                  <w:pPr>
                    <w:contextualSpacing/>
                    <w:jc w:val="center"/>
                    <w:rPr>
                      <w:szCs w:val="21"/>
                    </w:rPr>
                  </w:pPr>
                  <w:r>
                    <w:rPr>
                      <w:kern w:val="0"/>
                      <w:szCs w:val="21"/>
                    </w:rPr>
                    <w:t>载重汽车</w:t>
                  </w:r>
                </w:p>
              </w:tc>
              <w:tc>
                <w:tcPr>
                  <w:tcW w:w="549" w:type="dxa"/>
                  <w:vAlign w:val="center"/>
                </w:tcPr>
                <w:p>
                  <w:pPr>
                    <w:contextualSpacing/>
                    <w:jc w:val="center"/>
                    <w:rPr>
                      <w:kern w:val="0"/>
                      <w:szCs w:val="21"/>
                    </w:rPr>
                  </w:pPr>
                  <w:r>
                    <w:rPr>
                      <w:kern w:val="0"/>
                      <w:szCs w:val="21"/>
                    </w:rPr>
                    <w:t>/</w:t>
                  </w:r>
                </w:p>
              </w:tc>
              <w:tc>
                <w:tcPr>
                  <w:tcW w:w="560" w:type="dxa"/>
                  <w:vAlign w:val="center"/>
                </w:tcPr>
                <w:p>
                  <w:pPr>
                    <w:contextualSpacing/>
                    <w:jc w:val="center"/>
                    <w:rPr>
                      <w:szCs w:val="21"/>
                    </w:rPr>
                  </w:pPr>
                  <w:r>
                    <w:rPr>
                      <w:szCs w:val="21"/>
                    </w:rPr>
                    <w:t>/</w:t>
                  </w:r>
                </w:p>
              </w:tc>
              <w:tc>
                <w:tcPr>
                  <w:tcW w:w="700" w:type="dxa"/>
                  <w:vAlign w:val="center"/>
                </w:tcPr>
                <w:p>
                  <w:pPr>
                    <w:contextualSpacing/>
                    <w:jc w:val="center"/>
                    <w:rPr>
                      <w:szCs w:val="21"/>
                    </w:rPr>
                  </w:pPr>
                  <w:r>
                    <w:rPr>
                      <w:szCs w:val="21"/>
                    </w:rPr>
                    <w:t>/</w:t>
                  </w:r>
                </w:p>
              </w:tc>
              <w:tc>
                <w:tcPr>
                  <w:tcW w:w="561" w:type="dxa"/>
                  <w:vAlign w:val="center"/>
                </w:tcPr>
                <w:p>
                  <w:pPr>
                    <w:contextualSpacing/>
                    <w:jc w:val="center"/>
                    <w:rPr>
                      <w:kern w:val="0"/>
                      <w:szCs w:val="21"/>
                    </w:rPr>
                  </w:pPr>
                  <w:r>
                    <w:rPr>
                      <w:kern w:val="0"/>
                      <w:szCs w:val="21"/>
                    </w:rPr>
                    <w:t>1.5</w:t>
                  </w:r>
                </w:p>
              </w:tc>
              <w:tc>
                <w:tcPr>
                  <w:tcW w:w="1820" w:type="dxa"/>
                  <w:vAlign w:val="center"/>
                </w:tcPr>
                <w:p>
                  <w:pPr>
                    <w:contextualSpacing/>
                    <w:jc w:val="center"/>
                    <w:rPr>
                      <w:szCs w:val="21"/>
                    </w:rPr>
                  </w:pPr>
                  <w:r>
                    <w:rPr>
                      <w:kern w:val="0"/>
                      <w:szCs w:val="21"/>
                    </w:rPr>
                    <w:t>82/1</w:t>
                  </w:r>
                </w:p>
              </w:tc>
              <w:tc>
                <w:tcPr>
                  <w:tcW w:w="1148" w:type="dxa"/>
                  <w:vAlign w:val="center"/>
                </w:tcPr>
                <w:p>
                  <w:pPr>
                    <w:contextualSpacing/>
                    <w:jc w:val="center"/>
                    <w:rPr>
                      <w:szCs w:val="21"/>
                    </w:rPr>
                  </w:pPr>
                  <w:r>
                    <w:rPr>
                      <w:szCs w:val="21"/>
                    </w:rPr>
                    <w:t>/</w:t>
                  </w:r>
                </w:p>
              </w:tc>
              <w:tc>
                <w:tcPr>
                  <w:tcW w:w="1081" w:type="dxa"/>
                  <w:vAlign w:val="center"/>
                </w:tcPr>
                <w:p>
                  <w:pPr>
                    <w:contextualSpacing/>
                    <w:jc w:val="center"/>
                    <w:rPr>
                      <w:szCs w:val="21"/>
                    </w:rPr>
                  </w:pPr>
                  <w:r>
                    <w:rPr>
                      <w:kern w:val="0"/>
                      <w:szCs w:val="21"/>
                    </w:rPr>
                    <w:t>间断，&lt;4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672" w:type="dxa"/>
                  <w:vAlign w:val="center"/>
                </w:tcPr>
                <w:p>
                  <w:pPr>
                    <w:contextualSpacing/>
                    <w:jc w:val="center"/>
                    <w:rPr>
                      <w:kern w:val="0"/>
                      <w:szCs w:val="21"/>
                    </w:rPr>
                  </w:pPr>
                  <w:r>
                    <w:rPr>
                      <w:rFonts w:hint="eastAsia"/>
                      <w:kern w:val="0"/>
                      <w:szCs w:val="21"/>
                    </w:rPr>
                    <w:t>2</w:t>
                  </w:r>
                </w:p>
              </w:tc>
              <w:tc>
                <w:tcPr>
                  <w:tcW w:w="1147" w:type="dxa"/>
                  <w:vAlign w:val="center"/>
                </w:tcPr>
                <w:p>
                  <w:pPr>
                    <w:contextualSpacing/>
                    <w:jc w:val="center"/>
                    <w:rPr>
                      <w:kern w:val="0"/>
                      <w:szCs w:val="21"/>
                    </w:rPr>
                  </w:pPr>
                  <w:r>
                    <w:rPr>
                      <w:rFonts w:hint="eastAsia"/>
                      <w:kern w:val="0"/>
                      <w:szCs w:val="21"/>
                    </w:rPr>
                    <w:t>推土机</w:t>
                  </w:r>
                </w:p>
              </w:tc>
              <w:tc>
                <w:tcPr>
                  <w:tcW w:w="549" w:type="dxa"/>
                  <w:vAlign w:val="center"/>
                </w:tcPr>
                <w:p>
                  <w:pPr>
                    <w:contextualSpacing/>
                    <w:jc w:val="center"/>
                    <w:rPr>
                      <w:kern w:val="0"/>
                      <w:szCs w:val="21"/>
                    </w:rPr>
                  </w:pPr>
                  <w:r>
                    <w:rPr>
                      <w:rFonts w:hint="eastAsia"/>
                      <w:kern w:val="0"/>
                      <w:szCs w:val="21"/>
                    </w:rPr>
                    <w:t>/</w:t>
                  </w:r>
                </w:p>
              </w:tc>
              <w:tc>
                <w:tcPr>
                  <w:tcW w:w="560" w:type="dxa"/>
                  <w:vAlign w:val="center"/>
                </w:tcPr>
                <w:p>
                  <w:pPr>
                    <w:contextualSpacing/>
                    <w:jc w:val="center"/>
                    <w:rPr>
                      <w:szCs w:val="21"/>
                    </w:rPr>
                  </w:pPr>
                  <w:r>
                    <w:rPr>
                      <w:rFonts w:hint="eastAsia"/>
                      <w:szCs w:val="21"/>
                    </w:rPr>
                    <w:t>/</w:t>
                  </w:r>
                </w:p>
              </w:tc>
              <w:tc>
                <w:tcPr>
                  <w:tcW w:w="700" w:type="dxa"/>
                  <w:vAlign w:val="center"/>
                </w:tcPr>
                <w:p>
                  <w:pPr>
                    <w:contextualSpacing/>
                    <w:jc w:val="center"/>
                    <w:rPr>
                      <w:szCs w:val="21"/>
                    </w:rPr>
                  </w:pPr>
                  <w:r>
                    <w:rPr>
                      <w:rFonts w:hint="eastAsia"/>
                      <w:szCs w:val="21"/>
                    </w:rPr>
                    <w:t>/</w:t>
                  </w:r>
                </w:p>
              </w:tc>
              <w:tc>
                <w:tcPr>
                  <w:tcW w:w="561" w:type="dxa"/>
                  <w:vAlign w:val="center"/>
                </w:tcPr>
                <w:p>
                  <w:pPr>
                    <w:contextualSpacing/>
                    <w:jc w:val="center"/>
                    <w:rPr>
                      <w:kern w:val="0"/>
                      <w:szCs w:val="21"/>
                    </w:rPr>
                  </w:pPr>
                  <w:r>
                    <w:rPr>
                      <w:rFonts w:hint="eastAsia"/>
                      <w:kern w:val="0"/>
                      <w:szCs w:val="21"/>
                    </w:rPr>
                    <w:t>1.5</w:t>
                  </w:r>
                </w:p>
              </w:tc>
              <w:tc>
                <w:tcPr>
                  <w:tcW w:w="1820" w:type="dxa"/>
                  <w:vAlign w:val="center"/>
                </w:tcPr>
                <w:p>
                  <w:pPr>
                    <w:contextualSpacing/>
                    <w:jc w:val="center"/>
                    <w:rPr>
                      <w:kern w:val="0"/>
                      <w:szCs w:val="21"/>
                    </w:rPr>
                  </w:pPr>
                  <w:r>
                    <w:rPr>
                      <w:rFonts w:hint="eastAsia"/>
                      <w:kern w:val="0"/>
                      <w:szCs w:val="21"/>
                    </w:rPr>
                    <w:t>84/1</w:t>
                  </w:r>
                </w:p>
              </w:tc>
              <w:tc>
                <w:tcPr>
                  <w:tcW w:w="1148" w:type="dxa"/>
                  <w:vAlign w:val="center"/>
                </w:tcPr>
                <w:p>
                  <w:pPr>
                    <w:contextualSpacing/>
                    <w:jc w:val="center"/>
                    <w:rPr>
                      <w:szCs w:val="21"/>
                    </w:rPr>
                  </w:pPr>
                  <w:r>
                    <w:rPr>
                      <w:szCs w:val="21"/>
                    </w:rPr>
                    <w:t>/</w:t>
                  </w:r>
                </w:p>
              </w:tc>
              <w:tc>
                <w:tcPr>
                  <w:tcW w:w="1081" w:type="dxa"/>
                  <w:vAlign w:val="center"/>
                </w:tcPr>
                <w:p>
                  <w:pPr>
                    <w:contextualSpacing/>
                    <w:jc w:val="center"/>
                    <w:rPr>
                      <w:szCs w:val="21"/>
                    </w:rPr>
                  </w:pPr>
                  <w:r>
                    <w:rPr>
                      <w:kern w:val="0"/>
                      <w:szCs w:val="21"/>
                    </w:rPr>
                    <w:t>间断，&lt;4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672" w:type="dxa"/>
                  <w:vAlign w:val="center"/>
                </w:tcPr>
                <w:p>
                  <w:pPr>
                    <w:contextualSpacing/>
                    <w:jc w:val="center"/>
                    <w:rPr>
                      <w:kern w:val="0"/>
                      <w:szCs w:val="21"/>
                    </w:rPr>
                  </w:pPr>
                  <w:r>
                    <w:rPr>
                      <w:rFonts w:hint="eastAsia"/>
                      <w:kern w:val="0"/>
                      <w:szCs w:val="21"/>
                    </w:rPr>
                    <w:t>3</w:t>
                  </w:r>
                </w:p>
              </w:tc>
              <w:tc>
                <w:tcPr>
                  <w:tcW w:w="1147" w:type="dxa"/>
                  <w:vAlign w:val="center"/>
                </w:tcPr>
                <w:p>
                  <w:pPr>
                    <w:contextualSpacing/>
                    <w:jc w:val="center"/>
                    <w:rPr>
                      <w:kern w:val="0"/>
                      <w:szCs w:val="21"/>
                    </w:rPr>
                  </w:pPr>
                  <w:r>
                    <w:rPr>
                      <w:rFonts w:hint="eastAsia"/>
                      <w:kern w:val="0"/>
                      <w:szCs w:val="21"/>
                    </w:rPr>
                    <w:t>挖掘</w:t>
                  </w:r>
                  <w:r>
                    <w:rPr>
                      <w:kern w:val="0"/>
                      <w:szCs w:val="21"/>
                    </w:rPr>
                    <w:t>机</w:t>
                  </w:r>
                </w:p>
              </w:tc>
              <w:tc>
                <w:tcPr>
                  <w:tcW w:w="549" w:type="dxa"/>
                  <w:vAlign w:val="center"/>
                </w:tcPr>
                <w:p>
                  <w:pPr>
                    <w:contextualSpacing/>
                    <w:jc w:val="center"/>
                    <w:rPr>
                      <w:kern w:val="0"/>
                      <w:szCs w:val="21"/>
                    </w:rPr>
                  </w:pPr>
                  <w:r>
                    <w:rPr>
                      <w:rFonts w:hint="eastAsia"/>
                      <w:kern w:val="0"/>
                      <w:szCs w:val="21"/>
                    </w:rPr>
                    <w:t>/</w:t>
                  </w:r>
                </w:p>
              </w:tc>
              <w:tc>
                <w:tcPr>
                  <w:tcW w:w="560" w:type="dxa"/>
                  <w:vAlign w:val="center"/>
                </w:tcPr>
                <w:p>
                  <w:pPr>
                    <w:contextualSpacing/>
                    <w:jc w:val="center"/>
                    <w:rPr>
                      <w:szCs w:val="21"/>
                    </w:rPr>
                  </w:pPr>
                  <w:r>
                    <w:rPr>
                      <w:rFonts w:hint="eastAsia"/>
                      <w:szCs w:val="21"/>
                    </w:rPr>
                    <w:t>/</w:t>
                  </w:r>
                </w:p>
              </w:tc>
              <w:tc>
                <w:tcPr>
                  <w:tcW w:w="700" w:type="dxa"/>
                  <w:vAlign w:val="center"/>
                </w:tcPr>
                <w:p>
                  <w:pPr>
                    <w:contextualSpacing/>
                    <w:jc w:val="center"/>
                    <w:rPr>
                      <w:szCs w:val="21"/>
                    </w:rPr>
                  </w:pPr>
                  <w:r>
                    <w:rPr>
                      <w:rFonts w:hint="eastAsia"/>
                      <w:szCs w:val="21"/>
                    </w:rPr>
                    <w:t>/</w:t>
                  </w:r>
                </w:p>
              </w:tc>
              <w:tc>
                <w:tcPr>
                  <w:tcW w:w="561" w:type="dxa"/>
                  <w:vAlign w:val="center"/>
                </w:tcPr>
                <w:p>
                  <w:pPr>
                    <w:contextualSpacing/>
                    <w:jc w:val="center"/>
                    <w:rPr>
                      <w:kern w:val="0"/>
                      <w:szCs w:val="21"/>
                    </w:rPr>
                  </w:pPr>
                  <w:r>
                    <w:rPr>
                      <w:rFonts w:hint="eastAsia"/>
                      <w:kern w:val="0"/>
                      <w:szCs w:val="21"/>
                    </w:rPr>
                    <w:t>1.5</w:t>
                  </w:r>
                </w:p>
              </w:tc>
              <w:tc>
                <w:tcPr>
                  <w:tcW w:w="1820" w:type="dxa"/>
                  <w:vAlign w:val="center"/>
                </w:tcPr>
                <w:p>
                  <w:pPr>
                    <w:contextualSpacing/>
                    <w:jc w:val="center"/>
                    <w:rPr>
                      <w:kern w:val="0"/>
                      <w:szCs w:val="21"/>
                    </w:rPr>
                  </w:pPr>
                  <w:r>
                    <w:rPr>
                      <w:rFonts w:hint="eastAsia"/>
                      <w:kern w:val="0"/>
                      <w:szCs w:val="21"/>
                    </w:rPr>
                    <w:t>8</w:t>
                  </w:r>
                  <w:r>
                    <w:rPr>
                      <w:kern w:val="0"/>
                      <w:szCs w:val="21"/>
                    </w:rPr>
                    <w:t>5</w:t>
                  </w:r>
                  <w:r>
                    <w:rPr>
                      <w:rFonts w:hint="eastAsia"/>
                      <w:kern w:val="0"/>
                      <w:szCs w:val="21"/>
                    </w:rPr>
                    <w:t>/1</w:t>
                  </w:r>
                </w:p>
              </w:tc>
              <w:tc>
                <w:tcPr>
                  <w:tcW w:w="1148" w:type="dxa"/>
                  <w:vAlign w:val="center"/>
                </w:tcPr>
                <w:p>
                  <w:pPr>
                    <w:contextualSpacing/>
                    <w:jc w:val="center"/>
                    <w:rPr>
                      <w:szCs w:val="21"/>
                    </w:rPr>
                  </w:pPr>
                  <w:r>
                    <w:rPr>
                      <w:szCs w:val="21"/>
                    </w:rPr>
                    <w:t>/</w:t>
                  </w:r>
                </w:p>
              </w:tc>
              <w:tc>
                <w:tcPr>
                  <w:tcW w:w="1081" w:type="dxa"/>
                  <w:vAlign w:val="center"/>
                </w:tcPr>
                <w:p>
                  <w:pPr>
                    <w:contextualSpacing/>
                    <w:jc w:val="center"/>
                    <w:rPr>
                      <w:szCs w:val="21"/>
                    </w:rPr>
                  </w:pPr>
                  <w:r>
                    <w:rPr>
                      <w:kern w:val="0"/>
                      <w:szCs w:val="21"/>
                    </w:rPr>
                    <w:t>间断，&lt;4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672" w:type="dxa"/>
                  <w:vAlign w:val="center"/>
                </w:tcPr>
                <w:p>
                  <w:pPr>
                    <w:contextualSpacing/>
                    <w:jc w:val="center"/>
                    <w:rPr>
                      <w:kern w:val="0"/>
                      <w:szCs w:val="21"/>
                    </w:rPr>
                  </w:pPr>
                  <w:r>
                    <w:rPr>
                      <w:rFonts w:hint="eastAsia"/>
                      <w:kern w:val="0"/>
                      <w:szCs w:val="21"/>
                    </w:rPr>
                    <w:t>4</w:t>
                  </w:r>
                </w:p>
              </w:tc>
              <w:tc>
                <w:tcPr>
                  <w:tcW w:w="1147" w:type="dxa"/>
                  <w:vAlign w:val="center"/>
                </w:tcPr>
                <w:p>
                  <w:pPr>
                    <w:contextualSpacing/>
                    <w:jc w:val="center"/>
                    <w:rPr>
                      <w:kern w:val="0"/>
                      <w:szCs w:val="21"/>
                    </w:rPr>
                  </w:pPr>
                  <w:r>
                    <w:rPr>
                      <w:rFonts w:hint="eastAsia"/>
                      <w:kern w:val="0"/>
                      <w:szCs w:val="21"/>
                    </w:rPr>
                    <w:t>空压机</w:t>
                  </w:r>
                </w:p>
              </w:tc>
              <w:tc>
                <w:tcPr>
                  <w:tcW w:w="549" w:type="dxa"/>
                  <w:vAlign w:val="center"/>
                </w:tcPr>
                <w:p>
                  <w:pPr>
                    <w:contextualSpacing/>
                    <w:jc w:val="center"/>
                    <w:rPr>
                      <w:kern w:val="0"/>
                      <w:szCs w:val="21"/>
                    </w:rPr>
                  </w:pPr>
                  <w:r>
                    <w:rPr>
                      <w:rFonts w:hint="eastAsia"/>
                      <w:kern w:val="0"/>
                      <w:szCs w:val="21"/>
                    </w:rPr>
                    <w:t>/</w:t>
                  </w:r>
                </w:p>
              </w:tc>
              <w:tc>
                <w:tcPr>
                  <w:tcW w:w="560" w:type="dxa"/>
                  <w:vAlign w:val="center"/>
                </w:tcPr>
                <w:p>
                  <w:pPr>
                    <w:contextualSpacing/>
                    <w:jc w:val="center"/>
                    <w:rPr>
                      <w:szCs w:val="21"/>
                    </w:rPr>
                  </w:pPr>
                  <w:r>
                    <w:rPr>
                      <w:rFonts w:hint="eastAsia"/>
                      <w:szCs w:val="21"/>
                    </w:rPr>
                    <w:t>/</w:t>
                  </w:r>
                </w:p>
              </w:tc>
              <w:tc>
                <w:tcPr>
                  <w:tcW w:w="700" w:type="dxa"/>
                  <w:vAlign w:val="center"/>
                </w:tcPr>
                <w:p>
                  <w:pPr>
                    <w:contextualSpacing/>
                    <w:jc w:val="center"/>
                    <w:rPr>
                      <w:szCs w:val="21"/>
                    </w:rPr>
                  </w:pPr>
                  <w:r>
                    <w:rPr>
                      <w:rFonts w:hint="eastAsia"/>
                      <w:szCs w:val="21"/>
                    </w:rPr>
                    <w:t>/</w:t>
                  </w:r>
                </w:p>
              </w:tc>
              <w:tc>
                <w:tcPr>
                  <w:tcW w:w="561" w:type="dxa"/>
                  <w:vAlign w:val="center"/>
                </w:tcPr>
                <w:p>
                  <w:pPr>
                    <w:contextualSpacing/>
                    <w:jc w:val="center"/>
                    <w:rPr>
                      <w:kern w:val="0"/>
                      <w:szCs w:val="21"/>
                    </w:rPr>
                  </w:pPr>
                  <w:r>
                    <w:rPr>
                      <w:rFonts w:hint="eastAsia"/>
                      <w:kern w:val="0"/>
                      <w:szCs w:val="21"/>
                    </w:rPr>
                    <w:t>1.5</w:t>
                  </w:r>
                </w:p>
              </w:tc>
              <w:tc>
                <w:tcPr>
                  <w:tcW w:w="1820" w:type="dxa"/>
                  <w:vAlign w:val="center"/>
                </w:tcPr>
                <w:p>
                  <w:pPr>
                    <w:contextualSpacing/>
                    <w:jc w:val="center"/>
                    <w:rPr>
                      <w:kern w:val="0"/>
                      <w:szCs w:val="21"/>
                    </w:rPr>
                  </w:pPr>
                  <w:r>
                    <w:rPr>
                      <w:rFonts w:hint="eastAsia"/>
                      <w:kern w:val="0"/>
                      <w:szCs w:val="21"/>
                    </w:rPr>
                    <w:t>85/1</w:t>
                  </w:r>
                </w:p>
              </w:tc>
              <w:tc>
                <w:tcPr>
                  <w:tcW w:w="1148" w:type="dxa"/>
                  <w:vAlign w:val="center"/>
                </w:tcPr>
                <w:p>
                  <w:pPr>
                    <w:contextualSpacing/>
                    <w:jc w:val="center"/>
                    <w:rPr>
                      <w:szCs w:val="21"/>
                    </w:rPr>
                  </w:pPr>
                  <w:r>
                    <w:rPr>
                      <w:szCs w:val="21"/>
                    </w:rPr>
                    <w:t>/</w:t>
                  </w:r>
                </w:p>
              </w:tc>
              <w:tc>
                <w:tcPr>
                  <w:tcW w:w="1081" w:type="dxa"/>
                  <w:vAlign w:val="center"/>
                </w:tcPr>
                <w:p>
                  <w:pPr>
                    <w:contextualSpacing/>
                    <w:jc w:val="center"/>
                    <w:rPr>
                      <w:szCs w:val="21"/>
                    </w:rPr>
                  </w:pPr>
                  <w:r>
                    <w:rPr>
                      <w:kern w:val="0"/>
                      <w:szCs w:val="21"/>
                    </w:rPr>
                    <w:t>间断，&lt;4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672" w:type="dxa"/>
                  <w:vAlign w:val="center"/>
                </w:tcPr>
                <w:p>
                  <w:pPr>
                    <w:contextualSpacing/>
                    <w:jc w:val="center"/>
                    <w:rPr>
                      <w:kern w:val="0"/>
                      <w:szCs w:val="21"/>
                    </w:rPr>
                  </w:pPr>
                  <w:r>
                    <w:rPr>
                      <w:rFonts w:hint="eastAsia"/>
                      <w:kern w:val="0"/>
                      <w:szCs w:val="21"/>
                    </w:rPr>
                    <w:t>5</w:t>
                  </w:r>
                </w:p>
              </w:tc>
              <w:tc>
                <w:tcPr>
                  <w:tcW w:w="1147" w:type="dxa"/>
                  <w:vAlign w:val="center"/>
                </w:tcPr>
                <w:p>
                  <w:pPr>
                    <w:contextualSpacing/>
                    <w:jc w:val="center"/>
                    <w:rPr>
                      <w:kern w:val="0"/>
                      <w:szCs w:val="21"/>
                    </w:rPr>
                  </w:pPr>
                  <w:r>
                    <w:rPr>
                      <w:rFonts w:hint="eastAsia"/>
                      <w:kern w:val="0"/>
                      <w:szCs w:val="21"/>
                    </w:rPr>
                    <w:t>柴油</w:t>
                  </w:r>
                  <w:r>
                    <w:rPr>
                      <w:kern w:val="0"/>
                      <w:szCs w:val="21"/>
                    </w:rPr>
                    <w:t>机</w:t>
                  </w:r>
                </w:p>
              </w:tc>
              <w:tc>
                <w:tcPr>
                  <w:tcW w:w="549" w:type="dxa"/>
                  <w:vAlign w:val="center"/>
                </w:tcPr>
                <w:p>
                  <w:pPr>
                    <w:contextualSpacing/>
                    <w:jc w:val="center"/>
                    <w:rPr>
                      <w:kern w:val="0"/>
                      <w:szCs w:val="21"/>
                    </w:rPr>
                  </w:pPr>
                  <w:r>
                    <w:rPr>
                      <w:rFonts w:hint="eastAsia"/>
                      <w:kern w:val="0"/>
                      <w:szCs w:val="21"/>
                    </w:rPr>
                    <w:t>/</w:t>
                  </w:r>
                </w:p>
              </w:tc>
              <w:tc>
                <w:tcPr>
                  <w:tcW w:w="560" w:type="dxa"/>
                  <w:vAlign w:val="center"/>
                </w:tcPr>
                <w:p>
                  <w:pPr>
                    <w:contextualSpacing/>
                    <w:jc w:val="center"/>
                    <w:rPr>
                      <w:szCs w:val="21"/>
                    </w:rPr>
                  </w:pPr>
                  <w:r>
                    <w:rPr>
                      <w:rFonts w:hint="eastAsia"/>
                      <w:szCs w:val="21"/>
                    </w:rPr>
                    <w:t>/</w:t>
                  </w:r>
                </w:p>
              </w:tc>
              <w:tc>
                <w:tcPr>
                  <w:tcW w:w="700" w:type="dxa"/>
                  <w:vAlign w:val="center"/>
                </w:tcPr>
                <w:p>
                  <w:pPr>
                    <w:contextualSpacing/>
                    <w:jc w:val="center"/>
                    <w:rPr>
                      <w:szCs w:val="21"/>
                    </w:rPr>
                  </w:pPr>
                  <w:r>
                    <w:rPr>
                      <w:rFonts w:hint="eastAsia"/>
                      <w:szCs w:val="21"/>
                    </w:rPr>
                    <w:t>/</w:t>
                  </w:r>
                </w:p>
              </w:tc>
              <w:tc>
                <w:tcPr>
                  <w:tcW w:w="561" w:type="dxa"/>
                  <w:vAlign w:val="center"/>
                </w:tcPr>
                <w:p>
                  <w:pPr>
                    <w:contextualSpacing/>
                    <w:jc w:val="center"/>
                    <w:rPr>
                      <w:kern w:val="0"/>
                      <w:szCs w:val="21"/>
                    </w:rPr>
                  </w:pPr>
                  <w:r>
                    <w:rPr>
                      <w:rFonts w:hint="eastAsia"/>
                      <w:kern w:val="0"/>
                      <w:szCs w:val="21"/>
                    </w:rPr>
                    <w:t>1.5</w:t>
                  </w:r>
                </w:p>
              </w:tc>
              <w:tc>
                <w:tcPr>
                  <w:tcW w:w="1820" w:type="dxa"/>
                  <w:vAlign w:val="center"/>
                </w:tcPr>
                <w:p>
                  <w:pPr>
                    <w:contextualSpacing/>
                    <w:jc w:val="center"/>
                    <w:rPr>
                      <w:kern w:val="0"/>
                      <w:szCs w:val="21"/>
                    </w:rPr>
                  </w:pPr>
                  <w:r>
                    <w:rPr>
                      <w:rFonts w:hint="eastAsia"/>
                      <w:kern w:val="0"/>
                      <w:szCs w:val="21"/>
                    </w:rPr>
                    <w:t>85/1</w:t>
                  </w:r>
                </w:p>
              </w:tc>
              <w:tc>
                <w:tcPr>
                  <w:tcW w:w="1148" w:type="dxa"/>
                  <w:vAlign w:val="center"/>
                </w:tcPr>
                <w:p>
                  <w:pPr>
                    <w:contextualSpacing/>
                    <w:jc w:val="center"/>
                    <w:rPr>
                      <w:szCs w:val="21"/>
                    </w:rPr>
                  </w:pPr>
                  <w:r>
                    <w:rPr>
                      <w:szCs w:val="21"/>
                    </w:rPr>
                    <w:t>/</w:t>
                  </w:r>
                </w:p>
              </w:tc>
              <w:tc>
                <w:tcPr>
                  <w:tcW w:w="1081" w:type="dxa"/>
                  <w:vAlign w:val="center"/>
                </w:tcPr>
                <w:p>
                  <w:pPr>
                    <w:contextualSpacing/>
                    <w:jc w:val="center"/>
                    <w:rPr>
                      <w:szCs w:val="21"/>
                    </w:rPr>
                  </w:pPr>
                  <w:r>
                    <w:rPr>
                      <w:kern w:val="0"/>
                      <w:szCs w:val="21"/>
                    </w:rPr>
                    <w:t>间断，&lt;4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672" w:type="dxa"/>
                  <w:vAlign w:val="center"/>
                </w:tcPr>
                <w:p>
                  <w:pPr>
                    <w:contextualSpacing/>
                    <w:jc w:val="center"/>
                    <w:rPr>
                      <w:kern w:val="0"/>
                      <w:szCs w:val="21"/>
                    </w:rPr>
                  </w:pPr>
                  <w:r>
                    <w:rPr>
                      <w:rFonts w:hint="eastAsia"/>
                      <w:kern w:val="0"/>
                      <w:szCs w:val="21"/>
                    </w:rPr>
                    <w:t>6</w:t>
                  </w:r>
                </w:p>
              </w:tc>
              <w:tc>
                <w:tcPr>
                  <w:tcW w:w="1147" w:type="dxa"/>
                  <w:vAlign w:val="center"/>
                </w:tcPr>
                <w:p>
                  <w:pPr>
                    <w:contextualSpacing/>
                    <w:jc w:val="center"/>
                    <w:rPr>
                      <w:kern w:val="0"/>
                      <w:szCs w:val="21"/>
                    </w:rPr>
                  </w:pPr>
                  <w:r>
                    <w:rPr>
                      <w:rFonts w:hint="eastAsia"/>
                      <w:kern w:val="0"/>
                      <w:szCs w:val="21"/>
                    </w:rPr>
                    <w:t>发电机</w:t>
                  </w:r>
                </w:p>
              </w:tc>
              <w:tc>
                <w:tcPr>
                  <w:tcW w:w="549" w:type="dxa"/>
                  <w:vAlign w:val="center"/>
                </w:tcPr>
                <w:p>
                  <w:pPr>
                    <w:contextualSpacing/>
                    <w:jc w:val="center"/>
                    <w:rPr>
                      <w:kern w:val="0"/>
                      <w:szCs w:val="21"/>
                    </w:rPr>
                  </w:pPr>
                  <w:r>
                    <w:rPr>
                      <w:rFonts w:hint="eastAsia"/>
                      <w:kern w:val="0"/>
                      <w:szCs w:val="21"/>
                    </w:rPr>
                    <w:t>/</w:t>
                  </w:r>
                </w:p>
              </w:tc>
              <w:tc>
                <w:tcPr>
                  <w:tcW w:w="560" w:type="dxa"/>
                  <w:vAlign w:val="center"/>
                </w:tcPr>
                <w:p>
                  <w:pPr>
                    <w:contextualSpacing/>
                    <w:jc w:val="center"/>
                    <w:rPr>
                      <w:szCs w:val="21"/>
                    </w:rPr>
                  </w:pPr>
                  <w:r>
                    <w:rPr>
                      <w:rFonts w:hint="eastAsia"/>
                      <w:szCs w:val="21"/>
                    </w:rPr>
                    <w:t>/</w:t>
                  </w:r>
                </w:p>
              </w:tc>
              <w:tc>
                <w:tcPr>
                  <w:tcW w:w="700" w:type="dxa"/>
                  <w:vAlign w:val="center"/>
                </w:tcPr>
                <w:p>
                  <w:pPr>
                    <w:contextualSpacing/>
                    <w:jc w:val="center"/>
                    <w:rPr>
                      <w:szCs w:val="21"/>
                    </w:rPr>
                  </w:pPr>
                  <w:r>
                    <w:rPr>
                      <w:rFonts w:hint="eastAsia"/>
                      <w:szCs w:val="21"/>
                    </w:rPr>
                    <w:t>/</w:t>
                  </w:r>
                </w:p>
              </w:tc>
              <w:tc>
                <w:tcPr>
                  <w:tcW w:w="561" w:type="dxa"/>
                  <w:vAlign w:val="center"/>
                </w:tcPr>
                <w:p>
                  <w:pPr>
                    <w:contextualSpacing/>
                    <w:jc w:val="center"/>
                    <w:rPr>
                      <w:kern w:val="0"/>
                      <w:szCs w:val="21"/>
                    </w:rPr>
                  </w:pPr>
                  <w:r>
                    <w:rPr>
                      <w:rFonts w:hint="eastAsia"/>
                      <w:kern w:val="0"/>
                      <w:szCs w:val="21"/>
                    </w:rPr>
                    <w:t>1.5</w:t>
                  </w:r>
                </w:p>
              </w:tc>
              <w:tc>
                <w:tcPr>
                  <w:tcW w:w="1820" w:type="dxa"/>
                  <w:vAlign w:val="center"/>
                </w:tcPr>
                <w:p>
                  <w:pPr>
                    <w:contextualSpacing/>
                    <w:jc w:val="center"/>
                    <w:rPr>
                      <w:kern w:val="0"/>
                      <w:szCs w:val="21"/>
                    </w:rPr>
                  </w:pPr>
                  <w:r>
                    <w:rPr>
                      <w:rFonts w:hint="eastAsia"/>
                      <w:kern w:val="0"/>
                      <w:szCs w:val="21"/>
                    </w:rPr>
                    <w:t>85/1</w:t>
                  </w:r>
                </w:p>
              </w:tc>
              <w:tc>
                <w:tcPr>
                  <w:tcW w:w="1148" w:type="dxa"/>
                  <w:vAlign w:val="center"/>
                </w:tcPr>
                <w:p>
                  <w:pPr>
                    <w:contextualSpacing/>
                    <w:jc w:val="center"/>
                    <w:rPr>
                      <w:szCs w:val="21"/>
                    </w:rPr>
                  </w:pPr>
                  <w:r>
                    <w:rPr>
                      <w:szCs w:val="21"/>
                    </w:rPr>
                    <w:t>/</w:t>
                  </w:r>
                </w:p>
              </w:tc>
              <w:tc>
                <w:tcPr>
                  <w:tcW w:w="1081" w:type="dxa"/>
                  <w:vAlign w:val="center"/>
                </w:tcPr>
                <w:p>
                  <w:pPr>
                    <w:contextualSpacing/>
                    <w:jc w:val="center"/>
                    <w:rPr>
                      <w:szCs w:val="21"/>
                    </w:rPr>
                  </w:pPr>
                  <w:r>
                    <w:rPr>
                      <w:kern w:val="0"/>
                      <w:szCs w:val="21"/>
                    </w:rPr>
                    <w:t>间断，&lt;4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8238" w:type="dxa"/>
                  <w:gridSpan w:val="9"/>
                  <w:vAlign w:val="center"/>
                </w:tcPr>
                <w:p>
                  <w:pPr>
                    <w:contextualSpacing/>
                    <w:rPr>
                      <w:kern w:val="0"/>
                      <w:szCs w:val="21"/>
                    </w:rPr>
                  </w:pPr>
                  <w:r>
                    <w:rPr>
                      <w:kern w:val="0"/>
                      <w:szCs w:val="21"/>
                    </w:rPr>
                    <w:t>注：以井场中心为原点</w:t>
                  </w:r>
                </w:p>
              </w:tc>
            </w:tr>
          </w:tbl>
          <w:p>
            <w:pPr>
              <w:spacing w:line="360" w:lineRule="auto"/>
              <w:ind w:firstLine="420" w:firstLineChars="200"/>
              <w:rPr>
                <w:szCs w:val="21"/>
              </w:rPr>
            </w:pPr>
          </w:p>
          <w:p>
            <w:pPr>
              <w:spacing w:line="360" w:lineRule="auto"/>
              <w:ind w:firstLine="420" w:firstLineChars="200"/>
              <w:rPr>
                <w:szCs w:val="21"/>
              </w:rPr>
            </w:pPr>
            <w:r>
              <w:rPr>
                <w:rFonts w:hint="eastAsia"/>
                <w:szCs w:val="21"/>
              </w:rPr>
              <w:t>（2）环境</w:t>
            </w:r>
            <w:r>
              <w:rPr>
                <w:szCs w:val="21"/>
              </w:rPr>
              <w:t>影响分析</w:t>
            </w:r>
          </w:p>
          <w:p>
            <w:pPr>
              <w:spacing w:line="360" w:lineRule="auto"/>
              <w:ind w:firstLine="420" w:firstLineChars="200"/>
              <w:contextualSpacing/>
              <w:rPr>
                <w:szCs w:val="21"/>
              </w:rPr>
            </w:pPr>
            <w:r>
              <w:rPr>
                <w:szCs w:val="21"/>
              </w:rPr>
              <w:t>施工噪声可近似视为点声源处理，根据点声源噪声衰减模式，估算出离声源不同距离处的噪声值，预测模式如下：</w:t>
            </w:r>
          </w:p>
          <w:p>
            <w:pPr>
              <w:spacing w:line="360" w:lineRule="auto"/>
              <w:ind w:firstLine="420" w:firstLineChars="200"/>
              <w:contextualSpacing/>
              <w:rPr>
                <w:szCs w:val="21"/>
              </w:rPr>
            </w:pPr>
            <m:oMathPara>
              <m:oMath>
                <m:sSub>
                  <m:sSubPr>
                    <m:ctrlPr>
                      <w:rPr>
                        <w:rFonts w:ascii="Cambria Math" w:hAnsi="Cambria Math"/>
                        <w:szCs w:val="21"/>
                      </w:rPr>
                    </m:ctrlPr>
                  </m:sSubPr>
                  <m:e>
                    <m:r>
                      <m:rPr/>
                      <w:rPr>
                        <w:rFonts w:ascii="Cambria Math" w:hAnsi="Cambria Math"/>
                        <w:szCs w:val="21"/>
                      </w:rPr>
                      <m:t>L</m:t>
                    </m:r>
                    <m:ctrlPr>
                      <w:rPr>
                        <w:rFonts w:ascii="Cambria Math" w:hAnsi="Cambria Math"/>
                        <w:szCs w:val="21"/>
                      </w:rPr>
                    </m:ctrlPr>
                  </m:e>
                  <m:sub>
                    <m:r>
                      <m:rPr/>
                      <w:rPr>
                        <w:rFonts w:ascii="Cambria Math" w:hAnsi="Cambria Math"/>
                        <w:szCs w:val="21"/>
                      </w:rPr>
                      <m:t>p</m:t>
                    </m:r>
                    <m:ctrlPr>
                      <w:rPr>
                        <w:rFonts w:ascii="Cambria Math" w:hAnsi="Cambria Math"/>
                        <w:szCs w:val="21"/>
                      </w:rPr>
                    </m:ctrlPr>
                  </m:sub>
                </m:sSub>
                <m:d>
                  <m:dPr>
                    <m:ctrlPr>
                      <w:rPr>
                        <w:rFonts w:ascii="Cambria Math" w:hAnsi="Cambria Math"/>
                        <w:szCs w:val="21"/>
                      </w:rPr>
                    </m:ctrlPr>
                  </m:dPr>
                  <m:e>
                    <m:r>
                      <m:rPr/>
                      <w:rPr>
                        <w:rFonts w:ascii="Cambria Math" w:hAnsi="Cambria Math"/>
                        <w:szCs w:val="21"/>
                      </w:rPr>
                      <m:t>r</m:t>
                    </m:r>
                    <m:ctrlPr>
                      <w:rPr>
                        <w:rFonts w:ascii="Cambria Math" w:hAnsi="Cambria Math"/>
                        <w:szCs w:val="21"/>
                      </w:rPr>
                    </m:ctrlPr>
                  </m:e>
                </m:d>
                <m:r>
                  <m:rPr/>
                  <w:rPr>
                    <w:rFonts w:ascii="Cambria Math" w:hAnsi="Cambria Math"/>
                    <w:szCs w:val="21"/>
                  </w:rPr>
                  <m:t>=</m:t>
                </m:r>
                <m:sSub>
                  <m:sSubPr>
                    <m:ctrlPr>
                      <w:rPr>
                        <w:rFonts w:ascii="Cambria Math" w:hAnsi="Cambria Math"/>
                        <w:i/>
                        <w:szCs w:val="21"/>
                      </w:rPr>
                    </m:ctrlPr>
                  </m:sSubPr>
                  <m:e>
                    <m:r>
                      <m:rPr/>
                      <w:rPr>
                        <w:rFonts w:ascii="Cambria Math" w:hAnsi="Cambria Math"/>
                        <w:szCs w:val="21"/>
                      </w:rPr>
                      <m:t>L</m:t>
                    </m:r>
                    <m:ctrlPr>
                      <w:rPr>
                        <w:rFonts w:ascii="Cambria Math" w:hAnsi="Cambria Math"/>
                        <w:i/>
                        <w:szCs w:val="21"/>
                      </w:rPr>
                    </m:ctrlPr>
                  </m:e>
                  <m:sub>
                    <m:r>
                      <m:rPr/>
                      <w:rPr>
                        <w:rFonts w:ascii="Cambria Math" w:hAnsi="Cambria Math"/>
                        <w:szCs w:val="21"/>
                      </w:rPr>
                      <m:t>p</m:t>
                    </m:r>
                    <m:ctrlPr>
                      <w:rPr>
                        <w:rFonts w:ascii="Cambria Math" w:hAnsi="Cambria Math"/>
                        <w:i/>
                        <w:szCs w:val="21"/>
                      </w:rPr>
                    </m:ctrlPr>
                  </m:sub>
                </m:sSub>
                <m:d>
                  <m:dPr>
                    <m:ctrlPr>
                      <w:rPr>
                        <w:rFonts w:ascii="Cambria Math" w:hAnsi="Cambria Math"/>
                        <w:i/>
                        <w:szCs w:val="21"/>
                      </w:rPr>
                    </m:ctrlPr>
                  </m:dPr>
                  <m:e>
                    <m:sSub>
                      <m:sSubPr>
                        <m:ctrlPr>
                          <w:rPr>
                            <w:rFonts w:ascii="Cambria Math" w:hAnsi="Cambria Math"/>
                            <w:i/>
                            <w:szCs w:val="21"/>
                          </w:rPr>
                        </m:ctrlPr>
                      </m:sSubPr>
                      <m:e>
                        <m:r>
                          <m:rPr/>
                          <w:rPr>
                            <w:rFonts w:ascii="Cambria Math" w:hAnsi="Cambria Math"/>
                            <w:szCs w:val="21"/>
                          </w:rPr>
                          <m:t>r</m:t>
                        </m:r>
                        <m:ctrlPr>
                          <w:rPr>
                            <w:rFonts w:ascii="Cambria Math" w:hAnsi="Cambria Math"/>
                            <w:i/>
                            <w:szCs w:val="21"/>
                          </w:rPr>
                        </m:ctrlPr>
                      </m:e>
                      <m:sub>
                        <m:r>
                          <m:rPr/>
                          <w:rPr>
                            <w:rFonts w:ascii="Cambria Math" w:hAnsi="Cambria Math"/>
                            <w:szCs w:val="21"/>
                          </w:rPr>
                          <m:t>0</m:t>
                        </m:r>
                        <m:ctrlPr>
                          <w:rPr>
                            <w:rFonts w:ascii="Cambria Math" w:hAnsi="Cambria Math"/>
                            <w:i/>
                            <w:szCs w:val="21"/>
                          </w:rPr>
                        </m:ctrlPr>
                      </m:sub>
                    </m:sSub>
                    <m:ctrlPr>
                      <w:rPr>
                        <w:rFonts w:ascii="Cambria Math" w:hAnsi="Cambria Math"/>
                        <w:i/>
                        <w:szCs w:val="21"/>
                      </w:rPr>
                    </m:ctrlPr>
                  </m:e>
                </m:d>
                <m:r>
                  <m:rPr/>
                  <w:rPr>
                    <w:rFonts w:ascii="Cambria Math" w:hAnsi="Cambria Math"/>
                    <w:szCs w:val="21"/>
                  </w:rPr>
                  <m:t>−20lg</m:t>
                </m:r>
                <m:d>
                  <m:dPr>
                    <m:ctrlPr>
                      <w:rPr>
                        <w:rFonts w:ascii="Cambria Math" w:hAnsi="Cambria Math"/>
                        <w:i/>
                        <w:szCs w:val="21"/>
                      </w:rPr>
                    </m:ctrlPr>
                  </m:dPr>
                  <m:e>
                    <m:f>
                      <m:fPr>
                        <m:ctrlPr>
                          <w:rPr>
                            <w:rFonts w:ascii="Cambria Math" w:hAnsi="Cambria Math"/>
                            <w:i/>
                            <w:szCs w:val="21"/>
                          </w:rPr>
                        </m:ctrlPr>
                      </m:fPr>
                      <m:num>
                        <m:r>
                          <m:rPr/>
                          <w:rPr>
                            <w:rFonts w:ascii="Cambria Math" w:hAnsi="Cambria Math"/>
                            <w:szCs w:val="21"/>
                          </w:rPr>
                          <m:t>r</m:t>
                        </m:r>
                        <m:ctrlPr>
                          <w:rPr>
                            <w:rFonts w:ascii="Cambria Math" w:hAnsi="Cambria Math"/>
                            <w:i/>
                            <w:szCs w:val="21"/>
                          </w:rPr>
                        </m:ctrlPr>
                      </m:num>
                      <m:den>
                        <m:sSub>
                          <m:sSubPr>
                            <m:ctrlPr>
                              <w:rPr>
                                <w:rFonts w:ascii="Cambria Math" w:hAnsi="Cambria Math"/>
                                <w:i/>
                                <w:szCs w:val="21"/>
                              </w:rPr>
                            </m:ctrlPr>
                          </m:sSubPr>
                          <m:e>
                            <m:r>
                              <m:rPr/>
                              <w:rPr>
                                <w:rFonts w:ascii="Cambria Math" w:hAnsi="Cambria Math"/>
                                <w:szCs w:val="21"/>
                              </w:rPr>
                              <m:t>r</m:t>
                            </m:r>
                            <m:ctrlPr>
                              <w:rPr>
                                <w:rFonts w:ascii="Cambria Math" w:hAnsi="Cambria Math"/>
                                <w:i/>
                                <w:szCs w:val="21"/>
                              </w:rPr>
                            </m:ctrlPr>
                          </m:e>
                          <m:sub>
                            <m:r>
                              <m:rPr/>
                              <w:rPr>
                                <w:rFonts w:ascii="Cambria Math" w:hAnsi="Cambria Math"/>
                                <w:szCs w:val="21"/>
                              </w:rPr>
                              <m:t>0</m:t>
                            </m:r>
                            <m:ctrlPr>
                              <w:rPr>
                                <w:rFonts w:ascii="Cambria Math" w:hAnsi="Cambria Math"/>
                                <w:i/>
                                <w:szCs w:val="21"/>
                              </w:rPr>
                            </m:ctrlPr>
                          </m:sub>
                        </m:sSub>
                        <m:ctrlPr>
                          <w:rPr>
                            <w:rFonts w:ascii="Cambria Math" w:hAnsi="Cambria Math"/>
                            <w:i/>
                            <w:szCs w:val="21"/>
                          </w:rPr>
                        </m:ctrlPr>
                      </m:den>
                    </m:f>
                    <m:ctrlPr>
                      <w:rPr>
                        <w:rFonts w:ascii="Cambria Math" w:hAnsi="Cambria Math"/>
                        <w:i/>
                        <w:szCs w:val="21"/>
                      </w:rPr>
                    </m:ctrlPr>
                  </m:e>
                </m:d>
              </m:oMath>
            </m:oMathPara>
          </w:p>
          <w:p>
            <w:pPr>
              <w:spacing w:line="360" w:lineRule="auto"/>
              <w:ind w:firstLine="420" w:firstLineChars="200"/>
              <w:contextualSpacing/>
              <w:rPr>
                <w:szCs w:val="21"/>
              </w:rPr>
            </w:pPr>
            <w:r>
              <w:rPr>
                <w:szCs w:val="21"/>
              </w:rPr>
              <w:t>式中：</w:t>
            </w:r>
            <w:r>
              <w:rPr>
                <w:rFonts w:eastAsia="Times New Roman"/>
                <w:szCs w:val="21"/>
              </w:rPr>
              <w:t>Lp</w:t>
            </w:r>
            <w:r>
              <w:rPr>
                <w:rFonts w:eastAsia="等线"/>
                <w:szCs w:val="21"/>
              </w:rPr>
              <w:t>（r）--</w:t>
            </w:r>
            <w:r>
              <w:rPr>
                <w:szCs w:val="21"/>
              </w:rPr>
              <w:t xml:space="preserve">距声源 </w:t>
            </w:r>
            <w:r>
              <w:rPr>
                <w:rFonts w:eastAsia="Times New Roman"/>
                <w:szCs w:val="21"/>
              </w:rPr>
              <w:t xml:space="preserve">r </w:t>
            </w:r>
            <w:r>
              <w:rPr>
                <w:szCs w:val="21"/>
              </w:rPr>
              <w:t>处的施工噪声预测值，</w:t>
            </w:r>
            <w:r>
              <w:rPr>
                <w:rFonts w:eastAsia="Times New Roman"/>
                <w:szCs w:val="21"/>
              </w:rPr>
              <w:t>dB(A)</w:t>
            </w:r>
            <w:r>
              <w:rPr>
                <w:szCs w:val="21"/>
              </w:rPr>
              <w:t>；</w:t>
            </w:r>
          </w:p>
          <w:p>
            <w:pPr>
              <w:spacing w:line="360" w:lineRule="auto"/>
              <w:ind w:firstLine="1050" w:firstLineChars="500"/>
              <w:contextualSpacing/>
              <w:rPr>
                <w:szCs w:val="21"/>
              </w:rPr>
            </w:pPr>
            <w:r>
              <w:rPr>
                <w:rFonts w:eastAsia="Times New Roman"/>
                <w:szCs w:val="21"/>
              </w:rPr>
              <w:t>Lp</w:t>
            </w:r>
            <w:r>
              <w:rPr>
                <w:rFonts w:eastAsia="等线"/>
                <w:szCs w:val="21"/>
              </w:rPr>
              <w:t>（r</w:t>
            </w:r>
            <w:r>
              <w:rPr>
                <w:rFonts w:eastAsia="等线"/>
                <w:szCs w:val="21"/>
                <w:vertAlign w:val="subscript"/>
              </w:rPr>
              <w:t>0</w:t>
            </w:r>
            <w:r>
              <w:rPr>
                <w:rFonts w:eastAsia="等线"/>
                <w:szCs w:val="21"/>
              </w:rPr>
              <w:t>）--</w:t>
            </w:r>
            <w:r>
              <w:rPr>
                <w:szCs w:val="21"/>
              </w:rPr>
              <w:t xml:space="preserve">距声源 </w:t>
            </w:r>
            <w:r>
              <w:rPr>
                <w:rFonts w:eastAsia="Times New Roman"/>
                <w:szCs w:val="21"/>
              </w:rPr>
              <w:t xml:space="preserve">r0 </w:t>
            </w:r>
            <w:r>
              <w:rPr>
                <w:szCs w:val="21"/>
              </w:rPr>
              <w:t>处的参考声压级，</w:t>
            </w:r>
            <w:r>
              <w:rPr>
                <w:rFonts w:eastAsia="Times New Roman"/>
                <w:szCs w:val="21"/>
              </w:rPr>
              <w:t>dB(A)</w:t>
            </w:r>
            <w:r>
              <w:rPr>
                <w:szCs w:val="21"/>
              </w:rPr>
              <w:t>；</w:t>
            </w:r>
          </w:p>
          <w:p>
            <w:pPr>
              <w:spacing w:line="360" w:lineRule="auto"/>
              <w:ind w:firstLine="1050" w:firstLineChars="500"/>
              <w:contextualSpacing/>
              <w:rPr>
                <w:rFonts w:eastAsia="等线"/>
                <w:szCs w:val="21"/>
              </w:rPr>
            </w:pPr>
            <w:r>
              <w:rPr>
                <w:szCs w:val="21"/>
              </w:rPr>
              <w:t>r--预测点距声源的距离，m；</w:t>
            </w:r>
          </w:p>
          <w:p>
            <w:pPr>
              <w:spacing w:line="360" w:lineRule="auto"/>
              <w:ind w:firstLine="1050" w:firstLineChars="500"/>
              <w:contextualSpacing/>
              <w:rPr>
                <w:szCs w:val="21"/>
              </w:rPr>
            </w:pPr>
            <w:r>
              <w:rPr>
                <w:rFonts w:eastAsia="Times New Roman"/>
                <w:szCs w:val="21"/>
              </w:rPr>
              <w:t>r0—</w:t>
            </w:r>
            <w:r>
              <w:rPr>
                <w:szCs w:val="21"/>
              </w:rPr>
              <w:t>参考点距声源的距离，</w:t>
            </w:r>
            <w:r>
              <w:rPr>
                <w:rFonts w:eastAsia="Times New Roman"/>
                <w:szCs w:val="21"/>
              </w:rPr>
              <w:t>m</w:t>
            </w:r>
            <w:r>
              <w:rPr>
                <w:szCs w:val="21"/>
              </w:rPr>
              <w:t>。</w:t>
            </w:r>
          </w:p>
          <w:p>
            <w:pPr>
              <w:spacing w:line="360" w:lineRule="auto"/>
              <w:ind w:firstLine="420" w:firstLineChars="200"/>
              <w:contextualSpacing/>
              <w:rPr>
                <w:szCs w:val="21"/>
              </w:rPr>
            </w:pPr>
            <w:r>
              <w:rPr>
                <w:szCs w:val="21"/>
              </w:rPr>
              <w:t>根据噪声衰减模式，各施工机具声源在不同距离处的噪声影响值参见下表</w:t>
            </w:r>
            <w:r>
              <w:rPr>
                <w:spacing w:val="-4"/>
                <w:szCs w:val="21"/>
              </w:rPr>
              <w:t>。</w:t>
            </w:r>
          </w:p>
          <w:p>
            <w:pPr>
              <w:autoSpaceDE w:val="0"/>
              <w:autoSpaceDN w:val="0"/>
              <w:spacing w:line="360" w:lineRule="auto"/>
              <w:contextualSpacing/>
              <w:jc w:val="center"/>
              <w:rPr>
                <w:b/>
                <w:szCs w:val="21"/>
              </w:rPr>
            </w:pPr>
            <w:r>
              <w:rPr>
                <w:b/>
                <w:szCs w:val="21"/>
              </w:rPr>
              <w:t>表4-2 主要施工机械在不同距离的噪声值  单位： dB(A)</w:t>
            </w:r>
          </w:p>
          <w:tbl>
            <w:tblPr>
              <w:tblStyle w:val="42"/>
              <w:tblW w:w="8110"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27"/>
              <w:gridCol w:w="1301"/>
              <w:gridCol w:w="921"/>
              <w:gridCol w:w="919"/>
              <w:gridCol w:w="688"/>
              <w:gridCol w:w="921"/>
              <w:gridCol w:w="921"/>
              <w:gridCol w:w="921"/>
              <w:gridCol w:w="69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827" w:type="dxa"/>
                  <w:shd w:val="clear" w:color="auto" w:fill="auto"/>
                  <w:vAlign w:val="center"/>
                </w:tcPr>
                <w:p>
                  <w:pPr>
                    <w:autoSpaceDE w:val="0"/>
                    <w:autoSpaceDN w:val="0"/>
                    <w:contextualSpacing/>
                    <w:jc w:val="center"/>
                    <w:rPr>
                      <w:rFonts w:eastAsia="等线"/>
                      <w:szCs w:val="21"/>
                    </w:rPr>
                  </w:pPr>
                  <w:r>
                    <w:rPr>
                      <w:rFonts w:eastAsia="等线"/>
                      <w:szCs w:val="21"/>
                    </w:rPr>
                    <w:t>序号</w:t>
                  </w:r>
                </w:p>
              </w:tc>
              <w:tc>
                <w:tcPr>
                  <w:tcW w:w="1301" w:type="dxa"/>
                  <w:shd w:val="clear" w:color="auto" w:fill="auto"/>
                  <w:vAlign w:val="center"/>
                </w:tcPr>
                <w:p>
                  <w:pPr>
                    <w:autoSpaceDE w:val="0"/>
                    <w:autoSpaceDN w:val="0"/>
                    <w:contextualSpacing/>
                    <w:jc w:val="center"/>
                    <w:rPr>
                      <w:szCs w:val="21"/>
                    </w:rPr>
                  </w:pPr>
                  <w:r>
                    <w:rPr>
                      <w:spacing w:val="-2"/>
                      <w:szCs w:val="21"/>
                    </w:rPr>
                    <w:t>施工机具</w:t>
                  </w:r>
                </w:p>
              </w:tc>
              <w:tc>
                <w:tcPr>
                  <w:tcW w:w="921" w:type="dxa"/>
                  <w:shd w:val="clear" w:color="auto" w:fill="auto"/>
                  <w:vAlign w:val="center"/>
                </w:tcPr>
                <w:p>
                  <w:pPr>
                    <w:autoSpaceDE w:val="0"/>
                    <w:autoSpaceDN w:val="0"/>
                    <w:contextualSpacing/>
                    <w:jc w:val="center"/>
                    <w:rPr>
                      <w:rFonts w:eastAsia="Times New Roman"/>
                      <w:szCs w:val="21"/>
                    </w:rPr>
                  </w:pPr>
                  <w:r>
                    <w:rPr>
                      <w:rFonts w:eastAsia="Times New Roman"/>
                      <w:spacing w:val="-5"/>
                      <w:szCs w:val="21"/>
                    </w:rPr>
                    <w:t>10m</w:t>
                  </w:r>
                </w:p>
              </w:tc>
              <w:tc>
                <w:tcPr>
                  <w:tcW w:w="919" w:type="dxa"/>
                  <w:shd w:val="clear" w:color="auto" w:fill="auto"/>
                  <w:vAlign w:val="center"/>
                </w:tcPr>
                <w:p>
                  <w:pPr>
                    <w:autoSpaceDE w:val="0"/>
                    <w:autoSpaceDN w:val="0"/>
                    <w:contextualSpacing/>
                    <w:jc w:val="center"/>
                    <w:rPr>
                      <w:rFonts w:eastAsia="Times New Roman"/>
                      <w:szCs w:val="21"/>
                    </w:rPr>
                  </w:pPr>
                  <w:r>
                    <w:rPr>
                      <w:rFonts w:eastAsia="Times New Roman"/>
                      <w:spacing w:val="-1"/>
                      <w:szCs w:val="21"/>
                    </w:rPr>
                    <w:t>20m</w:t>
                  </w:r>
                </w:p>
              </w:tc>
              <w:tc>
                <w:tcPr>
                  <w:tcW w:w="688" w:type="dxa"/>
                  <w:shd w:val="clear" w:color="auto" w:fill="auto"/>
                  <w:vAlign w:val="center"/>
                </w:tcPr>
                <w:p>
                  <w:pPr>
                    <w:autoSpaceDE w:val="0"/>
                    <w:autoSpaceDN w:val="0"/>
                    <w:contextualSpacing/>
                    <w:jc w:val="center"/>
                    <w:rPr>
                      <w:rFonts w:eastAsia="Times New Roman"/>
                      <w:szCs w:val="21"/>
                    </w:rPr>
                  </w:pPr>
                  <w:r>
                    <w:rPr>
                      <w:rFonts w:eastAsia="Times New Roman"/>
                      <w:spacing w:val="-2"/>
                      <w:szCs w:val="21"/>
                    </w:rPr>
                    <w:t>30m</w:t>
                  </w:r>
                </w:p>
              </w:tc>
              <w:tc>
                <w:tcPr>
                  <w:tcW w:w="921" w:type="dxa"/>
                  <w:shd w:val="clear" w:color="auto" w:fill="auto"/>
                  <w:vAlign w:val="center"/>
                </w:tcPr>
                <w:p>
                  <w:pPr>
                    <w:autoSpaceDE w:val="0"/>
                    <w:autoSpaceDN w:val="0"/>
                    <w:contextualSpacing/>
                    <w:jc w:val="center"/>
                    <w:rPr>
                      <w:rFonts w:eastAsia="Times New Roman"/>
                      <w:szCs w:val="21"/>
                    </w:rPr>
                  </w:pPr>
                  <w:r>
                    <w:rPr>
                      <w:rFonts w:eastAsia="Times New Roman"/>
                      <w:spacing w:val="-2"/>
                      <w:szCs w:val="21"/>
                    </w:rPr>
                    <w:t>50m</w:t>
                  </w:r>
                </w:p>
              </w:tc>
              <w:tc>
                <w:tcPr>
                  <w:tcW w:w="921" w:type="dxa"/>
                  <w:shd w:val="clear" w:color="auto" w:fill="auto"/>
                  <w:vAlign w:val="center"/>
                </w:tcPr>
                <w:p>
                  <w:pPr>
                    <w:autoSpaceDE w:val="0"/>
                    <w:autoSpaceDN w:val="0"/>
                    <w:contextualSpacing/>
                    <w:jc w:val="center"/>
                    <w:rPr>
                      <w:rFonts w:eastAsia="Times New Roman"/>
                      <w:szCs w:val="21"/>
                    </w:rPr>
                  </w:pPr>
                  <w:r>
                    <w:rPr>
                      <w:rFonts w:eastAsia="Times New Roman"/>
                      <w:spacing w:val="-3"/>
                      <w:szCs w:val="21"/>
                    </w:rPr>
                    <w:t>80m</w:t>
                  </w:r>
                </w:p>
              </w:tc>
              <w:tc>
                <w:tcPr>
                  <w:tcW w:w="921" w:type="dxa"/>
                  <w:shd w:val="clear" w:color="auto" w:fill="auto"/>
                  <w:vAlign w:val="center"/>
                </w:tcPr>
                <w:p>
                  <w:pPr>
                    <w:autoSpaceDE w:val="0"/>
                    <w:autoSpaceDN w:val="0"/>
                    <w:contextualSpacing/>
                    <w:jc w:val="center"/>
                    <w:rPr>
                      <w:rFonts w:eastAsia="Times New Roman"/>
                      <w:szCs w:val="21"/>
                    </w:rPr>
                  </w:pPr>
                  <w:r>
                    <w:rPr>
                      <w:rFonts w:eastAsia="Times New Roman"/>
                      <w:spacing w:val="-6"/>
                      <w:szCs w:val="21"/>
                    </w:rPr>
                    <w:t>100m</w:t>
                  </w:r>
                </w:p>
              </w:tc>
              <w:tc>
                <w:tcPr>
                  <w:tcW w:w="691" w:type="dxa"/>
                  <w:shd w:val="clear" w:color="auto" w:fill="auto"/>
                  <w:vAlign w:val="center"/>
                </w:tcPr>
                <w:p>
                  <w:pPr>
                    <w:autoSpaceDE w:val="0"/>
                    <w:autoSpaceDN w:val="0"/>
                    <w:contextualSpacing/>
                    <w:jc w:val="center"/>
                    <w:rPr>
                      <w:rFonts w:eastAsia="Times New Roman"/>
                      <w:szCs w:val="21"/>
                    </w:rPr>
                  </w:pPr>
                  <w:r>
                    <w:rPr>
                      <w:rFonts w:eastAsia="Times New Roman"/>
                      <w:spacing w:val="-1"/>
                      <w:szCs w:val="21"/>
                    </w:rPr>
                    <w:t>200m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827" w:type="dxa"/>
                  <w:shd w:val="clear" w:color="auto" w:fill="auto"/>
                  <w:vAlign w:val="center"/>
                </w:tcPr>
                <w:p>
                  <w:pPr>
                    <w:autoSpaceDE w:val="0"/>
                    <w:autoSpaceDN w:val="0"/>
                    <w:contextualSpacing/>
                    <w:jc w:val="center"/>
                    <w:rPr>
                      <w:rFonts w:eastAsia="Times New Roman"/>
                      <w:szCs w:val="21"/>
                    </w:rPr>
                  </w:pPr>
                  <w:r>
                    <w:rPr>
                      <w:rFonts w:eastAsia="Times New Roman"/>
                      <w:szCs w:val="21"/>
                    </w:rPr>
                    <w:t>1</w:t>
                  </w:r>
                </w:p>
              </w:tc>
              <w:tc>
                <w:tcPr>
                  <w:tcW w:w="1301" w:type="dxa"/>
                  <w:shd w:val="clear" w:color="auto" w:fill="auto"/>
                  <w:vAlign w:val="center"/>
                </w:tcPr>
                <w:p>
                  <w:pPr>
                    <w:autoSpaceDE w:val="0"/>
                    <w:autoSpaceDN w:val="0"/>
                    <w:contextualSpacing/>
                    <w:jc w:val="center"/>
                    <w:rPr>
                      <w:szCs w:val="21"/>
                    </w:rPr>
                  </w:pPr>
                  <w:r>
                    <w:rPr>
                      <w:spacing w:val="-2"/>
                      <w:szCs w:val="21"/>
                    </w:rPr>
                    <w:t>挖掘机</w:t>
                  </w:r>
                </w:p>
              </w:tc>
              <w:tc>
                <w:tcPr>
                  <w:tcW w:w="921" w:type="dxa"/>
                  <w:shd w:val="clear" w:color="auto" w:fill="auto"/>
                  <w:vAlign w:val="center"/>
                </w:tcPr>
                <w:p>
                  <w:pPr>
                    <w:autoSpaceDE w:val="0"/>
                    <w:autoSpaceDN w:val="0"/>
                    <w:contextualSpacing/>
                    <w:jc w:val="center"/>
                    <w:rPr>
                      <w:rFonts w:eastAsia="Times New Roman"/>
                      <w:szCs w:val="21"/>
                    </w:rPr>
                  </w:pPr>
                  <w:r>
                    <w:rPr>
                      <w:rFonts w:eastAsia="Times New Roman"/>
                      <w:spacing w:val="-2"/>
                      <w:szCs w:val="21"/>
                    </w:rPr>
                    <w:t>79</w:t>
                  </w:r>
                </w:p>
              </w:tc>
              <w:tc>
                <w:tcPr>
                  <w:tcW w:w="919" w:type="dxa"/>
                  <w:shd w:val="clear" w:color="auto" w:fill="auto"/>
                  <w:vAlign w:val="center"/>
                </w:tcPr>
                <w:p>
                  <w:pPr>
                    <w:autoSpaceDE w:val="0"/>
                    <w:autoSpaceDN w:val="0"/>
                    <w:contextualSpacing/>
                    <w:jc w:val="center"/>
                    <w:rPr>
                      <w:rFonts w:eastAsia="Times New Roman"/>
                      <w:szCs w:val="21"/>
                    </w:rPr>
                  </w:pPr>
                  <w:r>
                    <w:rPr>
                      <w:rFonts w:eastAsia="Times New Roman"/>
                      <w:spacing w:val="-2"/>
                      <w:szCs w:val="21"/>
                    </w:rPr>
                    <w:t>73</w:t>
                  </w:r>
                </w:p>
              </w:tc>
              <w:tc>
                <w:tcPr>
                  <w:tcW w:w="688" w:type="dxa"/>
                  <w:shd w:val="clear" w:color="auto" w:fill="auto"/>
                  <w:vAlign w:val="center"/>
                </w:tcPr>
                <w:p>
                  <w:pPr>
                    <w:autoSpaceDE w:val="0"/>
                    <w:autoSpaceDN w:val="0"/>
                    <w:contextualSpacing/>
                    <w:jc w:val="center"/>
                    <w:rPr>
                      <w:rFonts w:eastAsia="Times New Roman"/>
                      <w:szCs w:val="21"/>
                    </w:rPr>
                  </w:pPr>
                  <w:r>
                    <w:rPr>
                      <w:rFonts w:eastAsia="Times New Roman"/>
                      <w:spacing w:val="-3"/>
                      <w:szCs w:val="21"/>
                    </w:rPr>
                    <w:t>69</w:t>
                  </w:r>
                </w:p>
              </w:tc>
              <w:tc>
                <w:tcPr>
                  <w:tcW w:w="921" w:type="dxa"/>
                  <w:shd w:val="clear" w:color="auto" w:fill="auto"/>
                  <w:vAlign w:val="center"/>
                </w:tcPr>
                <w:p>
                  <w:pPr>
                    <w:autoSpaceDE w:val="0"/>
                    <w:autoSpaceDN w:val="0"/>
                    <w:contextualSpacing/>
                    <w:jc w:val="center"/>
                    <w:rPr>
                      <w:rFonts w:eastAsia="Times New Roman"/>
                      <w:szCs w:val="21"/>
                    </w:rPr>
                  </w:pPr>
                  <w:r>
                    <w:rPr>
                      <w:rFonts w:eastAsia="Times New Roman"/>
                      <w:spacing w:val="-3"/>
                      <w:szCs w:val="21"/>
                    </w:rPr>
                    <w:t>65</w:t>
                  </w:r>
                </w:p>
              </w:tc>
              <w:tc>
                <w:tcPr>
                  <w:tcW w:w="921" w:type="dxa"/>
                  <w:shd w:val="clear" w:color="auto" w:fill="auto"/>
                  <w:vAlign w:val="center"/>
                </w:tcPr>
                <w:p>
                  <w:pPr>
                    <w:autoSpaceDE w:val="0"/>
                    <w:autoSpaceDN w:val="0"/>
                    <w:contextualSpacing/>
                    <w:jc w:val="center"/>
                    <w:rPr>
                      <w:rFonts w:eastAsia="Times New Roman"/>
                      <w:szCs w:val="21"/>
                    </w:rPr>
                  </w:pPr>
                  <w:r>
                    <w:rPr>
                      <w:rFonts w:eastAsia="Times New Roman"/>
                      <w:spacing w:val="-3"/>
                      <w:szCs w:val="21"/>
                    </w:rPr>
                    <w:t>61</w:t>
                  </w:r>
                </w:p>
              </w:tc>
              <w:tc>
                <w:tcPr>
                  <w:tcW w:w="921" w:type="dxa"/>
                  <w:shd w:val="clear" w:color="auto" w:fill="auto"/>
                  <w:vAlign w:val="center"/>
                </w:tcPr>
                <w:p>
                  <w:pPr>
                    <w:autoSpaceDE w:val="0"/>
                    <w:autoSpaceDN w:val="0"/>
                    <w:contextualSpacing/>
                    <w:jc w:val="center"/>
                    <w:rPr>
                      <w:rFonts w:eastAsia="Times New Roman"/>
                      <w:szCs w:val="21"/>
                    </w:rPr>
                  </w:pPr>
                  <w:r>
                    <w:rPr>
                      <w:rFonts w:eastAsia="Times New Roman"/>
                      <w:spacing w:val="-3"/>
                      <w:szCs w:val="21"/>
                    </w:rPr>
                    <w:t>59</w:t>
                  </w:r>
                </w:p>
              </w:tc>
              <w:tc>
                <w:tcPr>
                  <w:tcW w:w="691" w:type="dxa"/>
                  <w:shd w:val="clear" w:color="auto" w:fill="auto"/>
                  <w:vAlign w:val="center"/>
                </w:tcPr>
                <w:p>
                  <w:pPr>
                    <w:autoSpaceDE w:val="0"/>
                    <w:autoSpaceDN w:val="0"/>
                    <w:contextualSpacing/>
                    <w:jc w:val="center"/>
                    <w:rPr>
                      <w:rFonts w:eastAsia="Times New Roman"/>
                      <w:szCs w:val="21"/>
                    </w:rPr>
                  </w:pPr>
                  <w:r>
                    <w:rPr>
                      <w:rFonts w:eastAsia="Times New Roman"/>
                      <w:spacing w:val="-3"/>
                      <w:szCs w:val="21"/>
                    </w:rPr>
                    <w:t>53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827" w:type="dxa"/>
                  <w:shd w:val="clear" w:color="auto" w:fill="auto"/>
                  <w:vAlign w:val="center"/>
                </w:tcPr>
                <w:p>
                  <w:pPr>
                    <w:autoSpaceDE w:val="0"/>
                    <w:autoSpaceDN w:val="0"/>
                    <w:contextualSpacing/>
                    <w:jc w:val="center"/>
                    <w:rPr>
                      <w:rFonts w:eastAsia="等线"/>
                      <w:szCs w:val="21"/>
                    </w:rPr>
                  </w:pPr>
                  <w:r>
                    <w:rPr>
                      <w:rFonts w:eastAsia="等线"/>
                      <w:szCs w:val="21"/>
                    </w:rPr>
                    <w:t>2</w:t>
                  </w:r>
                </w:p>
              </w:tc>
              <w:tc>
                <w:tcPr>
                  <w:tcW w:w="1301" w:type="dxa"/>
                  <w:shd w:val="clear" w:color="auto" w:fill="auto"/>
                  <w:vAlign w:val="center"/>
                </w:tcPr>
                <w:p>
                  <w:pPr>
                    <w:autoSpaceDE w:val="0"/>
                    <w:autoSpaceDN w:val="0"/>
                    <w:contextualSpacing/>
                    <w:jc w:val="center"/>
                    <w:rPr>
                      <w:szCs w:val="21"/>
                    </w:rPr>
                  </w:pPr>
                  <w:r>
                    <w:rPr>
                      <w:spacing w:val="-8"/>
                      <w:szCs w:val="21"/>
                    </w:rPr>
                    <w:t>电焊机</w:t>
                  </w:r>
                </w:p>
              </w:tc>
              <w:tc>
                <w:tcPr>
                  <w:tcW w:w="921" w:type="dxa"/>
                  <w:shd w:val="clear" w:color="auto" w:fill="auto"/>
                  <w:vAlign w:val="center"/>
                </w:tcPr>
                <w:p>
                  <w:pPr>
                    <w:autoSpaceDE w:val="0"/>
                    <w:autoSpaceDN w:val="0"/>
                    <w:contextualSpacing/>
                    <w:jc w:val="center"/>
                    <w:rPr>
                      <w:rFonts w:eastAsia="Times New Roman"/>
                      <w:szCs w:val="21"/>
                    </w:rPr>
                  </w:pPr>
                  <w:r>
                    <w:rPr>
                      <w:rFonts w:eastAsia="Times New Roman"/>
                      <w:spacing w:val="-3"/>
                      <w:szCs w:val="21"/>
                    </w:rPr>
                    <w:t>64</w:t>
                  </w:r>
                </w:p>
              </w:tc>
              <w:tc>
                <w:tcPr>
                  <w:tcW w:w="919" w:type="dxa"/>
                  <w:shd w:val="clear" w:color="auto" w:fill="auto"/>
                  <w:vAlign w:val="center"/>
                </w:tcPr>
                <w:p>
                  <w:pPr>
                    <w:autoSpaceDE w:val="0"/>
                    <w:autoSpaceDN w:val="0"/>
                    <w:contextualSpacing/>
                    <w:jc w:val="center"/>
                    <w:rPr>
                      <w:rFonts w:eastAsia="Times New Roman"/>
                      <w:szCs w:val="21"/>
                    </w:rPr>
                  </w:pPr>
                  <w:r>
                    <w:rPr>
                      <w:rFonts w:eastAsia="Times New Roman"/>
                      <w:spacing w:val="-3"/>
                      <w:szCs w:val="21"/>
                    </w:rPr>
                    <w:t>58</w:t>
                  </w:r>
                </w:p>
              </w:tc>
              <w:tc>
                <w:tcPr>
                  <w:tcW w:w="688" w:type="dxa"/>
                  <w:shd w:val="clear" w:color="auto" w:fill="auto"/>
                  <w:vAlign w:val="center"/>
                </w:tcPr>
                <w:p>
                  <w:pPr>
                    <w:autoSpaceDE w:val="0"/>
                    <w:autoSpaceDN w:val="0"/>
                    <w:contextualSpacing/>
                    <w:jc w:val="center"/>
                    <w:rPr>
                      <w:rFonts w:eastAsia="Times New Roman"/>
                      <w:szCs w:val="21"/>
                    </w:rPr>
                  </w:pPr>
                  <w:r>
                    <w:rPr>
                      <w:rFonts w:eastAsia="Times New Roman"/>
                      <w:spacing w:val="-3"/>
                      <w:szCs w:val="21"/>
                    </w:rPr>
                    <w:t>54</w:t>
                  </w:r>
                </w:p>
              </w:tc>
              <w:tc>
                <w:tcPr>
                  <w:tcW w:w="921" w:type="dxa"/>
                  <w:shd w:val="clear" w:color="auto" w:fill="auto"/>
                  <w:vAlign w:val="center"/>
                </w:tcPr>
                <w:p>
                  <w:pPr>
                    <w:autoSpaceDE w:val="0"/>
                    <w:autoSpaceDN w:val="0"/>
                    <w:contextualSpacing/>
                    <w:jc w:val="center"/>
                    <w:rPr>
                      <w:rFonts w:eastAsia="Times New Roman"/>
                      <w:szCs w:val="21"/>
                    </w:rPr>
                  </w:pPr>
                  <w:r>
                    <w:rPr>
                      <w:rFonts w:eastAsia="Times New Roman"/>
                      <w:spacing w:val="-3"/>
                      <w:szCs w:val="21"/>
                    </w:rPr>
                    <w:t>50</w:t>
                  </w:r>
                </w:p>
              </w:tc>
              <w:tc>
                <w:tcPr>
                  <w:tcW w:w="921" w:type="dxa"/>
                  <w:shd w:val="clear" w:color="auto" w:fill="auto"/>
                  <w:vAlign w:val="center"/>
                </w:tcPr>
                <w:p>
                  <w:pPr>
                    <w:autoSpaceDE w:val="0"/>
                    <w:autoSpaceDN w:val="0"/>
                    <w:contextualSpacing/>
                    <w:jc w:val="center"/>
                    <w:rPr>
                      <w:rFonts w:eastAsia="Times New Roman"/>
                      <w:szCs w:val="21"/>
                    </w:rPr>
                  </w:pPr>
                  <w:r>
                    <w:rPr>
                      <w:rFonts w:eastAsia="Times New Roman"/>
                      <w:spacing w:val="-1"/>
                      <w:szCs w:val="21"/>
                    </w:rPr>
                    <w:t>46</w:t>
                  </w:r>
                </w:p>
              </w:tc>
              <w:tc>
                <w:tcPr>
                  <w:tcW w:w="921" w:type="dxa"/>
                  <w:shd w:val="clear" w:color="auto" w:fill="auto"/>
                  <w:vAlign w:val="center"/>
                </w:tcPr>
                <w:p>
                  <w:pPr>
                    <w:autoSpaceDE w:val="0"/>
                    <w:autoSpaceDN w:val="0"/>
                    <w:contextualSpacing/>
                    <w:jc w:val="center"/>
                    <w:rPr>
                      <w:rFonts w:eastAsia="Times New Roman"/>
                      <w:szCs w:val="21"/>
                    </w:rPr>
                  </w:pPr>
                  <w:r>
                    <w:rPr>
                      <w:rFonts w:eastAsia="Times New Roman"/>
                      <w:spacing w:val="-1"/>
                      <w:szCs w:val="21"/>
                    </w:rPr>
                    <w:t>44</w:t>
                  </w:r>
                </w:p>
              </w:tc>
              <w:tc>
                <w:tcPr>
                  <w:tcW w:w="691" w:type="dxa"/>
                  <w:shd w:val="clear" w:color="auto" w:fill="auto"/>
                  <w:vAlign w:val="center"/>
                </w:tcPr>
                <w:p>
                  <w:pPr>
                    <w:autoSpaceDE w:val="0"/>
                    <w:autoSpaceDN w:val="0"/>
                    <w:contextualSpacing/>
                    <w:jc w:val="center"/>
                    <w:rPr>
                      <w:rFonts w:eastAsia="Times New Roman"/>
                      <w:szCs w:val="21"/>
                    </w:rPr>
                  </w:pPr>
                  <w:r>
                    <w:rPr>
                      <w:rFonts w:eastAsia="Times New Roman"/>
                      <w:spacing w:val="-3"/>
                      <w:szCs w:val="21"/>
                    </w:rPr>
                    <w:t>38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827" w:type="dxa"/>
                  <w:shd w:val="clear" w:color="auto" w:fill="auto"/>
                  <w:vAlign w:val="center"/>
                </w:tcPr>
                <w:p>
                  <w:pPr>
                    <w:autoSpaceDE w:val="0"/>
                    <w:autoSpaceDN w:val="0"/>
                    <w:contextualSpacing/>
                    <w:jc w:val="center"/>
                    <w:rPr>
                      <w:rFonts w:eastAsia="等线"/>
                      <w:szCs w:val="21"/>
                    </w:rPr>
                  </w:pPr>
                  <w:r>
                    <w:rPr>
                      <w:rFonts w:eastAsia="等线"/>
                      <w:szCs w:val="21"/>
                    </w:rPr>
                    <w:t>3</w:t>
                  </w:r>
                </w:p>
              </w:tc>
              <w:tc>
                <w:tcPr>
                  <w:tcW w:w="1301" w:type="dxa"/>
                  <w:shd w:val="clear" w:color="auto" w:fill="auto"/>
                  <w:vAlign w:val="center"/>
                </w:tcPr>
                <w:p>
                  <w:pPr>
                    <w:autoSpaceDE w:val="0"/>
                    <w:autoSpaceDN w:val="0"/>
                    <w:contextualSpacing/>
                    <w:jc w:val="center"/>
                    <w:rPr>
                      <w:szCs w:val="21"/>
                    </w:rPr>
                  </w:pPr>
                  <w:r>
                    <w:rPr>
                      <w:spacing w:val="-2"/>
                      <w:szCs w:val="21"/>
                    </w:rPr>
                    <w:t>运输车辆</w:t>
                  </w:r>
                </w:p>
              </w:tc>
              <w:tc>
                <w:tcPr>
                  <w:tcW w:w="921" w:type="dxa"/>
                  <w:shd w:val="clear" w:color="auto" w:fill="auto"/>
                  <w:vAlign w:val="center"/>
                </w:tcPr>
                <w:p>
                  <w:pPr>
                    <w:autoSpaceDE w:val="0"/>
                    <w:autoSpaceDN w:val="0"/>
                    <w:contextualSpacing/>
                    <w:jc w:val="center"/>
                    <w:rPr>
                      <w:rFonts w:eastAsia="Times New Roman"/>
                      <w:szCs w:val="21"/>
                    </w:rPr>
                  </w:pPr>
                  <w:r>
                    <w:rPr>
                      <w:rFonts w:eastAsia="Times New Roman"/>
                      <w:spacing w:val="-2"/>
                      <w:szCs w:val="21"/>
                    </w:rPr>
                    <w:t>79</w:t>
                  </w:r>
                </w:p>
              </w:tc>
              <w:tc>
                <w:tcPr>
                  <w:tcW w:w="919" w:type="dxa"/>
                  <w:shd w:val="clear" w:color="auto" w:fill="auto"/>
                  <w:vAlign w:val="center"/>
                </w:tcPr>
                <w:p>
                  <w:pPr>
                    <w:autoSpaceDE w:val="0"/>
                    <w:autoSpaceDN w:val="0"/>
                    <w:contextualSpacing/>
                    <w:jc w:val="center"/>
                    <w:rPr>
                      <w:rFonts w:eastAsia="Times New Roman"/>
                      <w:szCs w:val="21"/>
                    </w:rPr>
                  </w:pPr>
                  <w:r>
                    <w:rPr>
                      <w:rFonts w:eastAsia="Times New Roman"/>
                      <w:spacing w:val="-2"/>
                      <w:szCs w:val="21"/>
                    </w:rPr>
                    <w:t>73</w:t>
                  </w:r>
                </w:p>
              </w:tc>
              <w:tc>
                <w:tcPr>
                  <w:tcW w:w="688" w:type="dxa"/>
                  <w:shd w:val="clear" w:color="auto" w:fill="auto"/>
                  <w:vAlign w:val="center"/>
                </w:tcPr>
                <w:p>
                  <w:pPr>
                    <w:autoSpaceDE w:val="0"/>
                    <w:autoSpaceDN w:val="0"/>
                    <w:contextualSpacing/>
                    <w:jc w:val="center"/>
                    <w:rPr>
                      <w:rFonts w:eastAsia="Times New Roman"/>
                      <w:szCs w:val="21"/>
                    </w:rPr>
                  </w:pPr>
                  <w:r>
                    <w:rPr>
                      <w:rFonts w:eastAsia="Times New Roman"/>
                      <w:spacing w:val="-3"/>
                      <w:szCs w:val="21"/>
                    </w:rPr>
                    <w:t>69</w:t>
                  </w:r>
                </w:p>
              </w:tc>
              <w:tc>
                <w:tcPr>
                  <w:tcW w:w="921" w:type="dxa"/>
                  <w:shd w:val="clear" w:color="auto" w:fill="auto"/>
                  <w:vAlign w:val="center"/>
                </w:tcPr>
                <w:p>
                  <w:pPr>
                    <w:autoSpaceDE w:val="0"/>
                    <w:autoSpaceDN w:val="0"/>
                    <w:contextualSpacing/>
                    <w:jc w:val="center"/>
                    <w:rPr>
                      <w:rFonts w:eastAsia="Times New Roman"/>
                      <w:szCs w:val="21"/>
                    </w:rPr>
                  </w:pPr>
                  <w:r>
                    <w:rPr>
                      <w:rFonts w:eastAsia="Times New Roman"/>
                      <w:spacing w:val="-3"/>
                      <w:szCs w:val="21"/>
                    </w:rPr>
                    <w:t>65</w:t>
                  </w:r>
                </w:p>
              </w:tc>
              <w:tc>
                <w:tcPr>
                  <w:tcW w:w="921" w:type="dxa"/>
                  <w:shd w:val="clear" w:color="auto" w:fill="auto"/>
                  <w:vAlign w:val="center"/>
                </w:tcPr>
                <w:p>
                  <w:pPr>
                    <w:autoSpaceDE w:val="0"/>
                    <w:autoSpaceDN w:val="0"/>
                    <w:contextualSpacing/>
                    <w:jc w:val="center"/>
                    <w:rPr>
                      <w:rFonts w:eastAsia="Times New Roman"/>
                      <w:szCs w:val="21"/>
                    </w:rPr>
                  </w:pPr>
                  <w:r>
                    <w:rPr>
                      <w:rFonts w:eastAsia="Times New Roman"/>
                      <w:spacing w:val="-3"/>
                      <w:szCs w:val="21"/>
                    </w:rPr>
                    <w:t>61</w:t>
                  </w:r>
                </w:p>
              </w:tc>
              <w:tc>
                <w:tcPr>
                  <w:tcW w:w="921" w:type="dxa"/>
                  <w:shd w:val="clear" w:color="auto" w:fill="auto"/>
                  <w:vAlign w:val="center"/>
                </w:tcPr>
                <w:p>
                  <w:pPr>
                    <w:autoSpaceDE w:val="0"/>
                    <w:autoSpaceDN w:val="0"/>
                    <w:contextualSpacing/>
                    <w:jc w:val="center"/>
                    <w:rPr>
                      <w:rFonts w:eastAsia="Times New Roman"/>
                      <w:szCs w:val="21"/>
                    </w:rPr>
                  </w:pPr>
                  <w:r>
                    <w:rPr>
                      <w:rFonts w:eastAsia="Times New Roman"/>
                      <w:spacing w:val="-3"/>
                      <w:szCs w:val="21"/>
                    </w:rPr>
                    <w:t>59</w:t>
                  </w:r>
                </w:p>
              </w:tc>
              <w:tc>
                <w:tcPr>
                  <w:tcW w:w="691" w:type="dxa"/>
                  <w:shd w:val="clear" w:color="auto" w:fill="auto"/>
                  <w:vAlign w:val="center"/>
                </w:tcPr>
                <w:p>
                  <w:pPr>
                    <w:autoSpaceDE w:val="0"/>
                    <w:autoSpaceDN w:val="0"/>
                    <w:contextualSpacing/>
                    <w:jc w:val="center"/>
                    <w:rPr>
                      <w:rFonts w:eastAsia="Times New Roman"/>
                      <w:szCs w:val="21"/>
                    </w:rPr>
                  </w:pPr>
                  <w:r>
                    <w:rPr>
                      <w:rFonts w:eastAsia="Times New Roman"/>
                      <w:spacing w:val="-3"/>
                      <w:szCs w:val="21"/>
                    </w:rPr>
                    <w:t>53</w:t>
                  </w:r>
                </w:p>
              </w:tc>
            </w:tr>
          </w:tbl>
          <w:p>
            <w:pPr>
              <w:spacing w:line="360" w:lineRule="auto"/>
              <w:ind w:firstLine="420" w:firstLineChars="200"/>
              <w:contextualSpacing/>
              <w:rPr>
                <w:szCs w:val="21"/>
              </w:rPr>
            </w:pPr>
          </w:p>
          <w:p>
            <w:pPr>
              <w:spacing w:line="360" w:lineRule="auto"/>
              <w:ind w:firstLine="420" w:firstLineChars="200"/>
              <w:contextualSpacing/>
              <w:rPr>
                <w:szCs w:val="21"/>
              </w:rPr>
            </w:pPr>
            <w:r>
              <w:rPr>
                <w:szCs w:val="21"/>
              </w:rPr>
              <w:t>本项目施工期仅昼间施工，由上表可知，距施工机具100m外昼间可满足《声环境质量标准》（GB12348-2008）2类标准。本项目使用的机械设备种类较少，施工期较短，施工噪声将随施工结束而消失，施工噪声对周边环境的影响可以接受。</w:t>
            </w:r>
          </w:p>
          <w:p>
            <w:pPr>
              <w:spacing w:line="360" w:lineRule="auto"/>
              <w:rPr>
                <w:b/>
                <w:szCs w:val="21"/>
              </w:rPr>
            </w:pPr>
            <w:r>
              <w:rPr>
                <w:rFonts w:hint="eastAsia"/>
                <w:b/>
                <w:szCs w:val="21"/>
              </w:rPr>
              <w:t>4.1.4固废</w:t>
            </w:r>
          </w:p>
          <w:p>
            <w:pPr>
              <w:spacing w:line="360" w:lineRule="auto"/>
              <w:ind w:firstLine="420" w:firstLineChars="200"/>
              <w:rPr>
                <w:szCs w:val="21"/>
              </w:rPr>
            </w:pPr>
            <w:r>
              <w:rPr>
                <w:rFonts w:hint="eastAsia"/>
                <w:szCs w:val="21"/>
              </w:rPr>
              <w:t>（1）钻前</w:t>
            </w:r>
            <w:r>
              <w:rPr>
                <w:szCs w:val="21"/>
              </w:rPr>
              <w:t>工程施工固废</w:t>
            </w:r>
          </w:p>
          <w:p>
            <w:pPr>
              <w:spacing w:line="360" w:lineRule="auto"/>
              <w:ind w:firstLine="420" w:firstLineChars="200"/>
              <w:rPr>
                <w:szCs w:val="21"/>
              </w:rPr>
            </w:pPr>
            <w:r>
              <w:rPr>
                <w:rFonts w:hint="eastAsia"/>
                <w:szCs w:val="21"/>
              </w:rPr>
              <w:t>道路施工期固体废物一部分来自挖方中的表层土壤；另一部分来自施工的垃圾，包括废弃的建筑材料、包装材料、生活垃圾等。</w:t>
            </w:r>
          </w:p>
          <w:p>
            <w:pPr>
              <w:spacing w:line="360" w:lineRule="auto"/>
              <w:ind w:firstLine="420" w:firstLineChars="200"/>
              <w:rPr>
                <w:szCs w:val="21"/>
              </w:rPr>
            </w:pPr>
            <w:r>
              <w:rPr>
                <w:rFonts w:hint="eastAsia"/>
                <w:szCs w:val="21"/>
              </w:rPr>
              <w:t>施工人员以临时聘请的当地民工为主，租住在附近农户，其产生的生活垃圾利用附近农户现有的设施后由环卫部门清运。</w:t>
            </w:r>
          </w:p>
          <w:p>
            <w:pPr>
              <w:spacing w:line="360" w:lineRule="auto"/>
              <w:ind w:firstLine="420" w:firstLineChars="200"/>
              <w:rPr>
                <w:szCs w:val="21"/>
              </w:rPr>
            </w:pPr>
            <w:r>
              <w:rPr>
                <w:rFonts w:hint="eastAsia"/>
                <w:szCs w:val="21"/>
              </w:rPr>
              <w:t>固废主要有钻前工程开挖产生的表土，堆存于井场外东侧耕植土</w:t>
            </w:r>
            <w:r>
              <w:rPr>
                <w:szCs w:val="21"/>
              </w:rPr>
              <w:t>堆放区</w:t>
            </w:r>
            <w:r>
              <w:rPr>
                <w:rFonts w:hint="eastAsia"/>
                <w:szCs w:val="21"/>
              </w:rPr>
              <w:t>内，待工程结束后，将耕植土用于完井后临时占地复垦用。</w:t>
            </w:r>
          </w:p>
          <w:p>
            <w:pPr>
              <w:spacing w:line="360" w:lineRule="auto"/>
              <w:ind w:firstLine="420" w:firstLineChars="200"/>
              <w:rPr>
                <w:szCs w:val="21"/>
              </w:rPr>
            </w:pPr>
            <w:r>
              <w:rPr>
                <w:rFonts w:hint="eastAsia"/>
                <w:szCs w:val="21"/>
              </w:rPr>
              <w:t>（2）环境</w:t>
            </w:r>
            <w:r>
              <w:rPr>
                <w:szCs w:val="21"/>
              </w:rPr>
              <w:t>影响分析</w:t>
            </w:r>
          </w:p>
          <w:p>
            <w:pPr>
              <w:spacing w:line="360" w:lineRule="auto"/>
              <w:ind w:firstLine="420" w:firstLineChars="200"/>
              <w:rPr>
                <w:szCs w:val="21"/>
              </w:rPr>
            </w:pPr>
            <w:r>
              <w:rPr>
                <w:rFonts w:hint="eastAsia"/>
                <w:szCs w:val="21"/>
              </w:rPr>
              <w:t>项目耕植土临时暂存，后期用于井场复耕；生活垃圾以及包装材料等固体废物统一收集，由环卫部门统一清运；施工过程中产生的固废不会对环境产生影响。</w:t>
            </w:r>
          </w:p>
          <w:p>
            <w:pPr>
              <w:spacing w:line="360" w:lineRule="auto"/>
              <w:rPr>
                <w:b/>
                <w:szCs w:val="21"/>
              </w:rPr>
            </w:pPr>
            <w:r>
              <w:rPr>
                <w:rFonts w:hint="eastAsia"/>
                <w:b/>
                <w:szCs w:val="21"/>
              </w:rPr>
              <w:t>4.2钻井</w:t>
            </w:r>
            <w:r>
              <w:rPr>
                <w:b/>
                <w:szCs w:val="21"/>
              </w:rPr>
              <w:t>工程</w:t>
            </w:r>
            <w:r>
              <w:rPr>
                <w:rFonts w:hint="eastAsia"/>
                <w:b/>
                <w:szCs w:val="21"/>
              </w:rPr>
              <w:t>污染</w:t>
            </w:r>
            <w:r>
              <w:rPr>
                <w:b/>
                <w:szCs w:val="21"/>
              </w:rPr>
              <w:t>源强核算及环境影响分析</w:t>
            </w:r>
          </w:p>
          <w:p>
            <w:pPr>
              <w:spacing w:line="360" w:lineRule="auto"/>
              <w:rPr>
                <w:szCs w:val="21"/>
              </w:rPr>
            </w:pPr>
            <w:r>
              <w:rPr>
                <w:rFonts w:hint="eastAsia"/>
                <w:szCs w:val="21"/>
              </w:rPr>
              <w:t>4.2.1废气</w:t>
            </w:r>
            <w:r>
              <w:rPr>
                <w:szCs w:val="21"/>
              </w:rPr>
              <w:t>环境</w:t>
            </w:r>
            <w:r>
              <w:rPr>
                <w:rFonts w:hint="eastAsia"/>
                <w:szCs w:val="21"/>
              </w:rPr>
              <w:t>影响</w:t>
            </w:r>
            <w:r>
              <w:rPr>
                <w:szCs w:val="21"/>
              </w:rPr>
              <w:t>分析</w:t>
            </w:r>
          </w:p>
          <w:p>
            <w:pPr>
              <w:spacing w:line="360" w:lineRule="auto"/>
              <w:ind w:firstLine="420" w:firstLineChars="200"/>
              <w:rPr>
                <w:bCs/>
                <w:szCs w:val="21"/>
              </w:rPr>
            </w:pPr>
            <w:r>
              <w:rPr>
                <w:rFonts w:hint="eastAsia"/>
                <w:bCs/>
                <w:szCs w:val="21"/>
              </w:rPr>
              <w:t>（1）废气</w:t>
            </w:r>
            <w:r>
              <w:rPr>
                <w:bCs/>
                <w:szCs w:val="21"/>
              </w:rPr>
              <w:t>源强</w:t>
            </w:r>
          </w:p>
          <w:p>
            <w:pPr>
              <w:spacing w:line="360" w:lineRule="auto"/>
              <w:ind w:firstLine="420" w:firstLineChars="200"/>
              <w:rPr>
                <w:bCs/>
                <w:szCs w:val="21"/>
              </w:rPr>
            </w:pPr>
            <w:r>
              <w:rPr>
                <w:bCs/>
                <w:szCs w:val="21"/>
              </w:rPr>
              <w:t>项目平安101井钻井阶段均采用网电钻井，大大降低柴油废气产生量，备用柴油机和发电机使用时间少。评价类比</w:t>
            </w:r>
            <w:r>
              <w:rPr>
                <w:rFonts w:hint="eastAsia"/>
                <w:bCs/>
                <w:szCs w:val="21"/>
              </w:rPr>
              <w:t>平安1井</w:t>
            </w:r>
            <w:r>
              <w:rPr>
                <w:bCs/>
                <w:szCs w:val="21"/>
              </w:rPr>
              <w:t>钻井工程，</w:t>
            </w:r>
            <w:r>
              <w:rPr>
                <w:rFonts w:hint="eastAsia"/>
                <w:bCs/>
                <w:szCs w:val="21"/>
              </w:rPr>
              <w:t>发电机</w:t>
            </w:r>
            <w:r>
              <w:rPr>
                <w:bCs/>
                <w:szCs w:val="21"/>
              </w:rPr>
              <w:t>使用时间约100小时，柴油按19t计算。钻井期间的废气主要包括备用柴油机和发电机燃料燃烧产生的废气、测试放喷废气等。</w:t>
            </w:r>
          </w:p>
          <w:p>
            <w:pPr>
              <w:spacing w:line="360" w:lineRule="auto"/>
              <w:ind w:firstLine="420" w:firstLineChars="200"/>
              <w:rPr>
                <w:bCs/>
                <w:szCs w:val="21"/>
              </w:rPr>
            </w:pPr>
            <w:r>
              <w:rPr>
                <w:bCs/>
                <w:szCs w:val="21"/>
              </w:rPr>
              <w:fldChar w:fldCharType="begin"/>
            </w:r>
            <w:r>
              <w:rPr>
                <w:bCs/>
                <w:szCs w:val="21"/>
              </w:rPr>
              <w:instrText xml:space="preserve"> </w:instrText>
            </w:r>
            <w:r>
              <w:rPr>
                <w:rFonts w:hint="eastAsia"/>
                <w:bCs/>
                <w:szCs w:val="21"/>
              </w:rPr>
              <w:instrText xml:space="preserve">= 1 \* GB3</w:instrText>
            </w:r>
            <w:r>
              <w:rPr>
                <w:bCs/>
                <w:szCs w:val="21"/>
              </w:rPr>
              <w:instrText xml:space="preserve"> </w:instrText>
            </w:r>
            <w:r>
              <w:rPr>
                <w:bCs/>
                <w:szCs w:val="21"/>
              </w:rPr>
              <w:fldChar w:fldCharType="separate"/>
            </w:r>
            <w:r>
              <w:rPr>
                <w:rFonts w:hint="eastAsia"/>
                <w:bCs/>
                <w:szCs w:val="21"/>
              </w:rPr>
              <w:t>①</w:t>
            </w:r>
            <w:r>
              <w:rPr>
                <w:bCs/>
                <w:szCs w:val="21"/>
              </w:rPr>
              <w:fldChar w:fldCharType="end"/>
            </w:r>
            <w:r>
              <w:rPr>
                <w:bCs/>
                <w:szCs w:val="21"/>
              </w:rPr>
              <w:t>备用柴油机和发电机燃烧废气</w:t>
            </w:r>
          </w:p>
          <w:p>
            <w:pPr>
              <w:spacing w:line="360" w:lineRule="auto"/>
              <w:ind w:firstLine="420" w:firstLineChars="200"/>
              <w:rPr>
                <w:szCs w:val="21"/>
              </w:rPr>
            </w:pPr>
            <w:r>
              <w:rPr>
                <w:szCs w:val="21"/>
              </w:rPr>
              <w:t>钻井工程废气主要包括备用柴油机、发电机产生的废气、测试放喷和事故放喷废气等。</w:t>
            </w:r>
          </w:p>
          <w:p>
            <w:pPr>
              <w:spacing w:line="360" w:lineRule="auto"/>
              <w:ind w:firstLine="420" w:firstLineChars="200"/>
              <w:rPr>
                <w:szCs w:val="21"/>
              </w:rPr>
            </w:pPr>
            <w:r>
              <w:rPr>
                <w:szCs w:val="21"/>
              </w:rPr>
              <w:t>拟建项目采用ZJ50型钻机钻井，配置2台柴油发电机（1用1备），运行负荷980kw，油耗200g/（kw/h），单台发电机耗油量约196kg/h，参考川渝地区钻井情况，预计备用柴油发电机运行时间约100h，工程总油耗为19t。</w:t>
            </w:r>
          </w:p>
          <w:p>
            <w:pPr>
              <w:spacing w:line="360" w:lineRule="auto"/>
              <w:ind w:firstLine="420" w:firstLineChars="200"/>
              <w:rPr>
                <w:szCs w:val="21"/>
              </w:rPr>
            </w:pPr>
            <w:r>
              <w:rPr>
                <w:szCs w:val="21"/>
              </w:rPr>
              <w:t>根据《大气污染工程师手册》，当空气过剩系数为1时，1kg柴油产生的烟气量约为11Nm</w:t>
            </w:r>
            <w:r>
              <w:rPr>
                <w:szCs w:val="21"/>
                <w:vertAlign w:val="superscript"/>
              </w:rPr>
              <w:t>3</w:t>
            </w:r>
            <w:r>
              <w:rPr>
                <w:szCs w:val="21"/>
              </w:rPr>
              <w:t>。一般柴油发电机空气过剩系数为1.8，则发电机每燃烧1kg柴油产生的烟气量为11×1.8≈20Nm</w:t>
            </w:r>
            <w:r>
              <w:rPr>
                <w:szCs w:val="21"/>
                <w:vertAlign w:val="superscript"/>
              </w:rPr>
              <w:t>3</w:t>
            </w:r>
            <w:r>
              <w:rPr>
                <w:szCs w:val="21"/>
              </w:rPr>
              <w:t>，则单台发电机烟气产生量为3920m</w:t>
            </w:r>
            <w:r>
              <w:rPr>
                <w:szCs w:val="21"/>
                <w:vertAlign w:val="superscript"/>
              </w:rPr>
              <w:t>3</w:t>
            </w:r>
            <w:r>
              <w:rPr>
                <w:szCs w:val="21"/>
              </w:rPr>
              <w:t>/h。</w:t>
            </w:r>
          </w:p>
          <w:p>
            <w:pPr>
              <w:spacing w:line="360" w:lineRule="auto"/>
              <w:ind w:firstLine="420" w:firstLineChars="200"/>
              <w:rPr>
                <w:szCs w:val="21"/>
              </w:rPr>
            </w:pPr>
            <w:r>
              <w:rPr>
                <w:szCs w:val="21"/>
              </w:rPr>
              <w:t>根据《非道路移动机械用柴油机排气污染物排放限值及测量方法（中国第三、四阶段）》（GB20891-2014）及其2020年修改单，评价按照排放限值（CO3.5g/kw/h、NOx3.5g/kw/h、颗粒物 0.2g/kw/h）核算污染物排放量。污染物排放量核算见下表。</w:t>
            </w:r>
          </w:p>
          <w:p>
            <w:pPr>
              <w:pStyle w:val="19"/>
              <w:tabs>
                <w:tab w:val="left" w:pos="0"/>
                <w:tab w:val="left" w:pos="833"/>
              </w:tabs>
              <w:spacing w:before="0" w:after="0" w:line="360" w:lineRule="auto"/>
              <w:ind w:left="420" w:right="0"/>
              <w:jc w:val="center"/>
              <w:rPr>
                <w:b/>
                <w:sz w:val="21"/>
                <w:szCs w:val="21"/>
              </w:rPr>
            </w:pPr>
            <w:r>
              <w:rPr>
                <w:rFonts w:hint="eastAsia"/>
                <w:b/>
                <w:sz w:val="21"/>
                <w:szCs w:val="21"/>
              </w:rPr>
              <w:t xml:space="preserve">表4-3 </w:t>
            </w:r>
            <w:r>
              <w:rPr>
                <w:b/>
                <w:sz w:val="21"/>
                <w:szCs w:val="21"/>
              </w:rPr>
              <w:t>单台柴油发电机污染物排放一览表</w:t>
            </w:r>
          </w:p>
          <w:tbl>
            <w:tblPr>
              <w:tblStyle w:val="42"/>
              <w:tblW w:w="48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73"/>
              <w:gridCol w:w="1973"/>
              <w:gridCol w:w="1973"/>
              <w:gridCol w:w="19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973"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污染物</w:t>
                  </w:r>
                </w:p>
              </w:tc>
              <w:tc>
                <w:tcPr>
                  <w:tcW w:w="1973"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排放速率（kg/h）</w:t>
                  </w:r>
                </w:p>
              </w:tc>
              <w:tc>
                <w:tcPr>
                  <w:tcW w:w="1973"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排放浓度（mg/m</w:t>
                  </w:r>
                  <w:r>
                    <w:rPr>
                      <w:szCs w:val="21"/>
                      <w:vertAlign w:val="superscript"/>
                    </w:rPr>
                    <w:t>3</w:t>
                  </w:r>
                  <w:r>
                    <w:rPr>
                      <w:szCs w:val="21"/>
                    </w:rPr>
                    <w:t>）</w:t>
                  </w:r>
                </w:p>
              </w:tc>
              <w:tc>
                <w:tcPr>
                  <w:tcW w:w="1974"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排放总量(kg)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973"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CO</w:t>
                  </w:r>
                </w:p>
              </w:tc>
              <w:tc>
                <w:tcPr>
                  <w:tcW w:w="1973"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3.43</w:t>
                  </w:r>
                </w:p>
              </w:tc>
              <w:tc>
                <w:tcPr>
                  <w:tcW w:w="1973"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875</w:t>
                  </w:r>
                </w:p>
              </w:tc>
              <w:tc>
                <w:tcPr>
                  <w:tcW w:w="1974"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343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973"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NOx</w:t>
                  </w:r>
                </w:p>
              </w:tc>
              <w:tc>
                <w:tcPr>
                  <w:tcW w:w="1973"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3.43</w:t>
                  </w:r>
                </w:p>
              </w:tc>
              <w:tc>
                <w:tcPr>
                  <w:tcW w:w="1973"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875</w:t>
                  </w:r>
                </w:p>
              </w:tc>
              <w:tc>
                <w:tcPr>
                  <w:tcW w:w="1974"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343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973"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颗粒物</w:t>
                  </w:r>
                </w:p>
              </w:tc>
              <w:tc>
                <w:tcPr>
                  <w:tcW w:w="1973"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0.196</w:t>
                  </w:r>
                </w:p>
              </w:tc>
              <w:tc>
                <w:tcPr>
                  <w:tcW w:w="1973"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50</w:t>
                  </w:r>
                </w:p>
              </w:tc>
              <w:tc>
                <w:tcPr>
                  <w:tcW w:w="1974"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19.6</w:t>
                  </w:r>
                </w:p>
              </w:tc>
            </w:tr>
          </w:tbl>
          <w:p>
            <w:pPr>
              <w:spacing w:line="360" w:lineRule="auto"/>
              <w:ind w:firstLine="420" w:firstLineChars="200"/>
              <w:rPr>
                <w:szCs w:val="21"/>
              </w:rPr>
            </w:pPr>
          </w:p>
          <w:p>
            <w:pPr>
              <w:spacing w:line="360" w:lineRule="auto"/>
              <w:ind w:firstLine="420" w:firstLineChars="200"/>
              <w:rPr>
                <w:szCs w:val="21"/>
              </w:rPr>
            </w:pPr>
            <w:r>
              <w:rPr>
                <w:szCs w:val="21"/>
              </w:rPr>
              <w:t>根据计算，单台柴油机CO、NOx、颗粒物排放量分别为343kg、343kg，19.6kg。</w:t>
            </w:r>
          </w:p>
          <w:p>
            <w:pPr>
              <w:spacing w:line="360" w:lineRule="auto"/>
              <w:ind w:firstLine="420" w:firstLineChars="200"/>
              <w:rPr>
                <w:bCs/>
                <w:szCs w:val="21"/>
              </w:rPr>
            </w:pPr>
            <w:r>
              <w:rPr>
                <w:bCs/>
                <w:szCs w:val="21"/>
              </w:rPr>
              <w:fldChar w:fldCharType="begin"/>
            </w:r>
            <w:r>
              <w:rPr>
                <w:bCs/>
                <w:szCs w:val="21"/>
              </w:rPr>
              <w:instrText xml:space="preserve"> </w:instrText>
            </w:r>
            <w:r>
              <w:rPr>
                <w:rFonts w:hint="eastAsia"/>
                <w:bCs/>
                <w:szCs w:val="21"/>
              </w:rPr>
              <w:instrText xml:space="preserve">= 2 \* GB3</w:instrText>
            </w:r>
            <w:r>
              <w:rPr>
                <w:bCs/>
                <w:szCs w:val="21"/>
              </w:rPr>
              <w:instrText xml:space="preserve"> </w:instrText>
            </w:r>
            <w:r>
              <w:rPr>
                <w:bCs/>
                <w:szCs w:val="21"/>
              </w:rPr>
              <w:fldChar w:fldCharType="separate"/>
            </w:r>
            <w:r>
              <w:rPr>
                <w:rFonts w:hint="eastAsia"/>
                <w:bCs/>
                <w:szCs w:val="21"/>
              </w:rPr>
              <w:t>②</w:t>
            </w:r>
            <w:r>
              <w:rPr>
                <w:bCs/>
                <w:szCs w:val="21"/>
              </w:rPr>
              <w:fldChar w:fldCharType="end"/>
            </w:r>
            <w:r>
              <w:rPr>
                <w:bCs/>
                <w:szCs w:val="21"/>
              </w:rPr>
              <w:t>非正常生产、事故放喷天然气经点燃后排放废气</w:t>
            </w:r>
          </w:p>
          <w:p>
            <w:pPr>
              <w:spacing w:line="360" w:lineRule="auto"/>
              <w:ind w:firstLine="420" w:firstLineChars="200"/>
              <w:rPr>
                <w:bCs/>
                <w:szCs w:val="21"/>
              </w:rPr>
            </w:pPr>
            <w:r>
              <w:rPr>
                <w:bCs/>
                <w:szCs w:val="21"/>
              </w:rPr>
              <w:t>钻井进入气层后，有可能遇到异常高压气流，如果井内泥浆密度值过低，达不到平衡井内压力要求，就可能发生井喷。此时利用防喷器迅速封闭井口，若井口压力过高，则打开防喷管线阀门泄压，即事故放喷，属于临时排放，放喷时间一般4~6h，放喷的天然气经专用放喷管线引至放喷池后点火燃烧，点火后，主要污染物是NOx、CO</w:t>
            </w:r>
            <w:r>
              <w:rPr>
                <w:bCs/>
                <w:szCs w:val="21"/>
                <w:vertAlign w:val="subscript"/>
              </w:rPr>
              <w:t>2</w:t>
            </w:r>
            <w:r>
              <w:rPr>
                <w:bCs/>
                <w:szCs w:val="21"/>
              </w:rPr>
              <w:t>。</w:t>
            </w:r>
          </w:p>
          <w:p>
            <w:pPr>
              <w:spacing w:line="360" w:lineRule="auto"/>
              <w:ind w:firstLine="420" w:firstLineChars="200"/>
              <w:rPr>
                <w:szCs w:val="21"/>
              </w:rPr>
            </w:pPr>
            <w:r>
              <w:rPr>
                <w:rFonts w:hint="eastAsia"/>
                <w:szCs w:val="21"/>
              </w:rPr>
              <w:t>（</w:t>
            </w:r>
            <w:r>
              <w:rPr>
                <w:szCs w:val="21"/>
              </w:rPr>
              <w:t>2</w:t>
            </w:r>
            <w:r>
              <w:rPr>
                <w:rFonts w:hint="eastAsia"/>
                <w:szCs w:val="21"/>
              </w:rPr>
              <w:t>）环境</w:t>
            </w:r>
            <w:r>
              <w:rPr>
                <w:szCs w:val="21"/>
              </w:rPr>
              <w:t>影响分析</w:t>
            </w:r>
          </w:p>
          <w:p>
            <w:pPr>
              <w:spacing w:line="360" w:lineRule="auto"/>
              <w:ind w:firstLine="420" w:firstLineChars="200"/>
              <w:rPr>
                <w:szCs w:val="21"/>
              </w:rPr>
            </w:pPr>
            <w:r>
              <w:rPr>
                <w:szCs w:val="21"/>
              </w:rPr>
              <w:fldChar w:fldCharType="begin"/>
            </w:r>
            <w:r>
              <w:rPr>
                <w:szCs w:val="21"/>
              </w:rPr>
              <w:instrText xml:space="preserve"> </w:instrText>
            </w:r>
            <w:r>
              <w:rPr>
                <w:rFonts w:hint="eastAsia"/>
                <w:szCs w:val="21"/>
              </w:rPr>
              <w:instrText xml:space="preserve">= 1 \* GB3</w:instrText>
            </w:r>
            <w:r>
              <w:rPr>
                <w:szCs w:val="21"/>
              </w:rPr>
              <w:instrText xml:space="preserve"> </w:instrText>
            </w:r>
            <w:r>
              <w:rPr>
                <w:szCs w:val="21"/>
              </w:rPr>
              <w:fldChar w:fldCharType="separate"/>
            </w:r>
            <w:r>
              <w:rPr>
                <w:rFonts w:hint="eastAsia"/>
                <w:szCs w:val="21"/>
              </w:rPr>
              <w:t>①</w:t>
            </w:r>
            <w:r>
              <w:rPr>
                <w:szCs w:val="21"/>
              </w:rPr>
              <w:fldChar w:fldCharType="end"/>
            </w:r>
            <w:r>
              <w:rPr>
                <w:szCs w:val="21"/>
              </w:rPr>
              <w:t>钻井工程</w:t>
            </w:r>
          </w:p>
          <w:p>
            <w:pPr>
              <w:spacing w:line="360" w:lineRule="auto"/>
              <w:ind w:firstLine="420" w:firstLineChars="200"/>
              <w:rPr>
                <w:szCs w:val="21"/>
              </w:rPr>
            </w:pPr>
            <w:r>
              <w:rPr>
                <w:szCs w:val="21"/>
              </w:rPr>
              <w:t>钻井工程废气主要包括备用柴油发电机产生的废气、测试放喷和事故放喷废气等。</w:t>
            </w:r>
            <w:r>
              <w:rPr>
                <w:rFonts w:hint="eastAsia"/>
                <w:szCs w:val="21"/>
              </w:rPr>
              <w:t>柴油</w:t>
            </w:r>
            <w:r>
              <w:rPr>
                <w:szCs w:val="21"/>
              </w:rPr>
              <w:t>发电机燃烧排放的废气主要污染物为NOx，其次还有少量CO、CO</w:t>
            </w:r>
            <w:r>
              <w:rPr>
                <w:szCs w:val="21"/>
                <w:vertAlign w:val="subscript"/>
              </w:rPr>
              <w:t>2</w:t>
            </w:r>
            <w:r>
              <w:rPr>
                <w:szCs w:val="21"/>
              </w:rPr>
              <w:t>、HC和少量烟尘等。由于柴油发电机组烟气释放到环境空气中后将很快被稀释，加之其影响的持续时间较短，钻井期间的大气污染物将随钻井工程的结束而消除，因此钻井工程的实施不会对环境空气造成长期明显不利影响。</w:t>
            </w:r>
          </w:p>
          <w:p>
            <w:pPr>
              <w:spacing w:line="360" w:lineRule="auto"/>
              <w:ind w:firstLine="420" w:firstLineChars="200"/>
              <w:rPr>
                <w:szCs w:val="21"/>
              </w:rPr>
            </w:pPr>
            <w:r>
              <w:rPr>
                <w:szCs w:val="21"/>
              </w:rPr>
              <w:fldChar w:fldCharType="begin"/>
            </w:r>
            <w:r>
              <w:rPr>
                <w:szCs w:val="21"/>
              </w:rPr>
              <w:instrText xml:space="preserve"> </w:instrText>
            </w:r>
            <w:r>
              <w:rPr>
                <w:rFonts w:hint="eastAsia"/>
                <w:szCs w:val="21"/>
              </w:rPr>
              <w:instrText xml:space="preserve">= 2 \* GB3</w:instrText>
            </w:r>
            <w:r>
              <w:rPr>
                <w:szCs w:val="21"/>
              </w:rPr>
              <w:instrText xml:space="preserve"> </w:instrText>
            </w:r>
            <w:r>
              <w:rPr>
                <w:szCs w:val="21"/>
              </w:rPr>
              <w:fldChar w:fldCharType="separate"/>
            </w:r>
            <w:r>
              <w:rPr>
                <w:rFonts w:hint="eastAsia"/>
                <w:szCs w:val="21"/>
              </w:rPr>
              <w:t>②</w:t>
            </w:r>
            <w:r>
              <w:rPr>
                <w:szCs w:val="21"/>
              </w:rPr>
              <w:fldChar w:fldCharType="end"/>
            </w:r>
            <w:r>
              <w:rPr>
                <w:rFonts w:hint="eastAsia"/>
                <w:szCs w:val="21"/>
              </w:rPr>
              <w:t>非正常生产、事故放喷天然气经点燃后排放废气</w:t>
            </w:r>
          </w:p>
          <w:p>
            <w:pPr>
              <w:spacing w:line="360" w:lineRule="auto"/>
              <w:ind w:firstLine="420" w:firstLineChars="200"/>
              <w:rPr>
                <w:szCs w:val="21"/>
              </w:rPr>
            </w:pPr>
            <w:r>
              <w:rPr>
                <w:rFonts w:hint="eastAsia"/>
                <w:szCs w:val="21"/>
              </w:rPr>
              <w:t>非正常生产、事故放喷</w:t>
            </w:r>
            <w:r>
              <w:rPr>
                <w:szCs w:val="21"/>
              </w:rPr>
              <w:t>的天然气经点火燃烧，其主要污染物为NO</w:t>
            </w:r>
            <w:r>
              <w:rPr>
                <w:szCs w:val="21"/>
                <w:vertAlign w:val="subscript"/>
              </w:rPr>
              <w:t>X</w:t>
            </w:r>
            <w:r>
              <w:rPr>
                <w:szCs w:val="21"/>
              </w:rPr>
              <w:t>、CO</w:t>
            </w:r>
            <w:r>
              <w:rPr>
                <w:szCs w:val="21"/>
                <w:vertAlign w:val="subscript"/>
              </w:rPr>
              <w:t>2</w:t>
            </w:r>
            <w:r>
              <w:rPr>
                <w:szCs w:val="21"/>
              </w:rPr>
              <w:t>。对周边环境造成影响较小。</w:t>
            </w:r>
          </w:p>
          <w:p>
            <w:pPr>
              <w:spacing w:line="360" w:lineRule="auto"/>
              <w:rPr>
                <w:b/>
                <w:szCs w:val="21"/>
              </w:rPr>
            </w:pPr>
            <w:r>
              <w:rPr>
                <w:b/>
                <w:szCs w:val="21"/>
              </w:rPr>
              <w:t>4.2.1</w:t>
            </w:r>
            <w:r>
              <w:rPr>
                <w:rFonts w:hint="eastAsia"/>
                <w:b/>
                <w:szCs w:val="21"/>
              </w:rPr>
              <w:t>废水</w:t>
            </w:r>
            <w:r>
              <w:rPr>
                <w:b/>
                <w:szCs w:val="21"/>
              </w:rPr>
              <w:t>环境影响分析</w:t>
            </w:r>
          </w:p>
          <w:p>
            <w:pPr>
              <w:tabs>
                <w:tab w:val="left" w:pos="2321"/>
              </w:tabs>
              <w:overflowPunct w:val="0"/>
              <w:autoSpaceDE w:val="0"/>
              <w:spacing w:line="360" w:lineRule="auto"/>
              <w:ind w:firstLine="420" w:firstLineChars="200"/>
              <w:rPr>
                <w:szCs w:val="21"/>
              </w:rPr>
            </w:pPr>
            <w:r>
              <w:rPr>
                <w:rFonts w:hint="eastAsia"/>
                <w:szCs w:val="21"/>
              </w:rPr>
              <w:t>（1）废水</w:t>
            </w:r>
            <w:r>
              <w:rPr>
                <w:szCs w:val="21"/>
              </w:rPr>
              <w:t>源强分析</w:t>
            </w:r>
          </w:p>
          <w:p>
            <w:pPr>
              <w:spacing w:line="360" w:lineRule="auto"/>
              <w:ind w:firstLine="420" w:firstLineChars="200"/>
              <w:rPr>
                <w:bCs/>
                <w:szCs w:val="21"/>
              </w:rPr>
            </w:pPr>
            <w:r>
              <w:rPr>
                <w:bCs/>
                <w:szCs w:val="21"/>
              </w:rPr>
              <w:t>本项目实施雨污分流制度，钻井过程中实现废水循环利用，钻井工程过程中废水无外排，本项目废水主要为场地雨水、钻井废水、洗井废水、压裂废水以及钻井队人员生活污水。</w:t>
            </w:r>
          </w:p>
          <w:p>
            <w:pPr>
              <w:spacing w:line="360" w:lineRule="auto"/>
              <w:ind w:firstLine="420" w:firstLineChars="200"/>
              <w:rPr>
                <w:bCs/>
                <w:szCs w:val="21"/>
              </w:rPr>
            </w:pPr>
            <w:r>
              <w:rPr>
                <w:bCs/>
                <w:szCs w:val="21"/>
              </w:rPr>
              <w:fldChar w:fldCharType="begin"/>
            </w:r>
            <w:r>
              <w:rPr>
                <w:bCs/>
                <w:szCs w:val="21"/>
              </w:rPr>
              <w:instrText xml:space="preserve"> </w:instrText>
            </w:r>
            <w:r>
              <w:rPr>
                <w:rFonts w:hint="eastAsia"/>
                <w:bCs/>
                <w:szCs w:val="21"/>
              </w:rPr>
              <w:instrText xml:space="preserve">= 1 \* GB3</w:instrText>
            </w:r>
            <w:r>
              <w:rPr>
                <w:bCs/>
                <w:szCs w:val="21"/>
              </w:rPr>
              <w:instrText xml:space="preserve"> </w:instrText>
            </w:r>
            <w:r>
              <w:rPr>
                <w:bCs/>
                <w:szCs w:val="21"/>
              </w:rPr>
              <w:fldChar w:fldCharType="separate"/>
            </w:r>
            <w:r>
              <w:rPr>
                <w:rFonts w:hint="eastAsia"/>
                <w:bCs/>
                <w:szCs w:val="21"/>
              </w:rPr>
              <w:t>①</w:t>
            </w:r>
            <w:r>
              <w:rPr>
                <w:bCs/>
                <w:szCs w:val="21"/>
              </w:rPr>
              <w:fldChar w:fldCharType="end"/>
            </w:r>
            <w:r>
              <w:rPr>
                <w:bCs/>
                <w:szCs w:val="21"/>
              </w:rPr>
              <w:t>场地雨水</w:t>
            </w:r>
          </w:p>
          <w:p>
            <w:pPr>
              <w:spacing w:line="360" w:lineRule="auto"/>
              <w:ind w:firstLine="420" w:firstLineChars="200"/>
              <w:rPr>
                <w:bCs/>
                <w:szCs w:val="21"/>
              </w:rPr>
            </w:pPr>
            <w:r>
              <w:rPr>
                <w:bCs/>
                <w:szCs w:val="21"/>
              </w:rPr>
              <w:t>本项目井场内外实施清污分流措施，井场外雨水依靠井场设置的地面坡度，就地散排至井场四周设置的排水沟，排出场外。场内产污区经污水截流沟，截留井场产污区散落的污水，截流沟中的废水进入隔油池，经油水分离后通过集水坑泵入清洁生产操作平台废水罐处理回用。不能回用时经应急池暂存后由罐车拉运至四川瑞利生物科技有限公司处理站处理。</w:t>
            </w:r>
          </w:p>
          <w:p>
            <w:pPr>
              <w:spacing w:line="360" w:lineRule="auto"/>
              <w:ind w:firstLine="420" w:firstLineChars="200"/>
              <w:rPr>
                <w:bCs/>
                <w:szCs w:val="21"/>
              </w:rPr>
            </w:pPr>
            <w:r>
              <w:rPr>
                <w:bCs/>
                <w:szCs w:val="21"/>
              </w:rPr>
              <w:t>根据通川区气象资料，年均降雨量为1185.2mm，结合拟建项目井场产污区面积，拟建项目产污区最大雨水量约15m</w:t>
            </w:r>
            <w:r>
              <w:rPr>
                <w:bCs/>
                <w:szCs w:val="21"/>
                <w:vertAlign w:val="superscript"/>
              </w:rPr>
              <w:t>3</w:t>
            </w:r>
            <w:r>
              <w:rPr>
                <w:bCs/>
                <w:szCs w:val="21"/>
              </w:rPr>
              <w:t>。雨水定期通过污水泵泵入废水罐中处理，能够满足拟建项目储存雨水的要求。结合拟建项目特征，雨水主要污染物为SS和石油类，产生浓度分别为200mg/L和20mg/L。</w:t>
            </w:r>
          </w:p>
          <w:p>
            <w:pPr>
              <w:spacing w:line="360" w:lineRule="auto"/>
              <w:ind w:firstLine="420" w:firstLineChars="200"/>
              <w:rPr>
                <w:bCs/>
                <w:szCs w:val="21"/>
              </w:rPr>
            </w:pPr>
            <w:r>
              <w:rPr>
                <w:bCs/>
                <w:szCs w:val="21"/>
              </w:rPr>
              <w:fldChar w:fldCharType="begin"/>
            </w:r>
            <w:r>
              <w:rPr>
                <w:bCs/>
                <w:szCs w:val="21"/>
              </w:rPr>
              <w:instrText xml:space="preserve"> </w:instrText>
            </w:r>
            <w:r>
              <w:rPr>
                <w:rFonts w:hint="eastAsia"/>
                <w:bCs/>
                <w:szCs w:val="21"/>
              </w:rPr>
              <w:instrText xml:space="preserve">= 2 \* GB3</w:instrText>
            </w:r>
            <w:r>
              <w:rPr>
                <w:bCs/>
                <w:szCs w:val="21"/>
              </w:rPr>
              <w:instrText xml:space="preserve"> </w:instrText>
            </w:r>
            <w:r>
              <w:rPr>
                <w:bCs/>
                <w:szCs w:val="21"/>
              </w:rPr>
              <w:fldChar w:fldCharType="separate"/>
            </w:r>
            <w:r>
              <w:rPr>
                <w:rFonts w:hint="eastAsia"/>
                <w:bCs/>
                <w:szCs w:val="21"/>
              </w:rPr>
              <w:t>②</w:t>
            </w:r>
            <w:r>
              <w:rPr>
                <w:bCs/>
                <w:szCs w:val="21"/>
              </w:rPr>
              <w:fldChar w:fldCharType="end"/>
            </w:r>
            <w:r>
              <w:rPr>
                <w:bCs/>
                <w:szCs w:val="21"/>
              </w:rPr>
              <w:t>钻井废水</w:t>
            </w:r>
          </w:p>
          <w:p>
            <w:pPr>
              <w:spacing w:line="360" w:lineRule="auto"/>
              <w:ind w:firstLine="420" w:firstLineChars="200"/>
              <w:rPr>
                <w:bCs/>
                <w:szCs w:val="21"/>
              </w:rPr>
            </w:pPr>
            <w:r>
              <w:rPr>
                <w:bCs/>
                <w:szCs w:val="21"/>
              </w:rPr>
              <w:t>参照生态环境部发布《排放源统计调查产排污核算方法和系数手册》中1120《石油和天然气开采专业及辅助性活动行业系数手册》产污系数，平安101井井深约4087m，井型为定向井，属于特殊井，根据续表5可知，废水产生量为56.68t/百米。参考同类型钻井工程，损耗量约占总用水量的5%，废水排放率约占总用水量的10%，废水回用率约为85%，因此水量计算如下：</w:t>
            </w:r>
          </w:p>
          <w:p>
            <w:pPr>
              <w:spacing w:line="360" w:lineRule="auto"/>
              <w:ind w:firstLine="420" w:firstLineChars="200"/>
              <w:rPr>
                <w:bCs/>
                <w:szCs w:val="21"/>
              </w:rPr>
            </w:pPr>
            <w:r>
              <w:rPr>
                <w:bCs/>
                <w:szCs w:val="21"/>
              </w:rPr>
              <w:t>废水产生总量=4087/100*56.68t=2316.5t</w:t>
            </w:r>
          </w:p>
          <w:p>
            <w:pPr>
              <w:spacing w:line="360" w:lineRule="auto"/>
              <w:ind w:firstLine="420" w:firstLineChars="200"/>
              <w:rPr>
                <w:bCs/>
                <w:szCs w:val="21"/>
              </w:rPr>
            </w:pPr>
            <w:r>
              <w:rPr>
                <w:bCs/>
                <w:szCs w:val="21"/>
              </w:rPr>
              <w:t>排放量=2316.5t*10%=231.65t</w:t>
            </w:r>
          </w:p>
          <w:p>
            <w:pPr>
              <w:spacing w:line="360" w:lineRule="auto"/>
              <w:ind w:firstLine="420" w:firstLineChars="200"/>
              <w:rPr>
                <w:bCs/>
                <w:szCs w:val="21"/>
              </w:rPr>
            </w:pPr>
            <w:r>
              <w:rPr>
                <w:bCs/>
                <w:szCs w:val="21"/>
              </w:rPr>
              <w:t>损耗量=2316.5t*5%=115.83t</w:t>
            </w:r>
          </w:p>
          <w:p>
            <w:pPr>
              <w:spacing w:line="360" w:lineRule="auto"/>
              <w:ind w:firstLine="420" w:firstLineChars="200"/>
              <w:rPr>
                <w:bCs/>
                <w:szCs w:val="21"/>
              </w:rPr>
            </w:pPr>
            <w:r>
              <w:rPr>
                <w:bCs/>
                <w:szCs w:val="21"/>
              </w:rPr>
              <w:t>新鲜水用量=排放量+损耗量=231.65t+115.83t=347.48t</w:t>
            </w:r>
          </w:p>
          <w:p>
            <w:pPr>
              <w:spacing w:line="360" w:lineRule="auto"/>
              <w:ind w:firstLine="420" w:firstLineChars="200"/>
              <w:rPr>
                <w:bCs/>
                <w:szCs w:val="21"/>
              </w:rPr>
            </w:pPr>
            <w:r>
              <w:rPr>
                <w:bCs/>
                <w:szCs w:val="21"/>
              </w:rPr>
              <w:t>钻井废水储存在废水罐和应急池，最终拟交由四川瑞利生物科技有限公司污水处理厂处理达标排放。废水具体产生情况见</w:t>
            </w:r>
            <w:r>
              <w:rPr>
                <w:rFonts w:hint="eastAsia"/>
                <w:bCs/>
                <w:szCs w:val="21"/>
              </w:rPr>
              <w:t>下表</w:t>
            </w:r>
            <w:r>
              <w:rPr>
                <w:bCs/>
                <w:szCs w:val="21"/>
              </w:rPr>
              <w:t>。</w:t>
            </w:r>
          </w:p>
          <w:p>
            <w:pPr>
              <w:pStyle w:val="19"/>
              <w:tabs>
                <w:tab w:val="left" w:pos="0"/>
                <w:tab w:val="left" w:pos="833"/>
              </w:tabs>
              <w:spacing w:before="0" w:after="0" w:line="360" w:lineRule="auto"/>
              <w:ind w:left="420" w:right="0"/>
              <w:jc w:val="center"/>
              <w:rPr>
                <w:b/>
                <w:bCs/>
                <w:sz w:val="21"/>
                <w:szCs w:val="21"/>
              </w:rPr>
            </w:pPr>
            <w:r>
              <w:rPr>
                <w:rFonts w:hint="eastAsia"/>
                <w:b/>
                <w:sz w:val="21"/>
                <w:szCs w:val="21"/>
              </w:rPr>
              <w:t xml:space="preserve">表4-4 </w:t>
            </w:r>
            <w:r>
              <w:rPr>
                <w:b/>
                <w:sz w:val="21"/>
                <w:szCs w:val="21"/>
              </w:rPr>
              <w:t>项目</w:t>
            </w:r>
            <w:r>
              <w:rPr>
                <w:b/>
                <w:bCs/>
                <w:sz w:val="21"/>
                <w:szCs w:val="21"/>
              </w:rPr>
              <w:t>钻井阶段水量一览表   单位：t</w:t>
            </w:r>
          </w:p>
          <w:tbl>
            <w:tblPr>
              <w:tblStyle w:val="42"/>
              <w:tblW w:w="80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8"/>
              <w:gridCol w:w="1187"/>
              <w:gridCol w:w="1334"/>
              <w:gridCol w:w="890"/>
              <w:gridCol w:w="1311"/>
              <w:gridCol w:w="19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1338" w:type="dxa"/>
                  <w:vAlign w:val="center"/>
                </w:tcPr>
                <w:p>
                  <w:pPr>
                    <w:autoSpaceDE w:val="0"/>
                    <w:autoSpaceDN w:val="0"/>
                    <w:jc w:val="center"/>
                    <w:rPr>
                      <w:bCs/>
                      <w:kern w:val="0"/>
                      <w:szCs w:val="21"/>
                    </w:rPr>
                  </w:pPr>
                  <w:r>
                    <w:rPr>
                      <w:bCs/>
                      <w:kern w:val="0"/>
                      <w:szCs w:val="21"/>
                    </w:rPr>
                    <w:t>井号</w:t>
                  </w:r>
                </w:p>
              </w:tc>
              <w:tc>
                <w:tcPr>
                  <w:tcW w:w="1187" w:type="dxa"/>
                  <w:vAlign w:val="center"/>
                </w:tcPr>
                <w:p>
                  <w:pPr>
                    <w:autoSpaceDE w:val="0"/>
                    <w:autoSpaceDN w:val="0"/>
                    <w:jc w:val="center"/>
                    <w:rPr>
                      <w:bCs/>
                      <w:kern w:val="0"/>
                      <w:szCs w:val="21"/>
                    </w:rPr>
                  </w:pPr>
                  <w:r>
                    <w:rPr>
                      <w:bCs/>
                      <w:kern w:val="0"/>
                      <w:szCs w:val="21"/>
                    </w:rPr>
                    <w:t>总用水量</w:t>
                  </w:r>
                </w:p>
              </w:tc>
              <w:tc>
                <w:tcPr>
                  <w:tcW w:w="1334" w:type="dxa"/>
                  <w:vAlign w:val="center"/>
                </w:tcPr>
                <w:p>
                  <w:pPr>
                    <w:autoSpaceDE w:val="0"/>
                    <w:autoSpaceDN w:val="0"/>
                    <w:jc w:val="center"/>
                    <w:rPr>
                      <w:bCs/>
                      <w:kern w:val="0"/>
                      <w:szCs w:val="21"/>
                    </w:rPr>
                  </w:pPr>
                  <w:r>
                    <w:rPr>
                      <w:bCs/>
                      <w:kern w:val="0"/>
                      <w:szCs w:val="21"/>
                    </w:rPr>
                    <w:t>新鲜水用量</w:t>
                  </w:r>
                </w:p>
              </w:tc>
              <w:tc>
                <w:tcPr>
                  <w:tcW w:w="890" w:type="dxa"/>
                  <w:vAlign w:val="center"/>
                </w:tcPr>
                <w:p>
                  <w:pPr>
                    <w:autoSpaceDE w:val="0"/>
                    <w:autoSpaceDN w:val="0"/>
                    <w:jc w:val="center"/>
                    <w:rPr>
                      <w:bCs/>
                      <w:kern w:val="0"/>
                      <w:szCs w:val="21"/>
                    </w:rPr>
                  </w:pPr>
                  <w:r>
                    <w:rPr>
                      <w:bCs/>
                      <w:kern w:val="0"/>
                      <w:szCs w:val="21"/>
                    </w:rPr>
                    <w:t>损耗量</w:t>
                  </w:r>
                </w:p>
              </w:tc>
              <w:tc>
                <w:tcPr>
                  <w:tcW w:w="1311" w:type="dxa"/>
                  <w:vAlign w:val="center"/>
                </w:tcPr>
                <w:p>
                  <w:pPr>
                    <w:autoSpaceDE w:val="0"/>
                    <w:autoSpaceDN w:val="0"/>
                    <w:jc w:val="center"/>
                    <w:rPr>
                      <w:bCs/>
                      <w:kern w:val="0"/>
                      <w:szCs w:val="21"/>
                    </w:rPr>
                  </w:pPr>
                  <w:r>
                    <w:rPr>
                      <w:bCs/>
                      <w:kern w:val="0"/>
                      <w:szCs w:val="21"/>
                    </w:rPr>
                    <w:t>回用量</w:t>
                  </w:r>
                </w:p>
              </w:tc>
              <w:tc>
                <w:tcPr>
                  <w:tcW w:w="1993" w:type="dxa"/>
                  <w:vAlign w:val="center"/>
                </w:tcPr>
                <w:p>
                  <w:pPr>
                    <w:autoSpaceDE w:val="0"/>
                    <w:autoSpaceDN w:val="0"/>
                    <w:jc w:val="center"/>
                    <w:rPr>
                      <w:bCs/>
                      <w:kern w:val="0"/>
                      <w:szCs w:val="21"/>
                    </w:rPr>
                  </w:pPr>
                  <w:r>
                    <w:rPr>
                      <w:bCs/>
                      <w:kern w:val="0"/>
                      <w:szCs w:val="21"/>
                    </w:rPr>
                    <w:t>剩余废水量（外运处理量）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1338" w:type="dxa"/>
                  <w:vAlign w:val="center"/>
                </w:tcPr>
                <w:p>
                  <w:pPr>
                    <w:jc w:val="center"/>
                    <w:rPr>
                      <w:szCs w:val="21"/>
                    </w:rPr>
                  </w:pPr>
                  <w:r>
                    <w:rPr>
                      <w:szCs w:val="21"/>
                    </w:rPr>
                    <w:t>平安101井</w:t>
                  </w:r>
                </w:p>
              </w:tc>
              <w:tc>
                <w:tcPr>
                  <w:tcW w:w="1187" w:type="dxa"/>
                  <w:vAlign w:val="center"/>
                </w:tcPr>
                <w:p>
                  <w:pPr>
                    <w:widowControl/>
                    <w:jc w:val="center"/>
                    <w:rPr>
                      <w:rFonts w:eastAsia="等线"/>
                      <w:kern w:val="0"/>
                      <w:szCs w:val="21"/>
                    </w:rPr>
                  </w:pPr>
                  <w:r>
                    <w:rPr>
                      <w:rFonts w:hint="eastAsia" w:eastAsia="等线"/>
                      <w:kern w:val="0"/>
                      <w:szCs w:val="21"/>
                    </w:rPr>
                    <w:t>2316.5</w:t>
                  </w:r>
                </w:p>
              </w:tc>
              <w:tc>
                <w:tcPr>
                  <w:tcW w:w="1334" w:type="dxa"/>
                  <w:vAlign w:val="center"/>
                </w:tcPr>
                <w:p>
                  <w:pPr>
                    <w:jc w:val="center"/>
                    <w:rPr>
                      <w:rFonts w:eastAsia="等线"/>
                      <w:szCs w:val="21"/>
                    </w:rPr>
                  </w:pPr>
                  <w:r>
                    <w:rPr>
                      <w:rFonts w:hint="eastAsia" w:eastAsia="等线"/>
                      <w:szCs w:val="21"/>
                    </w:rPr>
                    <w:t>347.48</w:t>
                  </w:r>
                </w:p>
              </w:tc>
              <w:tc>
                <w:tcPr>
                  <w:tcW w:w="890" w:type="dxa"/>
                  <w:vAlign w:val="center"/>
                </w:tcPr>
                <w:p>
                  <w:pPr>
                    <w:jc w:val="center"/>
                    <w:rPr>
                      <w:rFonts w:eastAsia="等线"/>
                      <w:szCs w:val="21"/>
                    </w:rPr>
                  </w:pPr>
                  <w:r>
                    <w:rPr>
                      <w:rFonts w:hint="eastAsia" w:eastAsia="等线"/>
                      <w:szCs w:val="21"/>
                    </w:rPr>
                    <w:t>115.83</w:t>
                  </w:r>
                </w:p>
              </w:tc>
              <w:tc>
                <w:tcPr>
                  <w:tcW w:w="1311" w:type="dxa"/>
                  <w:vAlign w:val="center"/>
                </w:tcPr>
                <w:p>
                  <w:pPr>
                    <w:jc w:val="center"/>
                    <w:rPr>
                      <w:rFonts w:eastAsia="等线"/>
                      <w:szCs w:val="21"/>
                    </w:rPr>
                  </w:pPr>
                  <w:r>
                    <w:rPr>
                      <w:rFonts w:hint="eastAsia" w:eastAsia="等线"/>
                      <w:szCs w:val="21"/>
                    </w:rPr>
                    <w:t>1969.02</w:t>
                  </w:r>
                </w:p>
              </w:tc>
              <w:tc>
                <w:tcPr>
                  <w:tcW w:w="1993" w:type="dxa"/>
                  <w:vAlign w:val="center"/>
                </w:tcPr>
                <w:p>
                  <w:pPr>
                    <w:jc w:val="center"/>
                    <w:rPr>
                      <w:rFonts w:eastAsia="等线"/>
                      <w:szCs w:val="21"/>
                    </w:rPr>
                  </w:pPr>
                  <w:r>
                    <w:rPr>
                      <w:rFonts w:hint="eastAsia" w:eastAsia="等线"/>
                      <w:szCs w:val="21"/>
                    </w:rPr>
                    <w:t>231.65</w:t>
                  </w:r>
                </w:p>
              </w:tc>
            </w:tr>
          </w:tbl>
          <w:p>
            <w:pPr>
              <w:spacing w:line="360" w:lineRule="auto"/>
              <w:ind w:firstLine="420" w:firstLineChars="200"/>
              <w:rPr>
                <w:bCs/>
                <w:szCs w:val="21"/>
              </w:rPr>
            </w:pPr>
          </w:p>
          <w:p>
            <w:pPr>
              <w:spacing w:line="360" w:lineRule="auto"/>
              <w:ind w:firstLine="420" w:firstLineChars="200"/>
              <w:rPr>
                <w:bCs/>
                <w:szCs w:val="21"/>
              </w:rPr>
            </w:pPr>
            <w:r>
              <w:rPr>
                <w:bCs/>
                <w:szCs w:val="21"/>
              </w:rPr>
              <w:t>主要污染物成分为钻井泥浆成分，其性质是钻井泥浆的高倍稀释废水。采用的水基钻井泥浆不含重金属，钻井废水无重金属污染，具有色度高、COD、悬浮物浓度高的特点。根据1120《石油和天然气开采专业及辅助性活动行业系数手册》产污系数，COD产生量为252593g/百米，石油类产生量为1204g/百米。经过隔油罐、沉淀罐采用沉淀工艺预处理后浓度降低。回用于钻井补充泥浆的配置。完钻阶段钻井废水暂存在清洁生产操作平台的废水罐内并回用于后续压裂作业，不能回用时由罐车拉运至四川瑞利生物科技有限公司处理。类比同类型钻井项目废水水质情况主要污染物浓度见下表。</w:t>
            </w:r>
          </w:p>
          <w:p>
            <w:pPr>
              <w:pStyle w:val="19"/>
              <w:tabs>
                <w:tab w:val="left" w:pos="0"/>
                <w:tab w:val="left" w:pos="833"/>
              </w:tabs>
              <w:spacing w:before="0" w:after="0" w:line="360" w:lineRule="auto"/>
              <w:ind w:left="420" w:right="0"/>
              <w:jc w:val="center"/>
              <w:rPr>
                <w:b/>
                <w:bCs/>
                <w:sz w:val="21"/>
                <w:szCs w:val="21"/>
              </w:rPr>
            </w:pPr>
            <w:r>
              <w:rPr>
                <w:rFonts w:hint="eastAsia"/>
                <w:b/>
                <w:bCs/>
                <w:sz w:val="21"/>
                <w:szCs w:val="21"/>
              </w:rPr>
              <w:t xml:space="preserve">表4-5 </w:t>
            </w:r>
            <w:r>
              <w:rPr>
                <w:b/>
                <w:bCs/>
                <w:sz w:val="21"/>
                <w:szCs w:val="21"/>
              </w:rPr>
              <w:t>钻井废水中污染物浓度类比预测     单位：mg/L，pH无量纲</w:t>
            </w:r>
          </w:p>
          <w:tbl>
            <w:tblPr>
              <w:tblStyle w:val="42"/>
              <w:tblW w:w="78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51"/>
              <w:gridCol w:w="1101"/>
              <w:gridCol w:w="1101"/>
              <w:gridCol w:w="1616"/>
              <w:gridCol w:w="15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551" w:type="dxa"/>
                  <w:vAlign w:val="center"/>
                </w:tcPr>
                <w:p>
                  <w:pPr>
                    <w:pStyle w:val="25"/>
                    <w:tabs>
                      <w:tab w:val="left" w:pos="2321"/>
                    </w:tabs>
                    <w:spacing w:after="0" w:line="240" w:lineRule="auto"/>
                    <w:ind w:left="-88" w:leftChars="-42" w:right="-6"/>
                    <w:jc w:val="center"/>
                    <w:rPr>
                      <w:szCs w:val="21"/>
                    </w:rPr>
                  </w:pPr>
                  <w:r>
                    <w:rPr>
                      <w:szCs w:val="21"/>
                    </w:rPr>
                    <w:t>污染物</w:t>
                  </w:r>
                </w:p>
              </w:tc>
              <w:tc>
                <w:tcPr>
                  <w:tcW w:w="1101" w:type="dxa"/>
                  <w:vAlign w:val="center"/>
                </w:tcPr>
                <w:p>
                  <w:pPr>
                    <w:pStyle w:val="25"/>
                    <w:tabs>
                      <w:tab w:val="left" w:pos="2321"/>
                    </w:tabs>
                    <w:spacing w:after="0" w:line="240" w:lineRule="auto"/>
                    <w:ind w:left="-88" w:leftChars="-42" w:right="-6"/>
                    <w:jc w:val="center"/>
                    <w:rPr>
                      <w:szCs w:val="21"/>
                    </w:rPr>
                  </w:pPr>
                  <w:r>
                    <w:rPr>
                      <w:szCs w:val="21"/>
                    </w:rPr>
                    <w:t>pH</w:t>
                  </w:r>
                </w:p>
              </w:tc>
              <w:tc>
                <w:tcPr>
                  <w:tcW w:w="1101" w:type="dxa"/>
                  <w:vAlign w:val="center"/>
                </w:tcPr>
                <w:p>
                  <w:pPr>
                    <w:pStyle w:val="25"/>
                    <w:tabs>
                      <w:tab w:val="left" w:pos="2321"/>
                    </w:tabs>
                    <w:spacing w:after="0" w:line="240" w:lineRule="auto"/>
                    <w:ind w:left="-88" w:leftChars="-42" w:right="-6"/>
                    <w:jc w:val="center"/>
                    <w:rPr>
                      <w:szCs w:val="21"/>
                    </w:rPr>
                  </w:pPr>
                  <w:r>
                    <w:rPr>
                      <w:szCs w:val="21"/>
                    </w:rPr>
                    <w:t>SS</w:t>
                  </w:r>
                </w:p>
              </w:tc>
              <w:tc>
                <w:tcPr>
                  <w:tcW w:w="1616" w:type="dxa"/>
                  <w:vAlign w:val="center"/>
                </w:tcPr>
                <w:p>
                  <w:pPr>
                    <w:pStyle w:val="25"/>
                    <w:tabs>
                      <w:tab w:val="left" w:pos="2321"/>
                    </w:tabs>
                    <w:spacing w:after="0" w:line="240" w:lineRule="auto"/>
                    <w:ind w:left="-88" w:leftChars="-42" w:right="-6"/>
                    <w:jc w:val="center"/>
                    <w:rPr>
                      <w:szCs w:val="21"/>
                    </w:rPr>
                  </w:pPr>
                  <w:r>
                    <w:rPr>
                      <w:szCs w:val="21"/>
                    </w:rPr>
                    <w:t>石油类</w:t>
                  </w:r>
                </w:p>
              </w:tc>
              <w:tc>
                <w:tcPr>
                  <w:tcW w:w="1500" w:type="dxa"/>
                  <w:vAlign w:val="center"/>
                </w:tcPr>
                <w:p>
                  <w:pPr>
                    <w:pStyle w:val="25"/>
                    <w:tabs>
                      <w:tab w:val="left" w:pos="2321"/>
                    </w:tabs>
                    <w:spacing w:after="0" w:line="240" w:lineRule="auto"/>
                    <w:ind w:left="-88" w:leftChars="-42" w:right="-6"/>
                    <w:jc w:val="center"/>
                    <w:rPr>
                      <w:szCs w:val="21"/>
                    </w:rPr>
                  </w:pPr>
                  <w:r>
                    <w:rPr>
                      <w:szCs w:val="21"/>
                    </w:rPr>
                    <w:t>COD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551" w:type="dxa"/>
                  <w:vAlign w:val="center"/>
                </w:tcPr>
                <w:p>
                  <w:pPr>
                    <w:pStyle w:val="25"/>
                    <w:tabs>
                      <w:tab w:val="left" w:pos="2321"/>
                    </w:tabs>
                    <w:spacing w:after="0" w:line="240" w:lineRule="auto"/>
                    <w:ind w:left="-88" w:leftChars="-42" w:right="-6"/>
                    <w:jc w:val="center"/>
                    <w:rPr>
                      <w:szCs w:val="21"/>
                    </w:rPr>
                  </w:pPr>
                  <w:r>
                    <w:rPr>
                      <w:szCs w:val="21"/>
                    </w:rPr>
                    <w:t>钻井废水浓度</w:t>
                  </w:r>
                </w:p>
              </w:tc>
              <w:tc>
                <w:tcPr>
                  <w:tcW w:w="1101" w:type="dxa"/>
                  <w:vAlign w:val="center"/>
                </w:tcPr>
                <w:p>
                  <w:pPr>
                    <w:pStyle w:val="25"/>
                    <w:tabs>
                      <w:tab w:val="left" w:pos="2321"/>
                    </w:tabs>
                    <w:spacing w:after="0" w:line="240" w:lineRule="auto"/>
                    <w:ind w:left="-88" w:leftChars="-42" w:right="-6"/>
                    <w:jc w:val="center"/>
                    <w:rPr>
                      <w:szCs w:val="21"/>
                    </w:rPr>
                  </w:pPr>
                  <w:r>
                    <w:rPr>
                      <w:szCs w:val="21"/>
                    </w:rPr>
                    <w:t>6～9</w:t>
                  </w:r>
                </w:p>
              </w:tc>
              <w:tc>
                <w:tcPr>
                  <w:tcW w:w="1101" w:type="dxa"/>
                  <w:vAlign w:val="center"/>
                </w:tcPr>
                <w:p>
                  <w:pPr>
                    <w:pStyle w:val="25"/>
                    <w:tabs>
                      <w:tab w:val="left" w:pos="2321"/>
                    </w:tabs>
                    <w:spacing w:after="0" w:line="240" w:lineRule="auto"/>
                    <w:ind w:left="-88" w:leftChars="-42" w:right="-6"/>
                    <w:jc w:val="center"/>
                    <w:rPr>
                      <w:szCs w:val="21"/>
                    </w:rPr>
                  </w:pPr>
                  <w:r>
                    <w:rPr>
                      <w:szCs w:val="21"/>
                    </w:rPr>
                    <w:t>≤2000</w:t>
                  </w:r>
                </w:p>
              </w:tc>
              <w:tc>
                <w:tcPr>
                  <w:tcW w:w="1616" w:type="dxa"/>
                  <w:vAlign w:val="center"/>
                </w:tcPr>
                <w:p>
                  <w:pPr>
                    <w:pStyle w:val="25"/>
                    <w:tabs>
                      <w:tab w:val="left" w:pos="2321"/>
                    </w:tabs>
                    <w:spacing w:after="0" w:line="240" w:lineRule="auto"/>
                    <w:ind w:left="-88" w:leftChars="-42" w:right="-6"/>
                    <w:jc w:val="center"/>
                    <w:rPr>
                      <w:szCs w:val="21"/>
                    </w:rPr>
                  </w:pPr>
                  <w:r>
                    <w:rPr>
                      <w:szCs w:val="21"/>
                    </w:rPr>
                    <w:t>≤21.24</w:t>
                  </w:r>
                </w:p>
              </w:tc>
              <w:tc>
                <w:tcPr>
                  <w:tcW w:w="1500" w:type="dxa"/>
                  <w:vAlign w:val="center"/>
                </w:tcPr>
                <w:p>
                  <w:pPr>
                    <w:pStyle w:val="25"/>
                    <w:tabs>
                      <w:tab w:val="left" w:pos="2321"/>
                    </w:tabs>
                    <w:spacing w:after="0" w:line="240" w:lineRule="auto"/>
                    <w:ind w:left="-88" w:leftChars="-42" w:right="-6"/>
                    <w:jc w:val="center"/>
                    <w:rPr>
                      <w:szCs w:val="21"/>
                    </w:rPr>
                  </w:pPr>
                  <w:r>
                    <w:rPr>
                      <w:szCs w:val="21"/>
                    </w:rPr>
                    <w:t>≤4456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551" w:type="dxa"/>
                  <w:vAlign w:val="center"/>
                </w:tcPr>
                <w:p>
                  <w:pPr>
                    <w:pStyle w:val="25"/>
                    <w:tabs>
                      <w:tab w:val="left" w:pos="2321"/>
                    </w:tabs>
                    <w:spacing w:after="0" w:line="240" w:lineRule="auto"/>
                    <w:ind w:left="-88" w:leftChars="-42" w:right="-6"/>
                    <w:jc w:val="center"/>
                    <w:rPr>
                      <w:szCs w:val="21"/>
                    </w:rPr>
                  </w:pPr>
                  <w:r>
                    <w:rPr>
                      <w:szCs w:val="21"/>
                    </w:rPr>
                    <w:t>预处理后钻井废水浓度</w:t>
                  </w:r>
                </w:p>
              </w:tc>
              <w:tc>
                <w:tcPr>
                  <w:tcW w:w="1101" w:type="dxa"/>
                  <w:vAlign w:val="center"/>
                </w:tcPr>
                <w:p>
                  <w:pPr>
                    <w:pStyle w:val="25"/>
                    <w:tabs>
                      <w:tab w:val="left" w:pos="2321"/>
                    </w:tabs>
                    <w:spacing w:after="0" w:line="240" w:lineRule="auto"/>
                    <w:ind w:left="-88" w:leftChars="-42" w:right="-6"/>
                    <w:jc w:val="center"/>
                    <w:rPr>
                      <w:szCs w:val="21"/>
                    </w:rPr>
                  </w:pPr>
                  <w:r>
                    <w:rPr>
                      <w:szCs w:val="21"/>
                    </w:rPr>
                    <w:t>6～9</w:t>
                  </w:r>
                </w:p>
              </w:tc>
              <w:tc>
                <w:tcPr>
                  <w:tcW w:w="1101" w:type="dxa"/>
                  <w:vAlign w:val="center"/>
                </w:tcPr>
                <w:p>
                  <w:pPr>
                    <w:pStyle w:val="25"/>
                    <w:tabs>
                      <w:tab w:val="left" w:pos="2321"/>
                    </w:tabs>
                    <w:spacing w:after="0" w:line="240" w:lineRule="auto"/>
                    <w:ind w:left="-88" w:leftChars="-42" w:right="-6"/>
                    <w:jc w:val="center"/>
                    <w:rPr>
                      <w:szCs w:val="21"/>
                    </w:rPr>
                  </w:pPr>
                  <w:r>
                    <w:rPr>
                      <w:szCs w:val="21"/>
                    </w:rPr>
                    <w:t>≤1000</w:t>
                  </w:r>
                </w:p>
              </w:tc>
              <w:tc>
                <w:tcPr>
                  <w:tcW w:w="1616" w:type="dxa"/>
                  <w:vAlign w:val="center"/>
                </w:tcPr>
                <w:p>
                  <w:pPr>
                    <w:pStyle w:val="25"/>
                    <w:tabs>
                      <w:tab w:val="left" w:pos="2321"/>
                    </w:tabs>
                    <w:spacing w:after="0" w:line="240" w:lineRule="auto"/>
                    <w:ind w:left="-88" w:leftChars="-42" w:right="-6"/>
                    <w:jc w:val="center"/>
                    <w:rPr>
                      <w:szCs w:val="21"/>
                    </w:rPr>
                  </w:pPr>
                  <w:r>
                    <w:rPr>
                      <w:szCs w:val="21"/>
                    </w:rPr>
                    <w:t>≤20</w:t>
                  </w:r>
                </w:p>
              </w:tc>
              <w:tc>
                <w:tcPr>
                  <w:tcW w:w="1500" w:type="dxa"/>
                  <w:vAlign w:val="center"/>
                </w:tcPr>
                <w:p>
                  <w:pPr>
                    <w:pStyle w:val="25"/>
                    <w:tabs>
                      <w:tab w:val="left" w:pos="2321"/>
                    </w:tabs>
                    <w:spacing w:after="0" w:line="240" w:lineRule="auto"/>
                    <w:ind w:left="-88" w:leftChars="-42" w:right="-6"/>
                    <w:jc w:val="center"/>
                    <w:rPr>
                      <w:szCs w:val="21"/>
                    </w:rPr>
                  </w:pPr>
                  <w:r>
                    <w:rPr>
                      <w:szCs w:val="21"/>
                    </w:rPr>
                    <w:t>≤1000</w:t>
                  </w:r>
                </w:p>
              </w:tc>
            </w:tr>
          </w:tbl>
          <w:p>
            <w:pPr>
              <w:spacing w:line="360" w:lineRule="auto"/>
              <w:ind w:firstLine="420" w:firstLineChars="200"/>
              <w:rPr>
                <w:bCs/>
                <w:szCs w:val="21"/>
              </w:rPr>
            </w:pPr>
          </w:p>
          <w:p>
            <w:pPr>
              <w:spacing w:line="360" w:lineRule="auto"/>
              <w:ind w:firstLine="420" w:firstLineChars="200"/>
              <w:rPr>
                <w:bCs/>
                <w:szCs w:val="21"/>
              </w:rPr>
            </w:pPr>
            <w:r>
              <w:rPr>
                <w:bCs/>
                <w:szCs w:val="21"/>
              </w:rPr>
              <w:fldChar w:fldCharType="begin"/>
            </w:r>
            <w:r>
              <w:rPr>
                <w:bCs/>
                <w:szCs w:val="21"/>
              </w:rPr>
              <w:instrText xml:space="preserve"> </w:instrText>
            </w:r>
            <w:r>
              <w:rPr>
                <w:rFonts w:hint="eastAsia"/>
                <w:bCs/>
                <w:szCs w:val="21"/>
              </w:rPr>
              <w:instrText xml:space="preserve">= 3 \* GB3</w:instrText>
            </w:r>
            <w:r>
              <w:rPr>
                <w:bCs/>
                <w:szCs w:val="21"/>
              </w:rPr>
              <w:instrText xml:space="preserve"> </w:instrText>
            </w:r>
            <w:r>
              <w:rPr>
                <w:bCs/>
                <w:szCs w:val="21"/>
              </w:rPr>
              <w:fldChar w:fldCharType="separate"/>
            </w:r>
            <w:r>
              <w:rPr>
                <w:rFonts w:hint="eastAsia"/>
                <w:bCs/>
                <w:szCs w:val="21"/>
              </w:rPr>
              <w:t>③</w:t>
            </w:r>
            <w:r>
              <w:rPr>
                <w:bCs/>
                <w:szCs w:val="21"/>
              </w:rPr>
              <w:fldChar w:fldCharType="end"/>
            </w:r>
            <w:r>
              <w:rPr>
                <w:bCs/>
                <w:szCs w:val="21"/>
              </w:rPr>
              <w:t>生活污水</w:t>
            </w:r>
          </w:p>
          <w:p>
            <w:pPr>
              <w:spacing w:line="360" w:lineRule="auto"/>
              <w:ind w:firstLine="420" w:firstLineChars="200"/>
              <w:rPr>
                <w:bCs/>
                <w:szCs w:val="21"/>
              </w:rPr>
            </w:pPr>
            <w:r>
              <w:rPr>
                <w:bCs/>
                <w:szCs w:val="21"/>
              </w:rPr>
              <w:t>平安101井井队人员为40人，类比其他钻井情况，钻井期间施工人员生活用水按200L/d*人计，整个钻井周期（3个月）内生活用水量约为720m</w:t>
            </w:r>
            <w:r>
              <w:rPr>
                <w:bCs/>
                <w:szCs w:val="21"/>
                <w:vertAlign w:val="superscript"/>
              </w:rPr>
              <w:t>3</w:t>
            </w:r>
            <w:r>
              <w:rPr>
                <w:bCs/>
                <w:szCs w:val="21"/>
              </w:rPr>
              <w:t>，污水按用水量的90%计，则整个钻井工程期间生活污水产生量共计648m</w:t>
            </w:r>
            <w:r>
              <w:rPr>
                <w:bCs/>
                <w:szCs w:val="21"/>
                <w:vertAlign w:val="superscript"/>
              </w:rPr>
              <w:t>3</w:t>
            </w:r>
            <w:r>
              <w:rPr>
                <w:bCs/>
                <w:szCs w:val="21"/>
              </w:rPr>
              <w:t>（约7.2m</w:t>
            </w:r>
            <w:r>
              <w:rPr>
                <w:bCs/>
                <w:szCs w:val="21"/>
                <w:vertAlign w:val="superscript"/>
              </w:rPr>
              <w:t>3</w:t>
            </w:r>
            <w:r>
              <w:rPr>
                <w:bCs/>
                <w:szCs w:val="21"/>
              </w:rPr>
              <w:t>/d），生活污水产生量较少，主要污染物为：SS、COD、BOD</w:t>
            </w:r>
            <w:r>
              <w:rPr>
                <w:bCs/>
                <w:szCs w:val="21"/>
                <w:vertAlign w:val="subscript"/>
              </w:rPr>
              <w:t>5</w:t>
            </w:r>
            <w:r>
              <w:rPr>
                <w:bCs/>
                <w:szCs w:val="21"/>
              </w:rPr>
              <w:t>、NH</w:t>
            </w:r>
            <w:r>
              <w:rPr>
                <w:bCs/>
                <w:szCs w:val="21"/>
                <w:vertAlign w:val="subscript"/>
              </w:rPr>
              <w:t>3</w:t>
            </w:r>
            <w:r>
              <w:rPr>
                <w:bCs/>
                <w:szCs w:val="21"/>
              </w:rPr>
              <w:t>-N。主要污染物COD约为400mg/L，BOD</w:t>
            </w:r>
            <w:r>
              <w:rPr>
                <w:bCs/>
                <w:szCs w:val="21"/>
                <w:vertAlign w:val="subscript"/>
              </w:rPr>
              <w:t>5</w:t>
            </w:r>
            <w:r>
              <w:rPr>
                <w:bCs/>
                <w:szCs w:val="21"/>
              </w:rPr>
              <w:t>约为200mg/L，SS约为250mg/L、NH</w:t>
            </w:r>
            <w:r>
              <w:rPr>
                <w:bCs/>
                <w:szCs w:val="21"/>
                <w:vertAlign w:val="subscript"/>
              </w:rPr>
              <w:t>3</w:t>
            </w:r>
            <w:r>
              <w:rPr>
                <w:bCs/>
                <w:szCs w:val="21"/>
              </w:rPr>
              <w:t>-N约为25mg/L。</w:t>
            </w:r>
          </w:p>
          <w:p>
            <w:pPr>
              <w:spacing w:line="360" w:lineRule="auto"/>
              <w:ind w:firstLine="420" w:firstLineChars="200"/>
              <w:rPr>
                <w:bCs/>
                <w:szCs w:val="21"/>
              </w:rPr>
            </w:pPr>
            <w:r>
              <w:rPr>
                <w:bCs/>
                <w:szCs w:val="21"/>
              </w:rPr>
              <w:t>井场旁已建厕所1座，生活污水经旱厕收集后由吸污车转运至北山镇污水处理厂处理，现场不外排；食堂、浴室各设1座10m</w:t>
            </w:r>
            <w:r>
              <w:rPr>
                <w:bCs/>
                <w:szCs w:val="21"/>
                <w:vertAlign w:val="superscript"/>
              </w:rPr>
              <w:t>3</w:t>
            </w:r>
            <w:r>
              <w:rPr>
                <w:bCs/>
                <w:szCs w:val="21"/>
              </w:rPr>
              <w:t>的污水隔油池处理后同生活污水处理，不外排。</w:t>
            </w:r>
          </w:p>
          <w:p>
            <w:pPr>
              <w:pStyle w:val="19"/>
              <w:tabs>
                <w:tab w:val="left" w:pos="0"/>
                <w:tab w:val="left" w:pos="833"/>
              </w:tabs>
              <w:spacing w:before="0" w:after="0" w:line="360" w:lineRule="auto"/>
              <w:ind w:left="420" w:right="0"/>
              <w:jc w:val="center"/>
              <w:rPr>
                <w:b/>
                <w:bCs/>
                <w:sz w:val="21"/>
                <w:szCs w:val="21"/>
              </w:rPr>
            </w:pPr>
            <w:r>
              <w:rPr>
                <w:rFonts w:hint="eastAsia"/>
                <w:b/>
                <w:bCs/>
                <w:sz w:val="21"/>
                <w:szCs w:val="21"/>
              </w:rPr>
              <w:t xml:space="preserve">表4-8 </w:t>
            </w:r>
            <w:r>
              <w:rPr>
                <w:b/>
                <w:bCs/>
                <w:sz w:val="21"/>
                <w:szCs w:val="21"/>
              </w:rPr>
              <w:t>生活污水产生量情况一览表    单位：mg/L，pH无量纲</w:t>
            </w:r>
          </w:p>
          <w:tbl>
            <w:tblPr>
              <w:tblStyle w:val="42"/>
              <w:tblW w:w="81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2"/>
              <w:gridCol w:w="1277"/>
              <w:gridCol w:w="992"/>
              <w:gridCol w:w="1134"/>
              <w:gridCol w:w="1277"/>
              <w:gridCol w:w="1277"/>
              <w:gridCol w:w="10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172" w:type="dxa"/>
                  <w:vAlign w:val="center"/>
                </w:tcPr>
                <w:p>
                  <w:pPr>
                    <w:pStyle w:val="25"/>
                    <w:tabs>
                      <w:tab w:val="left" w:pos="2321"/>
                    </w:tabs>
                    <w:spacing w:after="0" w:line="240" w:lineRule="auto"/>
                    <w:ind w:left="0" w:leftChars="0"/>
                    <w:jc w:val="center"/>
                    <w:rPr>
                      <w:szCs w:val="21"/>
                    </w:rPr>
                  </w:pPr>
                  <w:r>
                    <w:rPr>
                      <w:szCs w:val="21"/>
                    </w:rPr>
                    <w:t>污染物</w:t>
                  </w:r>
                </w:p>
              </w:tc>
              <w:tc>
                <w:tcPr>
                  <w:tcW w:w="1277" w:type="dxa"/>
                  <w:vAlign w:val="center"/>
                </w:tcPr>
                <w:p>
                  <w:pPr>
                    <w:pStyle w:val="25"/>
                    <w:tabs>
                      <w:tab w:val="left" w:pos="2321"/>
                    </w:tabs>
                    <w:spacing w:after="0" w:line="240" w:lineRule="auto"/>
                    <w:ind w:left="0" w:leftChars="0"/>
                    <w:jc w:val="center"/>
                    <w:rPr>
                      <w:szCs w:val="21"/>
                    </w:rPr>
                  </w:pPr>
                  <w:r>
                    <w:rPr>
                      <w:szCs w:val="21"/>
                    </w:rPr>
                    <w:t>污水量m</w:t>
                  </w:r>
                  <w:r>
                    <w:rPr>
                      <w:szCs w:val="21"/>
                      <w:vertAlign w:val="superscript"/>
                    </w:rPr>
                    <w:t>3</w:t>
                  </w:r>
                </w:p>
              </w:tc>
              <w:tc>
                <w:tcPr>
                  <w:tcW w:w="992" w:type="dxa"/>
                  <w:vAlign w:val="center"/>
                </w:tcPr>
                <w:p>
                  <w:pPr>
                    <w:pStyle w:val="25"/>
                    <w:tabs>
                      <w:tab w:val="left" w:pos="2321"/>
                    </w:tabs>
                    <w:spacing w:after="0" w:line="240" w:lineRule="auto"/>
                    <w:ind w:left="0" w:leftChars="0"/>
                    <w:jc w:val="center"/>
                    <w:rPr>
                      <w:szCs w:val="21"/>
                    </w:rPr>
                  </w:pPr>
                  <w:r>
                    <w:rPr>
                      <w:szCs w:val="21"/>
                    </w:rPr>
                    <w:t>pH</w:t>
                  </w:r>
                </w:p>
              </w:tc>
              <w:tc>
                <w:tcPr>
                  <w:tcW w:w="1134" w:type="dxa"/>
                  <w:vAlign w:val="center"/>
                </w:tcPr>
                <w:p>
                  <w:pPr>
                    <w:pStyle w:val="25"/>
                    <w:tabs>
                      <w:tab w:val="left" w:pos="2321"/>
                    </w:tabs>
                    <w:spacing w:after="0" w:line="240" w:lineRule="auto"/>
                    <w:ind w:left="0" w:leftChars="0"/>
                    <w:jc w:val="center"/>
                    <w:rPr>
                      <w:szCs w:val="21"/>
                    </w:rPr>
                  </w:pPr>
                  <w:r>
                    <w:rPr>
                      <w:szCs w:val="21"/>
                    </w:rPr>
                    <w:t>COD</w:t>
                  </w:r>
                </w:p>
              </w:tc>
              <w:tc>
                <w:tcPr>
                  <w:tcW w:w="1277" w:type="dxa"/>
                  <w:vAlign w:val="center"/>
                </w:tcPr>
                <w:p>
                  <w:pPr>
                    <w:pStyle w:val="25"/>
                    <w:tabs>
                      <w:tab w:val="left" w:pos="2321"/>
                    </w:tabs>
                    <w:spacing w:after="0" w:line="240" w:lineRule="auto"/>
                    <w:ind w:left="0" w:leftChars="0"/>
                    <w:jc w:val="center"/>
                    <w:rPr>
                      <w:szCs w:val="21"/>
                    </w:rPr>
                  </w:pPr>
                  <w:r>
                    <w:rPr>
                      <w:szCs w:val="21"/>
                    </w:rPr>
                    <w:t>BOD</w:t>
                  </w:r>
                  <w:r>
                    <w:rPr>
                      <w:szCs w:val="21"/>
                      <w:vertAlign w:val="subscript"/>
                    </w:rPr>
                    <w:t>5</w:t>
                  </w:r>
                </w:p>
              </w:tc>
              <w:tc>
                <w:tcPr>
                  <w:tcW w:w="1277" w:type="dxa"/>
                  <w:vAlign w:val="center"/>
                </w:tcPr>
                <w:p>
                  <w:pPr>
                    <w:pStyle w:val="25"/>
                    <w:tabs>
                      <w:tab w:val="left" w:pos="2321"/>
                    </w:tabs>
                    <w:spacing w:after="0" w:line="240" w:lineRule="auto"/>
                    <w:ind w:left="0" w:leftChars="0"/>
                    <w:jc w:val="center"/>
                    <w:rPr>
                      <w:szCs w:val="21"/>
                    </w:rPr>
                  </w:pPr>
                  <w:r>
                    <w:rPr>
                      <w:szCs w:val="21"/>
                    </w:rPr>
                    <w:t>NH</w:t>
                  </w:r>
                  <w:r>
                    <w:rPr>
                      <w:szCs w:val="21"/>
                      <w:vertAlign w:val="subscript"/>
                    </w:rPr>
                    <w:t>3</w:t>
                  </w:r>
                  <w:r>
                    <w:rPr>
                      <w:szCs w:val="21"/>
                    </w:rPr>
                    <w:t>-N</w:t>
                  </w:r>
                </w:p>
              </w:tc>
              <w:tc>
                <w:tcPr>
                  <w:tcW w:w="1002" w:type="dxa"/>
                  <w:vAlign w:val="center"/>
                </w:tcPr>
                <w:p>
                  <w:pPr>
                    <w:pStyle w:val="25"/>
                    <w:tabs>
                      <w:tab w:val="left" w:pos="2321"/>
                    </w:tabs>
                    <w:spacing w:after="0" w:line="240" w:lineRule="auto"/>
                    <w:ind w:left="0" w:leftChars="0"/>
                    <w:jc w:val="center"/>
                    <w:rPr>
                      <w:szCs w:val="21"/>
                    </w:rPr>
                  </w:pPr>
                  <w:r>
                    <w:rPr>
                      <w:szCs w:val="21"/>
                    </w:rPr>
                    <w:t>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172" w:type="dxa"/>
                  <w:vAlign w:val="center"/>
                </w:tcPr>
                <w:p>
                  <w:pPr>
                    <w:pStyle w:val="25"/>
                    <w:tabs>
                      <w:tab w:val="left" w:pos="2321"/>
                    </w:tabs>
                    <w:spacing w:after="0" w:line="240" w:lineRule="auto"/>
                    <w:ind w:left="0" w:leftChars="0"/>
                    <w:jc w:val="center"/>
                    <w:rPr>
                      <w:szCs w:val="21"/>
                    </w:rPr>
                  </w:pPr>
                  <w:r>
                    <w:rPr>
                      <w:szCs w:val="21"/>
                    </w:rPr>
                    <w:t>生活污水</w:t>
                  </w:r>
                </w:p>
              </w:tc>
              <w:tc>
                <w:tcPr>
                  <w:tcW w:w="1277" w:type="dxa"/>
                  <w:vAlign w:val="center"/>
                </w:tcPr>
                <w:p>
                  <w:pPr>
                    <w:pStyle w:val="25"/>
                    <w:tabs>
                      <w:tab w:val="left" w:pos="2321"/>
                    </w:tabs>
                    <w:spacing w:after="0" w:line="240" w:lineRule="auto"/>
                    <w:ind w:left="0" w:leftChars="0"/>
                    <w:jc w:val="center"/>
                    <w:rPr>
                      <w:szCs w:val="21"/>
                    </w:rPr>
                  </w:pPr>
                  <w:r>
                    <w:rPr>
                      <w:szCs w:val="21"/>
                    </w:rPr>
                    <w:t>648</w:t>
                  </w:r>
                </w:p>
              </w:tc>
              <w:tc>
                <w:tcPr>
                  <w:tcW w:w="992" w:type="dxa"/>
                  <w:vAlign w:val="center"/>
                </w:tcPr>
                <w:p>
                  <w:pPr>
                    <w:pStyle w:val="25"/>
                    <w:tabs>
                      <w:tab w:val="left" w:pos="2321"/>
                    </w:tabs>
                    <w:spacing w:after="0" w:line="240" w:lineRule="auto"/>
                    <w:ind w:left="0" w:leftChars="0"/>
                    <w:jc w:val="center"/>
                    <w:rPr>
                      <w:szCs w:val="21"/>
                    </w:rPr>
                  </w:pPr>
                  <w:r>
                    <w:rPr>
                      <w:szCs w:val="21"/>
                    </w:rPr>
                    <w:t>6~9</w:t>
                  </w:r>
                </w:p>
              </w:tc>
              <w:tc>
                <w:tcPr>
                  <w:tcW w:w="1134" w:type="dxa"/>
                  <w:vAlign w:val="center"/>
                </w:tcPr>
                <w:p>
                  <w:pPr>
                    <w:pStyle w:val="25"/>
                    <w:tabs>
                      <w:tab w:val="left" w:pos="2321"/>
                    </w:tabs>
                    <w:spacing w:after="0" w:line="240" w:lineRule="auto"/>
                    <w:ind w:left="0" w:leftChars="0"/>
                    <w:jc w:val="center"/>
                    <w:rPr>
                      <w:szCs w:val="21"/>
                    </w:rPr>
                  </w:pPr>
                  <w:r>
                    <w:rPr>
                      <w:szCs w:val="21"/>
                    </w:rPr>
                    <w:t>400</w:t>
                  </w:r>
                </w:p>
              </w:tc>
              <w:tc>
                <w:tcPr>
                  <w:tcW w:w="1277" w:type="dxa"/>
                  <w:vAlign w:val="center"/>
                </w:tcPr>
                <w:p>
                  <w:pPr>
                    <w:pStyle w:val="25"/>
                    <w:tabs>
                      <w:tab w:val="left" w:pos="2321"/>
                    </w:tabs>
                    <w:spacing w:after="0" w:line="240" w:lineRule="auto"/>
                    <w:ind w:left="0" w:leftChars="0"/>
                    <w:jc w:val="center"/>
                    <w:rPr>
                      <w:szCs w:val="21"/>
                    </w:rPr>
                  </w:pPr>
                  <w:r>
                    <w:rPr>
                      <w:szCs w:val="21"/>
                    </w:rPr>
                    <w:t>200</w:t>
                  </w:r>
                </w:p>
              </w:tc>
              <w:tc>
                <w:tcPr>
                  <w:tcW w:w="1277" w:type="dxa"/>
                  <w:vAlign w:val="center"/>
                </w:tcPr>
                <w:p>
                  <w:pPr>
                    <w:pStyle w:val="25"/>
                    <w:tabs>
                      <w:tab w:val="left" w:pos="2321"/>
                    </w:tabs>
                    <w:spacing w:after="0" w:line="240" w:lineRule="auto"/>
                    <w:ind w:left="0" w:leftChars="0"/>
                    <w:jc w:val="center"/>
                    <w:rPr>
                      <w:szCs w:val="21"/>
                    </w:rPr>
                  </w:pPr>
                  <w:r>
                    <w:rPr>
                      <w:szCs w:val="21"/>
                    </w:rPr>
                    <w:t>25</w:t>
                  </w:r>
                </w:p>
              </w:tc>
              <w:tc>
                <w:tcPr>
                  <w:tcW w:w="1002" w:type="dxa"/>
                  <w:vAlign w:val="center"/>
                </w:tcPr>
                <w:p>
                  <w:pPr>
                    <w:pStyle w:val="25"/>
                    <w:tabs>
                      <w:tab w:val="left" w:pos="2321"/>
                    </w:tabs>
                    <w:spacing w:after="0" w:line="240" w:lineRule="auto"/>
                    <w:ind w:left="0" w:leftChars="0"/>
                    <w:jc w:val="center"/>
                    <w:rPr>
                      <w:szCs w:val="21"/>
                    </w:rPr>
                  </w:pPr>
                  <w:r>
                    <w:rPr>
                      <w:szCs w:val="21"/>
                    </w:rPr>
                    <w:t>250</w:t>
                  </w:r>
                </w:p>
              </w:tc>
            </w:tr>
          </w:tbl>
          <w:p>
            <w:pPr>
              <w:tabs>
                <w:tab w:val="left" w:pos="2321"/>
              </w:tabs>
              <w:overflowPunct w:val="0"/>
              <w:autoSpaceDE w:val="0"/>
              <w:spacing w:line="360" w:lineRule="auto"/>
              <w:ind w:firstLine="420" w:firstLineChars="200"/>
              <w:rPr>
                <w:szCs w:val="21"/>
              </w:rPr>
            </w:pPr>
          </w:p>
          <w:p>
            <w:pPr>
              <w:tabs>
                <w:tab w:val="left" w:pos="2321"/>
              </w:tabs>
              <w:overflowPunct w:val="0"/>
              <w:autoSpaceDE w:val="0"/>
              <w:spacing w:line="360" w:lineRule="auto"/>
              <w:ind w:firstLine="420" w:firstLineChars="200"/>
              <w:rPr>
                <w:szCs w:val="21"/>
              </w:rPr>
            </w:pPr>
            <w:r>
              <w:rPr>
                <w:rFonts w:hint="eastAsia"/>
                <w:szCs w:val="21"/>
              </w:rPr>
              <w:t>（2）环境</w:t>
            </w:r>
            <w:r>
              <w:rPr>
                <w:szCs w:val="21"/>
              </w:rPr>
              <w:t>影响分析</w:t>
            </w:r>
          </w:p>
          <w:p>
            <w:pPr>
              <w:tabs>
                <w:tab w:val="left" w:pos="2321"/>
              </w:tabs>
              <w:overflowPunct w:val="0"/>
              <w:autoSpaceDE w:val="0"/>
              <w:spacing w:line="360" w:lineRule="auto"/>
              <w:ind w:firstLine="420" w:firstLineChars="200"/>
              <w:rPr>
                <w:szCs w:val="21"/>
              </w:rPr>
            </w:pPr>
            <w:r>
              <w:rPr>
                <w:rFonts w:hint="eastAsia"/>
                <w:szCs w:val="21"/>
              </w:rPr>
              <w:t>本项目</w:t>
            </w:r>
            <w:r>
              <w:rPr>
                <w:szCs w:val="21"/>
              </w:rPr>
              <w:t>产生的废水主要包括钻井液钻进阶段产生的钻井废水，洗井废水、压裂废水、</w:t>
            </w:r>
            <w:r>
              <w:rPr>
                <w:rFonts w:hint="eastAsia"/>
                <w:szCs w:val="21"/>
              </w:rPr>
              <w:t>场地</w:t>
            </w:r>
            <w:r>
              <w:rPr>
                <w:szCs w:val="21"/>
              </w:rPr>
              <w:t>雨水及生活污水。</w:t>
            </w:r>
          </w:p>
          <w:p>
            <w:pPr>
              <w:tabs>
                <w:tab w:val="left" w:pos="2321"/>
              </w:tabs>
              <w:overflowPunct w:val="0"/>
              <w:autoSpaceDE w:val="0"/>
              <w:spacing w:line="360" w:lineRule="auto"/>
              <w:ind w:firstLine="420" w:firstLineChars="200"/>
              <w:rPr>
                <w:szCs w:val="21"/>
              </w:rPr>
            </w:pPr>
            <w:r>
              <w:rPr>
                <w:szCs w:val="21"/>
              </w:rPr>
              <w:fldChar w:fldCharType="begin"/>
            </w:r>
            <w:r>
              <w:rPr>
                <w:szCs w:val="21"/>
              </w:rPr>
              <w:instrText xml:space="preserve"> </w:instrText>
            </w:r>
            <w:r>
              <w:rPr>
                <w:rFonts w:hint="eastAsia"/>
                <w:szCs w:val="21"/>
              </w:rPr>
              <w:instrText xml:space="preserve">= 1 \* GB3</w:instrText>
            </w:r>
            <w:r>
              <w:rPr>
                <w:szCs w:val="21"/>
              </w:rPr>
              <w:instrText xml:space="preserve"> </w:instrText>
            </w:r>
            <w:r>
              <w:rPr>
                <w:szCs w:val="21"/>
              </w:rPr>
              <w:fldChar w:fldCharType="separate"/>
            </w:r>
            <w:r>
              <w:rPr>
                <w:rFonts w:hint="eastAsia"/>
                <w:szCs w:val="21"/>
              </w:rPr>
              <w:t>①</w:t>
            </w:r>
            <w:r>
              <w:rPr>
                <w:szCs w:val="21"/>
              </w:rPr>
              <w:fldChar w:fldCharType="end"/>
            </w:r>
            <w:r>
              <w:rPr>
                <w:rFonts w:hint="eastAsia"/>
                <w:szCs w:val="21"/>
              </w:rPr>
              <w:t>场地雨水</w:t>
            </w:r>
          </w:p>
          <w:p>
            <w:pPr>
              <w:tabs>
                <w:tab w:val="left" w:pos="2321"/>
              </w:tabs>
              <w:overflowPunct w:val="0"/>
              <w:autoSpaceDE w:val="0"/>
              <w:spacing w:line="360" w:lineRule="auto"/>
              <w:ind w:firstLine="420" w:firstLineChars="200"/>
              <w:rPr>
                <w:szCs w:val="21"/>
              </w:rPr>
            </w:pPr>
            <w:r>
              <w:rPr>
                <w:rFonts w:hint="eastAsia"/>
                <w:szCs w:val="21"/>
              </w:rPr>
              <w:t>本项目井场内外实施清污分流措施，井场外雨水依靠井场设置的地面坡度，就地散排至井场四周设置的排水沟，排出场外。场内产污区经污水截流沟，截留井场产污区散落的污水，截流沟中的废水进入隔油池，经油水分离后通过集水坑泵入清洁生产操作平台废水罐处理回用，不能回用时经应急池暂存后由罐车拉运至四川瑞利生物科技有限公司处理站处理。</w:t>
            </w:r>
          </w:p>
          <w:p>
            <w:pPr>
              <w:tabs>
                <w:tab w:val="left" w:pos="2321"/>
              </w:tabs>
              <w:overflowPunct w:val="0"/>
              <w:autoSpaceDE w:val="0"/>
              <w:spacing w:line="360" w:lineRule="auto"/>
              <w:ind w:firstLine="420" w:firstLineChars="200"/>
              <w:rPr>
                <w:szCs w:val="21"/>
              </w:rPr>
            </w:pPr>
            <w:r>
              <w:rPr>
                <w:szCs w:val="21"/>
              </w:rPr>
              <w:fldChar w:fldCharType="begin"/>
            </w:r>
            <w:r>
              <w:rPr>
                <w:szCs w:val="21"/>
              </w:rPr>
              <w:instrText xml:space="preserve"> </w:instrText>
            </w:r>
            <w:r>
              <w:rPr>
                <w:rFonts w:hint="eastAsia"/>
                <w:szCs w:val="21"/>
              </w:rPr>
              <w:instrText xml:space="preserve">= 2 \* GB3</w:instrText>
            </w:r>
            <w:r>
              <w:rPr>
                <w:szCs w:val="21"/>
              </w:rPr>
              <w:instrText xml:space="preserve"> </w:instrText>
            </w:r>
            <w:r>
              <w:rPr>
                <w:szCs w:val="21"/>
              </w:rPr>
              <w:fldChar w:fldCharType="separate"/>
            </w:r>
            <w:r>
              <w:rPr>
                <w:rFonts w:hint="eastAsia"/>
                <w:szCs w:val="21"/>
              </w:rPr>
              <w:t>②</w:t>
            </w:r>
            <w:r>
              <w:rPr>
                <w:szCs w:val="21"/>
              </w:rPr>
              <w:fldChar w:fldCharType="end"/>
            </w:r>
            <w:r>
              <w:rPr>
                <w:rFonts w:hint="eastAsia"/>
                <w:szCs w:val="21"/>
              </w:rPr>
              <w:t>钻井废水</w:t>
            </w:r>
          </w:p>
          <w:p>
            <w:pPr>
              <w:tabs>
                <w:tab w:val="left" w:pos="2321"/>
              </w:tabs>
              <w:overflowPunct w:val="0"/>
              <w:autoSpaceDE w:val="0"/>
              <w:spacing w:line="360" w:lineRule="auto"/>
              <w:ind w:firstLine="420" w:firstLineChars="200"/>
              <w:rPr>
                <w:szCs w:val="21"/>
              </w:rPr>
            </w:pPr>
            <w:r>
              <w:rPr>
                <w:szCs w:val="21"/>
              </w:rPr>
              <w:t>本项目导管段采用清水钻井，剩余钻井泥浆在循环罐内配制水基钻井液；一开</w:t>
            </w:r>
            <w:r>
              <w:rPr>
                <w:rFonts w:hint="eastAsia"/>
                <w:szCs w:val="21"/>
              </w:rPr>
              <w:t>~三开</w:t>
            </w:r>
            <w:r>
              <w:rPr>
                <w:rFonts w:hint="eastAsia"/>
                <w:color w:val="FF0000"/>
                <w:szCs w:val="21"/>
              </w:rPr>
              <w:t>井段</w:t>
            </w:r>
            <w:r>
              <w:rPr>
                <w:szCs w:val="21"/>
              </w:rPr>
              <w:t>采用水基钻井液，</w:t>
            </w:r>
            <w:r>
              <w:rPr>
                <w:rFonts w:hint="eastAsia"/>
                <w:szCs w:val="21"/>
              </w:rPr>
              <w:t>产生的钻井废水</w:t>
            </w:r>
            <w:r>
              <w:rPr>
                <w:bCs/>
                <w:szCs w:val="21"/>
              </w:rPr>
              <w:t>经</w:t>
            </w:r>
            <w:r>
              <w:rPr>
                <w:rFonts w:hint="eastAsia"/>
                <w:bCs/>
                <w:szCs w:val="21"/>
              </w:rPr>
              <w:t>沉淀工艺</w:t>
            </w:r>
            <w:r>
              <w:rPr>
                <w:bCs/>
                <w:szCs w:val="21"/>
              </w:rPr>
              <w:t>预处理后浓度降低</w:t>
            </w:r>
            <w:r>
              <w:rPr>
                <w:rFonts w:hint="eastAsia"/>
                <w:bCs/>
                <w:szCs w:val="21"/>
              </w:rPr>
              <w:t>，回用于钻井补充泥浆的配置</w:t>
            </w:r>
            <w:r>
              <w:rPr>
                <w:bCs/>
                <w:szCs w:val="21"/>
              </w:rPr>
              <w:t>。</w:t>
            </w:r>
            <w:r>
              <w:rPr>
                <w:rFonts w:hint="eastAsia"/>
                <w:bCs/>
                <w:szCs w:val="21"/>
              </w:rPr>
              <w:t>完钻阶段钻井废水暂存在清洁生产操作平台的废水罐内并回用于后续压裂作业</w:t>
            </w:r>
            <w:r>
              <w:rPr>
                <w:szCs w:val="21"/>
              </w:rPr>
              <w:t>，废水总量为231.65m</w:t>
            </w:r>
            <w:r>
              <w:rPr>
                <w:szCs w:val="21"/>
                <w:vertAlign w:val="superscript"/>
              </w:rPr>
              <w:t>3</w:t>
            </w:r>
            <w:r>
              <w:rPr>
                <w:szCs w:val="21"/>
              </w:rPr>
              <w:t>，</w:t>
            </w:r>
            <w:r>
              <w:rPr>
                <w:rFonts w:hint="eastAsia"/>
                <w:szCs w:val="21"/>
              </w:rPr>
              <w:t>不能回用时</w:t>
            </w:r>
            <w:r>
              <w:rPr>
                <w:szCs w:val="21"/>
              </w:rPr>
              <w:t>拟交由用于四川瑞利生物科技有限公司污水处理厂处理达标后排放。因此，本</w:t>
            </w:r>
            <w:r>
              <w:rPr>
                <w:bCs/>
                <w:szCs w:val="21"/>
              </w:rPr>
              <w:t>项目</w:t>
            </w:r>
            <w:r>
              <w:rPr>
                <w:szCs w:val="21"/>
              </w:rPr>
              <w:t>钻井废水不外排。</w:t>
            </w:r>
          </w:p>
          <w:p>
            <w:pPr>
              <w:tabs>
                <w:tab w:val="left" w:pos="2321"/>
              </w:tabs>
              <w:overflowPunct w:val="0"/>
              <w:autoSpaceDE w:val="0"/>
              <w:spacing w:line="360" w:lineRule="auto"/>
              <w:ind w:firstLine="420" w:firstLineChars="200"/>
              <w:rPr>
                <w:szCs w:val="21"/>
              </w:rPr>
            </w:pPr>
            <w:r>
              <w:rPr>
                <w:szCs w:val="21"/>
              </w:rPr>
              <w:fldChar w:fldCharType="begin"/>
            </w:r>
            <w:r>
              <w:rPr>
                <w:szCs w:val="21"/>
              </w:rPr>
              <w:instrText xml:space="preserve"> </w:instrText>
            </w:r>
            <w:r>
              <w:rPr>
                <w:rFonts w:hint="eastAsia"/>
                <w:szCs w:val="21"/>
              </w:rPr>
              <w:instrText xml:space="preserve">= 3 \* GB3</w:instrText>
            </w:r>
            <w:r>
              <w:rPr>
                <w:szCs w:val="21"/>
              </w:rPr>
              <w:instrText xml:space="preserve"> </w:instrText>
            </w:r>
            <w:r>
              <w:rPr>
                <w:szCs w:val="21"/>
              </w:rPr>
              <w:fldChar w:fldCharType="separate"/>
            </w:r>
            <w:r>
              <w:rPr>
                <w:rFonts w:hint="eastAsia"/>
                <w:szCs w:val="21"/>
              </w:rPr>
              <w:t>③</w:t>
            </w:r>
            <w:r>
              <w:rPr>
                <w:szCs w:val="21"/>
              </w:rPr>
              <w:fldChar w:fldCharType="end"/>
            </w:r>
            <w:r>
              <w:rPr>
                <w:rFonts w:hint="eastAsia"/>
                <w:szCs w:val="21"/>
              </w:rPr>
              <w:t>生活污水</w:t>
            </w:r>
          </w:p>
          <w:p>
            <w:pPr>
              <w:tabs>
                <w:tab w:val="left" w:pos="2321"/>
              </w:tabs>
              <w:overflowPunct w:val="0"/>
              <w:autoSpaceDE w:val="0"/>
              <w:spacing w:line="360" w:lineRule="auto"/>
              <w:ind w:firstLine="420" w:firstLineChars="200"/>
              <w:rPr>
                <w:szCs w:val="21"/>
              </w:rPr>
            </w:pPr>
            <w:r>
              <w:rPr>
                <w:szCs w:val="21"/>
              </w:rPr>
              <w:t>本项目井场及生活区设置旱厕，生活污水经</w:t>
            </w:r>
            <w:r>
              <w:rPr>
                <w:rFonts w:hint="eastAsia"/>
                <w:szCs w:val="21"/>
              </w:rPr>
              <w:t>旱厕</w:t>
            </w:r>
            <w:r>
              <w:rPr>
                <w:szCs w:val="21"/>
              </w:rPr>
              <w:t>收集</w:t>
            </w:r>
            <w:r>
              <w:rPr>
                <w:rFonts w:hint="eastAsia"/>
                <w:szCs w:val="21"/>
              </w:rPr>
              <w:t>后由吸污车运至石梯污水处理厂处理后排放，</w:t>
            </w:r>
            <w:r>
              <w:rPr>
                <w:bCs/>
                <w:szCs w:val="21"/>
              </w:rPr>
              <w:t>对地表水环境影响小。</w:t>
            </w:r>
          </w:p>
          <w:p>
            <w:pPr>
              <w:tabs>
                <w:tab w:val="left" w:pos="2321"/>
              </w:tabs>
              <w:overflowPunct w:val="0"/>
              <w:autoSpaceDE w:val="0"/>
              <w:spacing w:line="360" w:lineRule="auto"/>
              <w:ind w:firstLine="420" w:firstLineChars="200"/>
              <w:rPr>
                <w:szCs w:val="21"/>
              </w:rPr>
            </w:pPr>
            <w:r>
              <w:rPr>
                <w:szCs w:val="21"/>
              </w:rPr>
              <w:t>综上所述，采取以上措施后，废水对周边环境影响较小。</w:t>
            </w:r>
          </w:p>
          <w:p>
            <w:pPr>
              <w:spacing w:line="360" w:lineRule="auto"/>
              <w:rPr>
                <w:b/>
                <w:szCs w:val="21"/>
              </w:rPr>
            </w:pPr>
            <w:r>
              <w:rPr>
                <w:rFonts w:hint="eastAsia"/>
                <w:b/>
                <w:szCs w:val="21"/>
              </w:rPr>
              <w:t>4.2.2噪声环境</w:t>
            </w:r>
            <w:r>
              <w:rPr>
                <w:b/>
                <w:szCs w:val="21"/>
              </w:rPr>
              <w:t>影响分析</w:t>
            </w:r>
          </w:p>
          <w:p>
            <w:pPr>
              <w:tabs>
                <w:tab w:val="left" w:pos="2321"/>
              </w:tabs>
              <w:overflowPunct w:val="0"/>
              <w:autoSpaceDE w:val="0"/>
              <w:spacing w:line="360" w:lineRule="auto"/>
              <w:ind w:firstLine="420" w:firstLineChars="200"/>
              <w:rPr>
                <w:bCs/>
                <w:szCs w:val="21"/>
              </w:rPr>
            </w:pPr>
            <w:r>
              <w:rPr>
                <w:rFonts w:hint="eastAsia"/>
                <w:bCs/>
                <w:szCs w:val="21"/>
              </w:rPr>
              <w:t>（1）噪声</w:t>
            </w:r>
            <w:r>
              <w:rPr>
                <w:bCs/>
                <w:szCs w:val="21"/>
              </w:rPr>
              <w:t>源强</w:t>
            </w:r>
          </w:p>
          <w:p>
            <w:pPr>
              <w:spacing w:line="360" w:lineRule="auto"/>
              <w:ind w:firstLine="420" w:firstLineChars="200"/>
              <w:rPr>
                <w:szCs w:val="21"/>
              </w:rPr>
            </w:pPr>
            <w:r>
              <w:rPr>
                <w:szCs w:val="21"/>
              </w:rPr>
              <w:t>本项目采用网电钻井，大大降低了柴油发电机的噪声。井场钻井期主要噪声设备有：</w:t>
            </w:r>
          </w:p>
          <w:p>
            <w:pPr>
              <w:spacing w:line="360" w:lineRule="auto"/>
              <w:ind w:firstLine="420" w:firstLineChars="200"/>
              <w:rPr>
                <w:szCs w:val="21"/>
              </w:rPr>
            </w:pPr>
            <w:r>
              <w:rPr>
                <w:szCs w:val="21"/>
              </w:rPr>
              <w:t>由于本项目钻井过程为24小时连续运行，钻井工程主要噪声源设备噪声值见下表。</w:t>
            </w:r>
          </w:p>
          <w:p>
            <w:pPr>
              <w:pStyle w:val="19"/>
              <w:tabs>
                <w:tab w:val="left" w:pos="0"/>
                <w:tab w:val="left" w:pos="833"/>
              </w:tabs>
              <w:spacing w:before="0" w:after="0" w:line="360" w:lineRule="auto"/>
              <w:ind w:left="420" w:right="0"/>
              <w:jc w:val="center"/>
              <w:rPr>
                <w:b/>
                <w:sz w:val="21"/>
                <w:szCs w:val="21"/>
              </w:rPr>
            </w:pPr>
            <w:r>
              <w:rPr>
                <w:rFonts w:hint="eastAsia"/>
                <w:b/>
                <w:sz w:val="21"/>
                <w:szCs w:val="21"/>
              </w:rPr>
              <w:t xml:space="preserve">表4-9 </w:t>
            </w:r>
            <w:r>
              <w:rPr>
                <w:b/>
                <w:sz w:val="21"/>
                <w:szCs w:val="21"/>
              </w:rPr>
              <w:t>钻井工程主要噪声源特性</w:t>
            </w:r>
          </w:p>
          <w:tbl>
            <w:tblPr>
              <w:tblStyle w:val="42"/>
              <w:tblW w:w="83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1"/>
              <w:gridCol w:w="747"/>
              <w:gridCol w:w="851"/>
              <w:gridCol w:w="708"/>
              <w:gridCol w:w="709"/>
              <w:gridCol w:w="786"/>
              <w:gridCol w:w="709"/>
              <w:gridCol w:w="1624"/>
              <w:gridCol w:w="708"/>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tblHeader/>
                <w:jc w:val="center"/>
              </w:trPr>
              <w:tc>
                <w:tcPr>
                  <w:tcW w:w="681" w:type="dxa"/>
                  <w:vMerge w:val="restart"/>
                  <w:vAlign w:val="center"/>
                </w:tcPr>
                <w:p>
                  <w:pPr>
                    <w:contextualSpacing/>
                    <w:jc w:val="center"/>
                  </w:pPr>
                  <w:r>
                    <w:rPr>
                      <w:kern w:val="0"/>
                    </w:rPr>
                    <w:t>序号</w:t>
                  </w:r>
                </w:p>
              </w:tc>
              <w:tc>
                <w:tcPr>
                  <w:tcW w:w="1598" w:type="dxa"/>
                  <w:gridSpan w:val="2"/>
                  <w:vMerge w:val="restart"/>
                  <w:vAlign w:val="center"/>
                </w:tcPr>
                <w:p>
                  <w:pPr>
                    <w:contextualSpacing/>
                    <w:jc w:val="center"/>
                  </w:pPr>
                  <w:r>
                    <w:rPr>
                      <w:kern w:val="0"/>
                    </w:rPr>
                    <w:t>声源名称</w:t>
                  </w:r>
                </w:p>
              </w:tc>
              <w:tc>
                <w:tcPr>
                  <w:tcW w:w="708" w:type="dxa"/>
                  <w:vMerge w:val="restart"/>
                  <w:vAlign w:val="center"/>
                </w:tcPr>
                <w:p>
                  <w:pPr>
                    <w:contextualSpacing/>
                    <w:jc w:val="center"/>
                    <w:rPr>
                      <w:kern w:val="0"/>
                    </w:rPr>
                  </w:pPr>
                  <w:r>
                    <w:rPr>
                      <w:kern w:val="0"/>
                    </w:rPr>
                    <w:t>型号</w:t>
                  </w:r>
                </w:p>
              </w:tc>
              <w:tc>
                <w:tcPr>
                  <w:tcW w:w="2204" w:type="dxa"/>
                  <w:gridSpan w:val="3"/>
                  <w:vAlign w:val="center"/>
                </w:tcPr>
                <w:p>
                  <w:pPr>
                    <w:contextualSpacing/>
                    <w:jc w:val="center"/>
                    <w:rPr>
                      <w:kern w:val="0"/>
                    </w:rPr>
                  </w:pPr>
                  <w:r>
                    <w:rPr>
                      <w:kern w:val="0"/>
                    </w:rPr>
                    <w:t>空间相对位置/m</w:t>
                  </w:r>
                </w:p>
              </w:tc>
              <w:tc>
                <w:tcPr>
                  <w:tcW w:w="1624" w:type="dxa"/>
                  <w:vMerge w:val="restart"/>
                  <w:vAlign w:val="center"/>
                </w:tcPr>
                <w:p>
                  <w:pPr>
                    <w:contextualSpacing/>
                    <w:jc w:val="center"/>
                    <w:rPr>
                      <w:kern w:val="0"/>
                    </w:rPr>
                  </w:pPr>
                  <w:r>
                    <w:rPr>
                      <w:kern w:val="0"/>
                    </w:rPr>
                    <w:t>声源源强</w:t>
                  </w:r>
                </w:p>
                <w:p>
                  <w:pPr>
                    <w:contextualSpacing/>
                    <w:jc w:val="center"/>
                  </w:pPr>
                  <w:r>
                    <w:rPr>
                      <w:kern w:val="0"/>
                    </w:rPr>
                    <w:t>（声压级/距声源距离）/（dB(A)/m）</w:t>
                  </w:r>
                </w:p>
              </w:tc>
              <w:tc>
                <w:tcPr>
                  <w:tcW w:w="708" w:type="dxa"/>
                  <w:vMerge w:val="restart"/>
                  <w:vAlign w:val="center"/>
                </w:tcPr>
                <w:p>
                  <w:pPr>
                    <w:contextualSpacing/>
                    <w:jc w:val="center"/>
                  </w:pPr>
                  <w:r>
                    <w:t>声源控制措施</w:t>
                  </w:r>
                </w:p>
              </w:tc>
              <w:tc>
                <w:tcPr>
                  <w:tcW w:w="814" w:type="dxa"/>
                  <w:vMerge w:val="restart"/>
                  <w:vAlign w:val="center"/>
                </w:tcPr>
                <w:p>
                  <w:pPr>
                    <w:contextualSpacing/>
                    <w:jc w:val="center"/>
                  </w:pPr>
                  <w:r>
                    <w:rPr>
                      <w:kern w:val="0"/>
                    </w:rPr>
                    <w:t>运行时间(h)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tblHeader/>
                <w:jc w:val="center"/>
              </w:trPr>
              <w:tc>
                <w:tcPr>
                  <w:tcW w:w="681" w:type="dxa"/>
                  <w:vMerge w:val="continue"/>
                  <w:vAlign w:val="center"/>
                </w:tcPr>
                <w:p>
                  <w:pPr>
                    <w:contextualSpacing/>
                    <w:jc w:val="center"/>
                    <w:rPr>
                      <w:kern w:val="0"/>
                    </w:rPr>
                  </w:pPr>
                </w:p>
              </w:tc>
              <w:tc>
                <w:tcPr>
                  <w:tcW w:w="1598" w:type="dxa"/>
                  <w:gridSpan w:val="2"/>
                  <w:vMerge w:val="continue"/>
                  <w:vAlign w:val="center"/>
                </w:tcPr>
                <w:p>
                  <w:pPr>
                    <w:contextualSpacing/>
                    <w:jc w:val="center"/>
                    <w:rPr>
                      <w:kern w:val="0"/>
                    </w:rPr>
                  </w:pPr>
                </w:p>
              </w:tc>
              <w:tc>
                <w:tcPr>
                  <w:tcW w:w="708" w:type="dxa"/>
                  <w:vMerge w:val="continue"/>
                  <w:vAlign w:val="center"/>
                </w:tcPr>
                <w:p>
                  <w:pPr>
                    <w:contextualSpacing/>
                    <w:jc w:val="center"/>
                    <w:rPr>
                      <w:kern w:val="0"/>
                    </w:rPr>
                  </w:pPr>
                </w:p>
              </w:tc>
              <w:tc>
                <w:tcPr>
                  <w:tcW w:w="709" w:type="dxa"/>
                  <w:vAlign w:val="center"/>
                </w:tcPr>
                <w:p>
                  <w:pPr>
                    <w:contextualSpacing/>
                    <w:jc w:val="center"/>
                  </w:pPr>
                  <w:r>
                    <w:t>X</w:t>
                  </w:r>
                </w:p>
              </w:tc>
              <w:tc>
                <w:tcPr>
                  <w:tcW w:w="786" w:type="dxa"/>
                  <w:vAlign w:val="center"/>
                </w:tcPr>
                <w:p>
                  <w:pPr>
                    <w:contextualSpacing/>
                    <w:jc w:val="center"/>
                  </w:pPr>
                  <w:r>
                    <w:t>Y</w:t>
                  </w:r>
                </w:p>
              </w:tc>
              <w:tc>
                <w:tcPr>
                  <w:tcW w:w="709" w:type="dxa"/>
                  <w:vAlign w:val="center"/>
                </w:tcPr>
                <w:p>
                  <w:pPr>
                    <w:contextualSpacing/>
                    <w:jc w:val="center"/>
                    <w:rPr>
                      <w:kern w:val="0"/>
                    </w:rPr>
                  </w:pPr>
                  <w:r>
                    <w:rPr>
                      <w:kern w:val="0"/>
                    </w:rPr>
                    <w:t>Z</w:t>
                  </w:r>
                </w:p>
              </w:tc>
              <w:tc>
                <w:tcPr>
                  <w:tcW w:w="1624" w:type="dxa"/>
                  <w:vMerge w:val="continue"/>
                  <w:vAlign w:val="center"/>
                </w:tcPr>
                <w:p>
                  <w:pPr>
                    <w:contextualSpacing/>
                    <w:jc w:val="center"/>
                    <w:rPr>
                      <w:kern w:val="0"/>
                    </w:rPr>
                  </w:pPr>
                </w:p>
              </w:tc>
              <w:tc>
                <w:tcPr>
                  <w:tcW w:w="708" w:type="dxa"/>
                  <w:vMerge w:val="continue"/>
                  <w:vAlign w:val="center"/>
                </w:tcPr>
                <w:p>
                  <w:pPr>
                    <w:contextualSpacing/>
                    <w:jc w:val="center"/>
                    <w:rPr>
                      <w:kern w:val="0"/>
                    </w:rPr>
                  </w:pPr>
                </w:p>
              </w:tc>
              <w:tc>
                <w:tcPr>
                  <w:tcW w:w="814" w:type="dxa"/>
                  <w:vMerge w:val="continue"/>
                  <w:vAlign w:val="center"/>
                </w:tcPr>
                <w:p>
                  <w:pPr>
                    <w:contextualSpacing/>
                    <w:jc w:val="center"/>
                    <w:rPr>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681" w:type="dxa"/>
                  <w:vAlign w:val="center"/>
                </w:tcPr>
                <w:p>
                  <w:pPr>
                    <w:contextualSpacing/>
                    <w:jc w:val="center"/>
                    <w:rPr>
                      <w:kern w:val="0"/>
                    </w:rPr>
                  </w:pPr>
                  <w:r>
                    <w:rPr>
                      <w:kern w:val="0"/>
                    </w:rPr>
                    <w:t>1</w:t>
                  </w:r>
                </w:p>
              </w:tc>
              <w:tc>
                <w:tcPr>
                  <w:tcW w:w="747" w:type="dxa"/>
                  <w:vMerge w:val="restart"/>
                  <w:vAlign w:val="center"/>
                </w:tcPr>
                <w:p>
                  <w:pPr>
                    <w:jc w:val="center"/>
                    <w:rPr>
                      <w:bCs/>
                      <w:szCs w:val="21"/>
                    </w:rPr>
                  </w:pPr>
                  <w:r>
                    <w:rPr>
                      <w:rFonts w:hint="eastAsia"/>
                      <w:bCs/>
                      <w:szCs w:val="21"/>
                    </w:rPr>
                    <w:t>钻井</w:t>
                  </w:r>
                  <w:r>
                    <w:rPr>
                      <w:bCs/>
                      <w:szCs w:val="21"/>
                    </w:rPr>
                    <w:t>阶段</w:t>
                  </w:r>
                </w:p>
              </w:tc>
              <w:tc>
                <w:tcPr>
                  <w:tcW w:w="851" w:type="dxa"/>
                  <w:vAlign w:val="center"/>
                </w:tcPr>
                <w:p>
                  <w:pPr>
                    <w:jc w:val="center"/>
                    <w:rPr>
                      <w:bCs/>
                      <w:szCs w:val="21"/>
                    </w:rPr>
                  </w:pPr>
                  <w:r>
                    <w:rPr>
                      <w:bCs/>
                      <w:szCs w:val="21"/>
                    </w:rPr>
                    <w:t>钻井设备</w:t>
                  </w:r>
                </w:p>
              </w:tc>
              <w:tc>
                <w:tcPr>
                  <w:tcW w:w="708" w:type="dxa"/>
                  <w:vAlign w:val="center"/>
                </w:tcPr>
                <w:p>
                  <w:pPr>
                    <w:contextualSpacing/>
                    <w:jc w:val="center"/>
                    <w:rPr>
                      <w:kern w:val="0"/>
                    </w:rPr>
                  </w:pPr>
                  <w:r>
                    <w:rPr>
                      <w:kern w:val="0"/>
                    </w:rPr>
                    <w:t>/</w:t>
                  </w:r>
                </w:p>
              </w:tc>
              <w:tc>
                <w:tcPr>
                  <w:tcW w:w="709" w:type="dxa"/>
                  <w:vAlign w:val="center"/>
                </w:tcPr>
                <w:p>
                  <w:pPr>
                    <w:jc w:val="center"/>
                    <w:rPr>
                      <w:bCs/>
                      <w:szCs w:val="21"/>
                    </w:rPr>
                  </w:pPr>
                  <w:r>
                    <w:rPr>
                      <w:bCs/>
                      <w:szCs w:val="21"/>
                    </w:rPr>
                    <w:t>4</w:t>
                  </w:r>
                </w:p>
              </w:tc>
              <w:tc>
                <w:tcPr>
                  <w:tcW w:w="786" w:type="dxa"/>
                  <w:vAlign w:val="center"/>
                </w:tcPr>
                <w:p>
                  <w:pPr>
                    <w:jc w:val="center"/>
                    <w:rPr>
                      <w:bCs/>
                      <w:szCs w:val="21"/>
                    </w:rPr>
                  </w:pPr>
                  <w:r>
                    <w:rPr>
                      <w:bCs/>
                      <w:szCs w:val="21"/>
                    </w:rPr>
                    <w:t>-5</w:t>
                  </w:r>
                </w:p>
              </w:tc>
              <w:tc>
                <w:tcPr>
                  <w:tcW w:w="709" w:type="dxa"/>
                  <w:vAlign w:val="center"/>
                </w:tcPr>
                <w:p>
                  <w:pPr>
                    <w:jc w:val="center"/>
                    <w:rPr>
                      <w:bCs/>
                      <w:szCs w:val="21"/>
                    </w:rPr>
                  </w:pPr>
                  <w:r>
                    <w:rPr>
                      <w:bCs/>
                      <w:szCs w:val="21"/>
                    </w:rPr>
                    <w:t>382</w:t>
                  </w:r>
                </w:p>
              </w:tc>
              <w:tc>
                <w:tcPr>
                  <w:tcW w:w="1624" w:type="dxa"/>
                  <w:vAlign w:val="center"/>
                </w:tcPr>
                <w:p>
                  <w:pPr>
                    <w:jc w:val="center"/>
                    <w:rPr>
                      <w:bCs/>
                      <w:szCs w:val="21"/>
                    </w:rPr>
                  </w:pPr>
                  <w:r>
                    <w:rPr>
                      <w:bCs/>
                      <w:szCs w:val="21"/>
                    </w:rPr>
                    <w:t>90/1</w:t>
                  </w:r>
                </w:p>
              </w:tc>
              <w:tc>
                <w:tcPr>
                  <w:tcW w:w="708" w:type="dxa"/>
                  <w:vAlign w:val="center"/>
                </w:tcPr>
                <w:p>
                  <w:pPr>
                    <w:contextualSpacing/>
                    <w:jc w:val="center"/>
                  </w:pPr>
                  <w:r>
                    <w:t>基础减震</w:t>
                  </w:r>
                </w:p>
              </w:tc>
              <w:tc>
                <w:tcPr>
                  <w:tcW w:w="814" w:type="dxa"/>
                  <w:vAlign w:val="center"/>
                </w:tcPr>
                <w:p>
                  <w:pPr>
                    <w:contextualSpacing/>
                    <w:jc w:val="center"/>
                  </w:pPr>
                  <w:r>
                    <w:rPr>
                      <w:rFonts w:hint="eastAsia"/>
                    </w:rPr>
                    <w:t>2160</w:t>
                  </w:r>
                  <w: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681" w:type="dxa"/>
                  <w:vAlign w:val="center"/>
                </w:tcPr>
                <w:p>
                  <w:pPr>
                    <w:contextualSpacing/>
                    <w:jc w:val="center"/>
                    <w:rPr>
                      <w:kern w:val="0"/>
                    </w:rPr>
                  </w:pPr>
                  <w:r>
                    <w:rPr>
                      <w:kern w:val="0"/>
                    </w:rPr>
                    <w:t>2</w:t>
                  </w:r>
                </w:p>
              </w:tc>
              <w:tc>
                <w:tcPr>
                  <w:tcW w:w="747" w:type="dxa"/>
                  <w:vMerge w:val="continue"/>
                  <w:vAlign w:val="center"/>
                </w:tcPr>
                <w:p>
                  <w:pPr>
                    <w:jc w:val="center"/>
                    <w:rPr>
                      <w:bCs/>
                      <w:szCs w:val="21"/>
                    </w:rPr>
                  </w:pPr>
                </w:p>
              </w:tc>
              <w:tc>
                <w:tcPr>
                  <w:tcW w:w="851" w:type="dxa"/>
                  <w:vAlign w:val="center"/>
                </w:tcPr>
                <w:p>
                  <w:pPr>
                    <w:jc w:val="center"/>
                    <w:rPr>
                      <w:bCs/>
                      <w:szCs w:val="21"/>
                    </w:rPr>
                  </w:pPr>
                  <w:r>
                    <w:rPr>
                      <w:bCs/>
                      <w:szCs w:val="21"/>
                    </w:rPr>
                    <w:t>空气压缩机</w:t>
                  </w:r>
                </w:p>
              </w:tc>
              <w:tc>
                <w:tcPr>
                  <w:tcW w:w="708" w:type="dxa"/>
                  <w:vAlign w:val="center"/>
                </w:tcPr>
                <w:p>
                  <w:pPr>
                    <w:contextualSpacing/>
                    <w:jc w:val="center"/>
                    <w:rPr>
                      <w:kern w:val="0"/>
                    </w:rPr>
                  </w:pPr>
                  <w:r>
                    <w:rPr>
                      <w:kern w:val="0"/>
                    </w:rPr>
                    <w:t>/</w:t>
                  </w:r>
                </w:p>
              </w:tc>
              <w:tc>
                <w:tcPr>
                  <w:tcW w:w="709" w:type="dxa"/>
                  <w:vAlign w:val="center"/>
                </w:tcPr>
                <w:p>
                  <w:pPr>
                    <w:jc w:val="center"/>
                    <w:rPr>
                      <w:bCs/>
                      <w:szCs w:val="21"/>
                    </w:rPr>
                  </w:pPr>
                  <w:r>
                    <w:rPr>
                      <w:bCs/>
                      <w:szCs w:val="21"/>
                    </w:rPr>
                    <w:t>-3</w:t>
                  </w:r>
                </w:p>
              </w:tc>
              <w:tc>
                <w:tcPr>
                  <w:tcW w:w="786" w:type="dxa"/>
                  <w:vAlign w:val="center"/>
                </w:tcPr>
                <w:p>
                  <w:pPr>
                    <w:jc w:val="center"/>
                    <w:rPr>
                      <w:bCs/>
                      <w:szCs w:val="21"/>
                    </w:rPr>
                  </w:pPr>
                  <w:r>
                    <w:rPr>
                      <w:bCs/>
                      <w:szCs w:val="21"/>
                    </w:rPr>
                    <w:t>-28</w:t>
                  </w:r>
                </w:p>
              </w:tc>
              <w:tc>
                <w:tcPr>
                  <w:tcW w:w="709" w:type="dxa"/>
                  <w:vAlign w:val="center"/>
                </w:tcPr>
                <w:p>
                  <w:pPr>
                    <w:jc w:val="center"/>
                    <w:rPr>
                      <w:bCs/>
                      <w:szCs w:val="21"/>
                    </w:rPr>
                  </w:pPr>
                  <w:r>
                    <w:rPr>
                      <w:bCs/>
                      <w:szCs w:val="21"/>
                    </w:rPr>
                    <w:t>380</w:t>
                  </w:r>
                </w:p>
              </w:tc>
              <w:tc>
                <w:tcPr>
                  <w:tcW w:w="1624" w:type="dxa"/>
                  <w:vAlign w:val="center"/>
                </w:tcPr>
                <w:p>
                  <w:pPr>
                    <w:jc w:val="center"/>
                    <w:rPr>
                      <w:bCs/>
                      <w:szCs w:val="21"/>
                    </w:rPr>
                  </w:pPr>
                  <w:r>
                    <w:rPr>
                      <w:bCs/>
                      <w:szCs w:val="21"/>
                    </w:rPr>
                    <w:t>85/1</w:t>
                  </w:r>
                </w:p>
              </w:tc>
              <w:tc>
                <w:tcPr>
                  <w:tcW w:w="708" w:type="dxa"/>
                  <w:vAlign w:val="center"/>
                </w:tcPr>
                <w:p>
                  <w:pPr>
                    <w:contextualSpacing/>
                    <w:jc w:val="center"/>
                  </w:pPr>
                  <w:r>
                    <w:t>基础减震</w:t>
                  </w:r>
                </w:p>
              </w:tc>
              <w:tc>
                <w:tcPr>
                  <w:tcW w:w="814" w:type="dxa"/>
                  <w:vAlign w:val="center"/>
                </w:tcPr>
                <w:p>
                  <w:pPr>
                    <w:contextualSpacing/>
                    <w:jc w:val="center"/>
                  </w:pPr>
                  <w:r>
                    <w:rPr>
                      <w:rFonts w:hint="eastAsia"/>
                    </w:rPr>
                    <w:t>2160</w:t>
                  </w:r>
                  <w: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681" w:type="dxa"/>
                  <w:vAlign w:val="center"/>
                </w:tcPr>
                <w:p>
                  <w:pPr>
                    <w:contextualSpacing/>
                    <w:jc w:val="center"/>
                    <w:rPr>
                      <w:kern w:val="0"/>
                    </w:rPr>
                  </w:pPr>
                  <w:r>
                    <w:rPr>
                      <w:kern w:val="0"/>
                    </w:rPr>
                    <w:t>3</w:t>
                  </w:r>
                </w:p>
              </w:tc>
              <w:tc>
                <w:tcPr>
                  <w:tcW w:w="747" w:type="dxa"/>
                  <w:vMerge w:val="continue"/>
                  <w:vAlign w:val="center"/>
                </w:tcPr>
                <w:p>
                  <w:pPr>
                    <w:jc w:val="center"/>
                    <w:rPr>
                      <w:bCs/>
                      <w:szCs w:val="21"/>
                    </w:rPr>
                  </w:pPr>
                </w:p>
              </w:tc>
              <w:tc>
                <w:tcPr>
                  <w:tcW w:w="851" w:type="dxa"/>
                  <w:vAlign w:val="center"/>
                </w:tcPr>
                <w:p>
                  <w:pPr>
                    <w:jc w:val="center"/>
                    <w:rPr>
                      <w:bCs/>
                      <w:szCs w:val="21"/>
                    </w:rPr>
                  </w:pPr>
                  <w:r>
                    <w:rPr>
                      <w:bCs/>
                      <w:szCs w:val="21"/>
                    </w:rPr>
                    <w:t>泥浆泵</w:t>
                  </w:r>
                </w:p>
              </w:tc>
              <w:tc>
                <w:tcPr>
                  <w:tcW w:w="708" w:type="dxa"/>
                  <w:vAlign w:val="center"/>
                </w:tcPr>
                <w:p>
                  <w:pPr>
                    <w:contextualSpacing/>
                    <w:jc w:val="center"/>
                    <w:rPr>
                      <w:kern w:val="0"/>
                    </w:rPr>
                  </w:pPr>
                  <w:r>
                    <w:rPr>
                      <w:kern w:val="0"/>
                    </w:rPr>
                    <w:t>/</w:t>
                  </w:r>
                </w:p>
              </w:tc>
              <w:tc>
                <w:tcPr>
                  <w:tcW w:w="709" w:type="dxa"/>
                  <w:vAlign w:val="center"/>
                </w:tcPr>
                <w:p>
                  <w:pPr>
                    <w:jc w:val="center"/>
                    <w:rPr>
                      <w:bCs/>
                      <w:szCs w:val="21"/>
                    </w:rPr>
                  </w:pPr>
                  <w:r>
                    <w:rPr>
                      <w:bCs/>
                      <w:szCs w:val="21"/>
                    </w:rPr>
                    <w:t>4</w:t>
                  </w:r>
                </w:p>
              </w:tc>
              <w:tc>
                <w:tcPr>
                  <w:tcW w:w="786" w:type="dxa"/>
                  <w:vAlign w:val="center"/>
                </w:tcPr>
                <w:p>
                  <w:pPr>
                    <w:jc w:val="center"/>
                    <w:rPr>
                      <w:bCs/>
                      <w:szCs w:val="21"/>
                    </w:rPr>
                  </w:pPr>
                  <w:r>
                    <w:rPr>
                      <w:bCs/>
                      <w:szCs w:val="21"/>
                    </w:rPr>
                    <w:t>36</w:t>
                  </w:r>
                </w:p>
              </w:tc>
              <w:tc>
                <w:tcPr>
                  <w:tcW w:w="709" w:type="dxa"/>
                  <w:vAlign w:val="center"/>
                </w:tcPr>
                <w:p>
                  <w:pPr>
                    <w:jc w:val="center"/>
                    <w:rPr>
                      <w:bCs/>
                      <w:szCs w:val="21"/>
                    </w:rPr>
                  </w:pPr>
                  <w:r>
                    <w:rPr>
                      <w:bCs/>
                      <w:szCs w:val="21"/>
                    </w:rPr>
                    <w:t>384</w:t>
                  </w:r>
                </w:p>
              </w:tc>
              <w:tc>
                <w:tcPr>
                  <w:tcW w:w="1624" w:type="dxa"/>
                  <w:vAlign w:val="center"/>
                </w:tcPr>
                <w:p>
                  <w:pPr>
                    <w:jc w:val="center"/>
                    <w:rPr>
                      <w:bCs/>
                      <w:szCs w:val="21"/>
                    </w:rPr>
                  </w:pPr>
                  <w:r>
                    <w:rPr>
                      <w:bCs/>
                      <w:szCs w:val="21"/>
                    </w:rPr>
                    <w:t>85/1</w:t>
                  </w:r>
                </w:p>
              </w:tc>
              <w:tc>
                <w:tcPr>
                  <w:tcW w:w="708" w:type="dxa"/>
                  <w:vAlign w:val="center"/>
                </w:tcPr>
                <w:p>
                  <w:pPr>
                    <w:contextualSpacing/>
                    <w:jc w:val="center"/>
                  </w:pPr>
                  <w:r>
                    <w:t>基础减震</w:t>
                  </w:r>
                </w:p>
              </w:tc>
              <w:tc>
                <w:tcPr>
                  <w:tcW w:w="814" w:type="dxa"/>
                  <w:vAlign w:val="center"/>
                </w:tcPr>
                <w:p>
                  <w:pPr>
                    <w:contextualSpacing/>
                    <w:jc w:val="center"/>
                  </w:pPr>
                  <w:r>
                    <w:rPr>
                      <w:rFonts w:hint="eastAsia"/>
                    </w:rPr>
                    <w:t>2160</w:t>
                  </w:r>
                  <w: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681" w:type="dxa"/>
                  <w:vAlign w:val="center"/>
                </w:tcPr>
                <w:p>
                  <w:pPr>
                    <w:contextualSpacing/>
                    <w:jc w:val="center"/>
                    <w:rPr>
                      <w:kern w:val="0"/>
                    </w:rPr>
                  </w:pPr>
                  <w:r>
                    <w:rPr>
                      <w:rFonts w:hint="eastAsia"/>
                      <w:kern w:val="0"/>
                    </w:rPr>
                    <w:t>4</w:t>
                  </w:r>
                </w:p>
              </w:tc>
              <w:tc>
                <w:tcPr>
                  <w:tcW w:w="747" w:type="dxa"/>
                  <w:vMerge w:val="continue"/>
                  <w:vAlign w:val="center"/>
                </w:tcPr>
                <w:p>
                  <w:pPr>
                    <w:jc w:val="center"/>
                    <w:rPr>
                      <w:bCs/>
                      <w:szCs w:val="21"/>
                    </w:rPr>
                  </w:pPr>
                </w:p>
              </w:tc>
              <w:tc>
                <w:tcPr>
                  <w:tcW w:w="851" w:type="dxa"/>
                  <w:vAlign w:val="center"/>
                </w:tcPr>
                <w:p>
                  <w:pPr>
                    <w:jc w:val="center"/>
                    <w:rPr>
                      <w:bCs/>
                      <w:szCs w:val="21"/>
                    </w:rPr>
                  </w:pPr>
                  <w:r>
                    <w:rPr>
                      <w:bCs/>
                      <w:szCs w:val="21"/>
                    </w:rPr>
                    <w:t>振动筛</w:t>
                  </w:r>
                </w:p>
              </w:tc>
              <w:tc>
                <w:tcPr>
                  <w:tcW w:w="708" w:type="dxa"/>
                  <w:vAlign w:val="center"/>
                </w:tcPr>
                <w:p>
                  <w:pPr>
                    <w:jc w:val="center"/>
                  </w:pPr>
                  <w:r>
                    <w:rPr>
                      <w:kern w:val="0"/>
                    </w:rPr>
                    <w:t>/</w:t>
                  </w:r>
                </w:p>
              </w:tc>
              <w:tc>
                <w:tcPr>
                  <w:tcW w:w="709" w:type="dxa"/>
                  <w:vAlign w:val="center"/>
                </w:tcPr>
                <w:p>
                  <w:pPr>
                    <w:jc w:val="center"/>
                    <w:rPr>
                      <w:bCs/>
                      <w:szCs w:val="21"/>
                    </w:rPr>
                  </w:pPr>
                  <w:r>
                    <w:rPr>
                      <w:bCs/>
                      <w:szCs w:val="21"/>
                    </w:rPr>
                    <w:t>20</w:t>
                  </w:r>
                </w:p>
              </w:tc>
              <w:tc>
                <w:tcPr>
                  <w:tcW w:w="786" w:type="dxa"/>
                  <w:vAlign w:val="center"/>
                </w:tcPr>
                <w:p>
                  <w:pPr>
                    <w:jc w:val="center"/>
                    <w:rPr>
                      <w:bCs/>
                      <w:szCs w:val="21"/>
                    </w:rPr>
                  </w:pPr>
                  <w:r>
                    <w:rPr>
                      <w:bCs/>
                      <w:szCs w:val="21"/>
                    </w:rPr>
                    <w:t>-16</w:t>
                  </w:r>
                </w:p>
              </w:tc>
              <w:tc>
                <w:tcPr>
                  <w:tcW w:w="709" w:type="dxa"/>
                  <w:vAlign w:val="center"/>
                </w:tcPr>
                <w:p>
                  <w:pPr>
                    <w:jc w:val="center"/>
                    <w:rPr>
                      <w:bCs/>
                      <w:szCs w:val="21"/>
                    </w:rPr>
                  </w:pPr>
                  <w:r>
                    <w:rPr>
                      <w:bCs/>
                      <w:szCs w:val="21"/>
                    </w:rPr>
                    <w:t>383</w:t>
                  </w:r>
                </w:p>
              </w:tc>
              <w:tc>
                <w:tcPr>
                  <w:tcW w:w="1624" w:type="dxa"/>
                  <w:vAlign w:val="center"/>
                </w:tcPr>
                <w:p>
                  <w:pPr>
                    <w:jc w:val="center"/>
                    <w:rPr>
                      <w:bCs/>
                      <w:szCs w:val="21"/>
                    </w:rPr>
                  </w:pPr>
                  <w:r>
                    <w:rPr>
                      <w:bCs/>
                      <w:szCs w:val="21"/>
                    </w:rPr>
                    <w:t>75/1</w:t>
                  </w:r>
                </w:p>
              </w:tc>
              <w:tc>
                <w:tcPr>
                  <w:tcW w:w="708" w:type="dxa"/>
                  <w:vAlign w:val="center"/>
                </w:tcPr>
                <w:p>
                  <w:pPr>
                    <w:contextualSpacing/>
                    <w:jc w:val="center"/>
                  </w:pPr>
                  <w:r>
                    <w:t>基础减震</w:t>
                  </w:r>
                </w:p>
              </w:tc>
              <w:tc>
                <w:tcPr>
                  <w:tcW w:w="814" w:type="dxa"/>
                  <w:vAlign w:val="center"/>
                </w:tcPr>
                <w:p>
                  <w:pPr>
                    <w:contextualSpacing/>
                    <w:jc w:val="center"/>
                  </w:pPr>
                  <w:r>
                    <w:rPr>
                      <w:rFonts w:hint="eastAsia"/>
                    </w:rPr>
                    <w:t>2160</w:t>
                  </w:r>
                  <w: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681" w:type="dxa"/>
                  <w:vAlign w:val="center"/>
                </w:tcPr>
                <w:p>
                  <w:pPr>
                    <w:contextualSpacing/>
                    <w:jc w:val="center"/>
                    <w:rPr>
                      <w:kern w:val="0"/>
                    </w:rPr>
                  </w:pPr>
                  <w:r>
                    <w:rPr>
                      <w:rFonts w:hint="eastAsia"/>
                      <w:kern w:val="0"/>
                    </w:rPr>
                    <w:t>5</w:t>
                  </w:r>
                </w:p>
              </w:tc>
              <w:tc>
                <w:tcPr>
                  <w:tcW w:w="747" w:type="dxa"/>
                  <w:vMerge w:val="continue"/>
                  <w:vAlign w:val="center"/>
                </w:tcPr>
                <w:p>
                  <w:pPr>
                    <w:jc w:val="center"/>
                    <w:rPr>
                      <w:bCs/>
                      <w:szCs w:val="21"/>
                    </w:rPr>
                  </w:pPr>
                </w:p>
              </w:tc>
              <w:tc>
                <w:tcPr>
                  <w:tcW w:w="851" w:type="dxa"/>
                  <w:vAlign w:val="center"/>
                </w:tcPr>
                <w:p>
                  <w:pPr>
                    <w:jc w:val="center"/>
                    <w:rPr>
                      <w:bCs/>
                      <w:szCs w:val="21"/>
                    </w:rPr>
                  </w:pPr>
                  <w:r>
                    <w:rPr>
                      <w:bCs/>
                      <w:szCs w:val="21"/>
                    </w:rPr>
                    <w:t>电动化机组</w:t>
                  </w:r>
                </w:p>
              </w:tc>
              <w:tc>
                <w:tcPr>
                  <w:tcW w:w="708" w:type="dxa"/>
                  <w:vAlign w:val="center"/>
                </w:tcPr>
                <w:p>
                  <w:pPr>
                    <w:jc w:val="center"/>
                  </w:pPr>
                  <w:r>
                    <w:rPr>
                      <w:kern w:val="0"/>
                    </w:rPr>
                    <w:t>/</w:t>
                  </w:r>
                </w:p>
              </w:tc>
              <w:tc>
                <w:tcPr>
                  <w:tcW w:w="709" w:type="dxa"/>
                  <w:vAlign w:val="center"/>
                </w:tcPr>
                <w:p>
                  <w:pPr>
                    <w:jc w:val="center"/>
                    <w:rPr>
                      <w:bCs/>
                      <w:szCs w:val="21"/>
                    </w:rPr>
                  </w:pPr>
                  <w:r>
                    <w:rPr>
                      <w:bCs/>
                      <w:szCs w:val="21"/>
                    </w:rPr>
                    <w:t>-7</w:t>
                  </w:r>
                </w:p>
              </w:tc>
              <w:tc>
                <w:tcPr>
                  <w:tcW w:w="786" w:type="dxa"/>
                  <w:vAlign w:val="center"/>
                </w:tcPr>
                <w:p>
                  <w:pPr>
                    <w:jc w:val="center"/>
                    <w:rPr>
                      <w:bCs/>
                      <w:szCs w:val="21"/>
                    </w:rPr>
                  </w:pPr>
                  <w:r>
                    <w:rPr>
                      <w:bCs/>
                      <w:szCs w:val="21"/>
                    </w:rPr>
                    <w:t>12</w:t>
                  </w:r>
                </w:p>
              </w:tc>
              <w:tc>
                <w:tcPr>
                  <w:tcW w:w="709" w:type="dxa"/>
                  <w:vAlign w:val="center"/>
                </w:tcPr>
                <w:p>
                  <w:pPr>
                    <w:jc w:val="center"/>
                    <w:rPr>
                      <w:bCs/>
                      <w:szCs w:val="21"/>
                    </w:rPr>
                  </w:pPr>
                  <w:r>
                    <w:rPr>
                      <w:bCs/>
                      <w:szCs w:val="21"/>
                    </w:rPr>
                    <w:t>382</w:t>
                  </w:r>
                </w:p>
              </w:tc>
              <w:tc>
                <w:tcPr>
                  <w:tcW w:w="1624" w:type="dxa"/>
                  <w:vAlign w:val="center"/>
                </w:tcPr>
                <w:p>
                  <w:pPr>
                    <w:jc w:val="center"/>
                    <w:rPr>
                      <w:bCs/>
                      <w:szCs w:val="21"/>
                    </w:rPr>
                  </w:pPr>
                  <w:r>
                    <w:rPr>
                      <w:bCs/>
                      <w:szCs w:val="21"/>
                    </w:rPr>
                    <w:t>85/1</w:t>
                  </w:r>
                </w:p>
              </w:tc>
              <w:tc>
                <w:tcPr>
                  <w:tcW w:w="708" w:type="dxa"/>
                  <w:vAlign w:val="center"/>
                </w:tcPr>
                <w:p>
                  <w:pPr>
                    <w:contextualSpacing/>
                    <w:jc w:val="center"/>
                  </w:pPr>
                  <w:r>
                    <w:t>基础减震</w:t>
                  </w:r>
                </w:p>
              </w:tc>
              <w:tc>
                <w:tcPr>
                  <w:tcW w:w="814" w:type="dxa"/>
                  <w:vAlign w:val="center"/>
                </w:tcPr>
                <w:p>
                  <w:pPr>
                    <w:contextualSpacing/>
                    <w:jc w:val="center"/>
                  </w:pPr>
                  <w:r>
                    <w:rPr>
                      <w:rFonts w:hint="eastAsia"/>
                    </w:rPr>
                    <w:t>2160</w:t>
                  </w:r>
                  <w: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681" w:type="dxa"/>
                  <w:vAlign w:val="center"/>
                </w:tcPr>
                <w:p>
                  <w:pPr>
                    <w:contextualSpacing/>
                    <w:jc w:val="center"/>
                    <w:rPr>
                      <w:kern w:val="0"/>
                    </w:rPr>
                  </w:pPr>
                  <w:r>
                    <w:rPr>
                      <w:rFonts w:hint="eastAsia"/>
                      <w:kern w:val="0"/>
                    </w:rPr>
                    <w:t>6</w:t>
                  </w:r>
                </w:p>
              </w:tc>
              <w:tc>
                <w:tcPr>
                  <w:tcW w:w="747" w:type="dxa"/>
                  <w:vMerge w:val="continue"/>
                  <w:vAlign w:val="center"/>
                </w:tcPr>
                <w:p>
                  <w:pPr>
                    <w:jc w:val="center"/>
                    <w:rPr>
                      <w:bCs/>
                      <w:szCs w:val="21"/>
                    </w:rPr>
                  </w:pPr>
                </w:p>
              </w:tc>
              <w:tc>
                <w:tcPr>
                  <w:tcW w:w="851" w:type="dxa"/>
                  <w:vAlign w:val="center"/>
                </w:tcPr>
                <w:p>
                  <w:pPr>
                    <w:jc w:val="center"/>
                    <w:rPr>
                      <w:bCs/>
                      <w:szCs w:val="21"/>
                    </w:rPr>
                  </w:pPr>
                  <w:r>
                    <w:rPr>
                      <w:bCs/>
                      <w:szCs w:val="21"/>
                    </w:rPr>
                    <w:t>柴油机</w:t>
                  </w:r>
                </w:p>
              </w:tc>
              <w:tc>
                <w:tcPr>
                  <w:tcW w:w="708" w:type="dxa"/>
                  <w:vAlign w:val="center"/>
                </w:tcPr>
                <w:p>
                  <w:pPr>
                    <w:jc w:val="center"/>
                  </w:pPr>
                  <w:r>
                    <w:rPr>
                      <w:kern w:val="0"/>
                    </w:rPr>
                    <w:t>/</w:t>
                  </w:r>
                </w:p>
              </w:tc>
              <w:tc>
                <w:tcPr>
                  <w:tcW w:w="709" w:type="dxa"/>
                  <w:vAlign w:val="center"/>
                </w:tcPr>
                <w:p>
                  <w:pPr>
                    <w:jc w:val="center"/>
                    <w:rPr>
                      <w:bCs/>
                      <w:szCs w:val="21"/>
                    </w:rPr>
                  </w:pPr>
                  <w:r>
                    <w:rPr>
                      <w:rFonts w:hint="eastAsia"/>
                      <w:bCs/>
                      <w:szCs w:val="21"/>
                    </w:rPr>
                    <w:t>-3</w:t>
                  </w:r>
                </w:p>
              </w:tc>
              <w:tc>
                <w:tcPr>
                  <w:tcW w:w="786" w:type="dxa"/>
                  <w:vAlign w:val="center"/>
                </w:tcPr>
                <w:p>
                  <w:pPr>
                    <w:jc w:val="center"/>
                    <w:rPr>
                      <w:bCs/>
                      <w:szCs w:val="21"/>
                    </w:rPr>
                  </w:pPr>
                  <w:r>
                    <w:rPr>
                      <w:rFonts w:hint="eastAsia"/>
                      <w:bCs/>
                      <w:szCs w:val="21"/>
                    </w:rPr>
                    <w:t>-11</w:t>
                  </w:r>
                </w:p>
              </w:tc>
              <w:tc>
                <w:tcPr>
                  <w:tcW w:w="709" w:type="dxa"/>
                  <w:vAlign w:val="center"/>
                </w:tcPr>
                <w:p>
                  <w:pPr>
                    <w:jc w:val="center"/>
                    <w:rPr>
                      <w:bCs/>
                      <w:szCs w:val="21"/>
                    </w:rPr>
                  </w:pPr>
                  <w:r>
                    <w:rPr>
                      <w:rFonts w:hint="eastAsia"/>
                      <w:bCs/>
                      <w:szCs w:val="21"/>
                    </w:rPr>
                    <w:t>382</w:t>
                  </w:r>
                </w:p>
              </w:tc>
              <w:tc>
                <w:tcPr>
                  <w:tcW w:w="1624" w:type="dxa"/>
                  <w:vAlign w:val="center"/>
                </w:tcPr>
                <w:p>
                  <w:pPr>
                    <w:jc w:val="center"/>
                    <w:rPr>
                      <w:bCs/>
                      <w:szCs w:val="21"/>
                    </w:rPr>
                  </w:pPr>
                  <w:r>
                    <w:rPr>
                      <w:bCs/>
                      <w:szCs w:val="21"/>
                    </w:rPr>
                    <w:t>100/1</w:t>
                  </w:r>
                </w:p>
              </w:tc>
              <w:tc>
                <w:tcPr>
                  <w:tcW w:w="708" w:type="dxa"/>
                  <w:vAlign w:val="center"/>
                </w:tcPr>
                <w:p>
                  <w:pPr>
                    <w:contextualSpacing/>
                    <w:jc w:val="center"/>
                  </w:pPr>
                  <w:r>
                    <w:t>基础减震</w:t>
                  </w:r>
                </w:p>
              </w:tc>
              <w:tc>
                <w:tcPr>
                  <w:tcW w:w="814" w:type="dxa"/>
                  <w:vAlign w:val="center"/>
                </w:tcPr>
                <w:p>
                  <w:pPr>
                    <w:contextualSpacing/>
                    <w:jc w:val="center"/>
                  </w:pPr>
                  <w:r>
                    <w:rPr>
                      <w:rFonts w:hint="eastAsia"/>
                    </w:rPr>
                    <w:t>100</w:t>
                  </w:r>
                  <w: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681" w:type="dxa"/>
                  <w:vAlign w:val="center"/>
                </w:tcPr>
                <w:p>
                  <w:pPr>
                    <w:contextualSpacing/>
                    <w:jc w:val="center"/>
                    <w:rPr>
                      <w:kern w:val="0"/>
                    </w:rPr>
                  </w:pPr>
                  <w:r>
                    <w:rPr>
                      <w:rFonts w:hint="eastAsia"/>
                      <w:kern w:val="0"/>
                    </w:rPr>
                    <w:t>7</w:t>
                  </w:r>
                </w:p>
              </w:tc>
              <w:tc>
                <w:tcPr>
                  <w:tcW w:w="747" w:type="dxa"/>
                  <w:vMerge w:val="continue"/>
                  <w:vAlign w:val="center"/>
                </w:tcPr>
                <w:p>
                  <w:pPr>
                    <w:jc w:val="center"/>
                    <w:rPr>
                      <w:bCs/>
                      <w:szCs w:val="21"/>
                    </w:rPr>
                  </w:pPr>
                </w:p>
              </w:tc>
              <w:tc>
                <w:tcPr>
                  <w:tcW w:w="851" w:type="dxa"/>
                  <w:vAlign w:val="center"/>
                </w:tcPr>
                <w:p>
                  <w:pPr>
                    <w:jc w:val="center"/>
                    <w:rPr>
                      <w:bCs/>
                      <w:szCs w:val="21"/>
                    </w:rPr>
                  </w:pPr>
                  <w:r>
                    <w:rPr>
                      <w:bCs/>
                      <w:szCs w:val="21"/>
                    </w:rPr>
                    <w:t>发电机</w:t>
                  </w:r>
                </w:p>
              </w:tc>
              <w:tc>
                <w:tcPr>
                  <w:tcW w:w="708" w:type="dxa"/>
                  <w:vAlign w:val="center"/>
                </w:tcPr>
                <w:p>
                  <w:pPr>
                    <w:jc w:val="center"/>
                  </w:pPr>
                  <w:r>
                    <w:rPr>
                      <w:kern w:val="0"/>
                    </w:rPr>
                    <w:t>/</w:t>
                  </w:r>
                </w:p>
              </w:tc>
              <w:tc>
                <w:tcPr>
                  <w:tcW w:w="709" w:type="dxa"/>
                  <w:vAlign w:val="center"/>
                </w:tcPr>
                <w:p>
                  <w:pPr>
                    <w:contextualSpacing/>
                    <w:jc w:val="center"/>
                    <w:rPr>
                      <w:rFonts w:eastAsiaTheme="minorEastAsia"/>
                      <w:sz w:val="20"/>
                    </w:rPr>
                  </w:pPr>
                  <w:r>
                    <w:rPr>
                      <w:rFonts w:hint="eastAsia" w:eastAsiaTheme="minorEastAsia"/>
                      <w:sz w:val="20"/>
                    </w:rPr>
                    <w:t>-4</w:t>
                  </w:r>
                </w:p>
              </w:tc>
              <w:tc>
                <w:tcPr>
                  <w:tcW w:w="786" w:type="dxa"/>
                  <w:vAlign w:val="center"/>
                </w:tcPr>
                <w:p>
                  <w:pPr>
                    <w:contextualSpacing/>
                    <w:jc w:val="center"/>
                    <w:rPr>
                      <w:rFonts w:eastAsiaTheme="minorEastAsia"/>
                      <w:sz w:val="20"/>
                    </w:rPr>
                  </w:pPr>
                  <w:r>
                    <w:rPr>
                      <w:rFonts w:hint="eastAsia" w:eastAsiaTheme="minorEastAsia"/>
                      <w:sz w:val="20"/>
                    </w:rPr>
                    <w:t>-12</w:t>
                  </w:r>
                </w:p>
              </w:tc>
              <w:tc>
                <w:tcPr>
                  <w:tcW w:w="709" w:type="dxa"/>
                  <w:vAlign w:val="center"/>
                </w:tcPr>
                <w:p>
                  <w:pPr>
                    <w:contextualSpacing/>
                    <w:jc w:val="center"/>
                    <w:rPr>
                      <w:rFonts w:eastAsiaTheme="minorEastAsia"/>
                      <w:sz w:val="20"/>
                    </w:rPr>
                  </w:pPr>
                  <w:r>
                    <w:rPr>
                      <w:rFonts w:hint="eastAsia" w:eastAsiaTheme="minorEastAsia"/>
                      <w:sz w:val="20"/>
                    </w:rPr>
                    <w:t>382</w:t>
                  </w:r>
                </w:p>
              </w:tc>
              <w:tc>
                <w:tcPr>
                  <w:tcW w:w="1624" w:type="dxa"/>
                  <w:vAlign w:val="center"/>
                </w:tcPr>
                <w:p>
                  <w:pPr>
                    <w:jc w:val="center"/>
                    <w:rPr>
                      <w:bCs/>
                      <w:szCs w:val="21"/>
                    </w:rPr>
                  </w:pPr>
                  <w:r>
                    <w:rPr>
                      <w:bCs/>
                      <w:szCs w:val="21"/>
                    </w:rPr>
                    <w:t>100/1</w:t>
                  </w:r>
                </w:p>
              </w:tc>
              <w:tc>
                <w:tcPr>
                  <w:tcW w:w="708" w:type="dxa"/>
                  <w:vAlign w:val="center"/>
                </w:tcPr>
                <w:p>
                  <w:pPr>
                    <w:contextualSpacing/>
                    <w:jc w:val="center"/>
                  </w:pPr>
                  <w:r>
                    <w:t>基础减震</w:t>
                  </w:r>
                </w:p>
              </w:tc>
              <w:tc>
                <w:tcPr>
                  <w:tcW w:w="814" w:type="dxa"/>
                  <w:vAlign w:val="center"/>
                </w:tcPr>
                <w:p>
                  <w:pPr>
                    <w:contextualSpacing/>
                    <w:jc w:val="center"/>
                  </w:pPr>
                  <w:r>
                    <w:rPr>
                      <w:rFonts w:hint="eastAsia"/>
                    </w:rPr>
                    <w:t>100</w:t>
                  </w:r>
                  <w: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8337" w:type="dxa"/>
                  <w:gridSpan w:val="10"/>
                  <w:vAlign w:val="center"/>
                </w:tcPr>
                <w:p>
                  <w:pPr>
                    <w:contextualSpacing/>
                    <w:rPr>
                      <w:b/>
                    </w:rPr>
                  </w:pPr>
                  <w:r>
                    <w:rPr>
                      <w:b/>
                    </w:rPr>
                    <w:t>注：以井场中心为原点</w:t>
                  </w:r>
                </w:p>
              </w:tc>
            </w:tr>
          </w:tbl>
          <w:p>
            <w:pPr>
              <w:tabs>
                <w:tab w:val="left" w:pos="2321"/>
              </w:tabs>
              <w:overflowPunct w:val="0"/>
              <w:autoSpaceDE w:val="0"/>
              <w:spacing w:line="360" w:lineRule="auto"/>
              <w:ind w:firstLine="420" w:firstLineChars="200"/>
              <w:rPr>
                <w:bCs/>
                <w:szCs w:val="21"/>
              </w:rPr>
            </w:pPr>
          </w:p>
          <w:p>
            <w:pPr>
              <w:tabs>
                <w:tab w:val="left" w:pos="2321"/>
              </w:tabs>
              <w:overflowPunct w:val="0"/>
              <w:autoSpaceDE w:val="0"/>
              <w:spacing w:line="360" w:lineRule="auto"/>
              <w:ind w:firstLine="420" w:firstLineChars="200"/>
              <w:rPr>
                <w:bCs/>
                <w:szCs w:val="21"/>
              </w:rPr>
            </w:pPr>
            <w:r>
              <w:rPr>
                <w:rFonts w:hint="eastAsia"/>
                <w:bCs/>
                <w:szCs w:val="21"/>
              </w:rPr>
              <w:t>（2）环境</w:t>
            </w:r>
            <w:r>
              <w:rPr>
                <w:bCs/>
                <w:szCs w:val="21"/>
              </w:rPr>
              <w:t>影响分析</w:t>
            </w:r>
          </w:p>
          <w:p>
            <w:pPr>
              <w:spacing w:line="360" w:lineRule="auto"/>
              <w:ind w:firstLine="420" w:firstLineChars="200"/>
              <w:rPr>
                <w:szCs w:val="21"/>
              </w:rPr>
            </w:pPr>
            <w:r>
              <w:rPr>
                <w:szCs w:val="21"/>
              </w:rPr>
              <w:t>本项目主要为钻井作业过程的钻机、柴油发电机组、振动筛、离心机等设备运行产生的机械噪声等。</w:t>
            </w:r>
          </w:p>
          <w:p>
            <w:pPr>
              <w:spacing w:line="360" w:lineRule="auto"/>
              <w:ind w:firstLine="420" w:firstLineChars="200"/>
              <w:rPr>
                <w:szCs w:val="21"/>
              </w:rPr>
            </w:pPr>
            <w:r>
              <w:rPr>
                <w:szCs w:val="21"/>
              </w:rPr>
              <w:t>钻井作业噪声：钻井过程中的噪声主要包括正常生产过程中的机械噪声、作业噪声以及事故放喷噪声，其产生情况为：</w:t>
            </w:r>
          </w:p>
          <w:p>
            <w:pPr>
              <w:spacing w:line="360" w:lineRule="auto"/>
              <w:ind w:firstLine="420" w:firstLineChars="200"/>
              <w:rPr>
                <w:szCs w:val="21"/>
              </w:rPr>
            </w:pPr>
            <w:r>
              <w:rPr>
                <w:szCs w:val="21"/>
              </w:rPr>
              <w:t>机械噪声：包括钻机、振动筛、泥浆泵、离心机以及其他各种机械转动所产生的噪声；</w:t>
            </w:r>
          </w:p>
          <w:p>
            <w:pPr>
              <w:spacing w:line="360" w:lineRule="auto"/>
              <w:ind w:firstLine="420" w:firstLineChars="200"/>
              <w:rPr>
                <w:szCs w:val="21"/>
              </w:rPr>
            </w:pPr>
            <w:r>
              <w:rPr>
                <w:szCs w:val="21"/>
              </w:rPr>
              <w:t>作业噪声：包括固井作业、下套管、起下钻具、钻机气路控制系统操作时快速放气阀放气、跳钻时吊环与水龙头的撞击等所产生的噪声；</w:t>
            </w:r>
          </w:p>
          <w:p>
            <w:pPr>
              <w:spacing w:line="360" w:lineRule="auto"/>
              <w:ind w:firstLine="420" w:firstLineChars="200"/>
              <w:rPr>
                <w:szCs w:val="21"/>
              </w:rPr>
            </w:pPr>
            <w:r>
              <w:rPr>
                <w:rFonts w:hint="eastAsia" w:ascii="宋体" w:hAnsi="宋体" w:cs="宋体"/>
                <w:szCs w:val="21"/>
              </w:rPr>
              <w:t>①</w:t>
            </w:r>
            <w:r>
              <w:rPr>
                <w:szCs w:val="21"/>
              </w:rPr>
              <w:t>预测范围、预测点位</w:t>
            </w:r>
          </w:p>
          <w:p>
            <w:pPr>
              <w:spacing w:line="360" w:lineRule="auto"/>
              <w:ind w:firstLine="420" w:firstLineChars="200"/>
              <w:rPr>
                <w:szCs w:val="21"/>
              </w:rPr>
            </w:pPr>
            <w:r>
              <w:rPr>
                <w:szCs w:val="21"/>
              </w:rPr>
              <w:t>井口周边200m范围的各居民点。</w:t>
            </w:r>
          </w:p>
          <w:p>
            <w:pPr>
              <w:spacing w:line="360" w:lineRule="auto"/>
              <w:ind w:firstLine="420" w:firstLineChars="200"/>
              <w:rPr>
                <w:szCs w:val="21"/>
              </w:rPr>
            </w:pPr>
            <w:r>
              <w:rPr>
                <w:rFonts w:hint="eastAsia" w:ascii="宋体" w:hAnsi="宋体" w:cs="宋体"/>
                <w:szCs w:val="21"/>
              </w:rPr>
              <w:t>②</w:t>
            </w:r>
            <w:r>
              <w:rPr>
                <w:szCs w:val="21"/>
              </w:rPr>
              <w:t>声源分析</w:t>
            </w:r>
          </w:p>
          <w:p>
            <w:pPr>
              <w:spacing w:line="360" w:lineRule="auto"/>
              <w:ind w:firstLine="420" w:firstLineChars="200"/>
              <w:rPr>
                <w:szCs w:val="21"/>
              </w:rPr>
            </w:pPr>
            <w:r>
              <w:rPr>
                <w:szCs w:val="21"/>
              </w:rPr>
              <w:t>根据各噪声设备的噪声级和布置，主要噪声源主要分布于井场井口周边30m内，钻井过程中采取相应噪声防治措施，同时在钻井过程中平稳操作，避免特种作业时产生非正常的噪声</w:t>
            </w:r>
          </w:p>
          <w:p>
            <w:pPr>
              <w:spacing w:line="360" w:lineRule="auto"/>
              <w:ind w:firstLine="420" w:firstLineChars="200"/>
              <w:rPr>
                <w:szCs w:val="21"/>
              </w:rPr>
            </w:pPr>
            <w:r>
              <w:rPr>
                <w:rFonts w:hint="eastAsia"/>
                <w:szCs w:val="21"/>
              </w:rPr>
              <w:t>（</w:t>
            </w:r>
            <w:r>
              <w:rPr>
                <w:szCs w:val="21"/>
              </w:rPr>
              <w:t>3）预测模式</w:t>
            </w:r>
          </w:p>
          <w:p>
            <w:pPr>
              <w:tabs>
                <w:tab w:val="left" w:pos="750"/>
              </w:tabs>
              <w:spacing w:line="360" w:lineRule="auto"/>
              <w:ind w:firstLine="420" w:firstLineChars="200"/>
              <w:contextualSpacing/>
              <w:rPr>
                <w:bCs/>
                <w:szCs w:val="21"/>
              </w:rPr>
            </w:pPr>
            <w:r>
              <w:rPr>
                <w:bCs/>
                <w:szCs w:val="21"/>
              </w:rPr>
              <w:t>预测时</w:t>
            </w:r>
            <w:r>
              <w:rPr>
                <w:szCs w:val="21"/>
              </w:rPr>
              <w:t>考虑</w:t>
            </w:r>
            <w:r>
              <w:rPr>
                <w:bCs/>
                <w:szCs w:val="21"/>
              </w:rPr>
              <w:t>声源在传播过程中经过距离衰减，采用《环境影响评价技术导则声环境》（HJ2.4-2021）中的“点声源的几何发散衰减”模式下的“无指向性点声源几何发散衰减”进行计算，预测模式如下：</w:t>
            </w:r>
          </w:p>
          <w:p>
            <w:pPr>
              <w:spacing w:line="360" w:lineRule="auto"/>
              <w:contextualSpacing/>
              <w:jc w:val="center"/>
              <w:rPr>
                <w:bCs/>
                <w:szCs w:val="21"/>
              </w:rPr>
            </w:pPr>
            <m:oMathPara>
              <m:oMath>
                <m:sSub>
                  <m:sSubPr>
                    <m:ctrlPr>
                      <w:rPr>
                        <w:rFonts w:ascii="Cambria Math" w:hAnsi="Cambria Math"/>
                        <w:iCs/>
                        <w:sz w:val="24"/>
                      </w:rPr>
                    </m:ctrlPr>
                  </m:sSubPr>
                  <m:e>
                    <m:r>
                      <m:rPr>
                        <m:sty m:val="p"/>
                      </m:rPr>
                      <w:rPr>
                        <w:rFonts w:ascii="Cambria Math" w:hAnsi="Cambria Math"/>
                        <w:sz w:val="24"/>
                      </w:rPr>
                      <m:t>L</m:t>
                    </m:r>
                    <m:ctrlPr>
                      <w:rPr>
                        <w:rFonts w:ascii="Cambria Math" w:hAnsi="Cambria Math"/>
                        <w:iCs/>
                        <w:sz w:val="24"/>
                      </w:rPr>
                    </m:ctrlPr>
                  </m:e>
                  <m:sub>
                    <m:r>
                      <m:rPr>
                        <m:sty m:val="p"/>
                      </m:rPr>
                      <w:rPr>
                        <w:rFonts w:ascii="Cambria Math" w:hAnsi="Cambria Math"/>
                        <w:sz w:val="24"/>
                      </w:rPr>
                      <m:t>P</m:t>
                    </m:r>
                    <m:ctrlPr>
                      <w:rPr>
                        <w:rFonts w:ascii="Cambria Math" w:hAnsi="Cambria Math"/>
                        <w:iCs/>
                        <w:sz w:val="24"/>
                      </w:rPr>
                    </m:ctrlPr>
                  </m:sub>
                </m:sSub>
                <m:d>
                  <m:dPr>
                    <m:begChr m:val="（"/>
                    <m:endChr m:val="）"/>
                    <m:ctrlPr>
                      <w:rPr>
                        <w:rFonts w:ascii="Cambria Math" w:hAnsi="Cambria Math"/>
                        <w:iCs/>
                        <w:sz w:val="24"/>
                      </w:rPr>
                    </m:ctrlPr>
                  </m:dPr>
                  <m:e>
                    <m:r>
                      <m:rPr>
                        <m:sty m:val="p"/>
                      </m:rPr>
                      <w:rPr>
                        <w:rFonts w:ascii="Cambria Math" w:hAnsi="Cambria Math"/>
                        <w:sz w:val="24"/>
                      </w:rPr>
                      <m:t>r</m:t>
                    </m:r>
                    <m:ctrlPr>
                      <w:rPr>
                        <w:rFonts w:ascii="Cambria Math" w:hAnsi="Cambria Math"/>
                        <w:iCs/>
                        <w:sz w:val="24"/>
                      </w:rPr>
                    </m:ctrlPr>
                  </m:e>
                </m:d>
                <m:r>
                  <m:rPr>
                    <m:sty m:val="p"/>
                  </m:rPr>
                  <w:rPr>
                    <w:rFonts w:ascii="Cambria Math" w:hAnsi="Cambria Math"/>
                    <w:sz w:val="24"/>
                  </w:rPr>
                  <m:t>=</m:t>
                </m:r>
                <m:sSub>
                  <m:sSubPr>
                    <m:ctrlPr>
                      <w:rPr>
                        <w:rFonts w:ascii="Cambria Math" w:hAnsi="Cambria Math"/>
                        <w:iCs/>
                        <w:sz w:val="24"/>
                      </w:rPr>
                    </m:ctrlPr>
                  </m:sSubPr>
                  <m:e>
                    <m:r>
                      <m:rPr>
                        <m:sty m:val="p"/>
                      </m:rPr>
                      <w:rPr>
                        <w:rFonts w:ascii="Cambria Math" w:hAnsi="Cambria Math"/>
                        <w:sz w:val="24"/>
                      </w:rPr>
                      <m:t>L</m:t>
                    </m:r>
                    <m:ctrlPr>
                      <w:rPr>
                        <w:rFonts w:ascii="Cambria Math" w:hAnsi="Cambria Math"/>
                        <w:iCs/>
                        <w:sz w:val="24"/>
                      </w:rPr>
                    </m:ctrlPr>
                  </m:e>
                  <m:sub>
                    <m:r>
                      <m:rPr>
                        <m:sty m:val="p"/>
                      </m:rPr>
                      <w:rPr>
                        <w:rFonts w:ascii="Cambria Math" w:hAnsi="Cambria Math"/>
                        <w:sz w:val="24"/>
                      </w:rPr>
                      <m:t>p</m:t>
                    </m:r>
                    <m:ctrlPr>
                      <w:rPr>
                        <w:rFonts w:ascii="Cambria Math" w:hAnsi="Cambria Math"/>
                        <w:iCs/>
                        <w:sz w:val="24"/>
                      </w:rPr>
                    </m:ctrlPr>
                  </m:sub>
                </m:sSub>
                <m:d>
                  <m:dPr>
                    <m:begChr m:val="（"/>
                    <m:endChr m:val="）"/>
                    <m:ctrlPr>
                      <w:rPr>
                        <w:rFonts w:ascii="Cambria Math" w:hAnsi="Cambria Math"/>
                        <w:iCs/>
                        <w:sz w:val="24"/>
                      </w:rPr>
                    </m:ctrlPr>
                  </m:dPr>
                  <m:e>
                    <m:sSub>
                      <m:sSubPr>
                        <m:ctrlPr>
                          <w:rPr>
                            <w:rFonts w:ascii="Cambria Math" w:hAnsi="Cambria Math"/>
                            <w:iCs/>
                            <w:sz w:val="24"/>
                          </w:rPr>
                        </m:ctrlPr>
                      </m:sSubPr>
                      <m:e>
                        <m:r>
                          <m:rPr>
                            <m:sty m:val="p"/>
                          </m:rPr>
                          <w:rPr>
                            <w:rFonts w:ascii="Cambria Math" w:hAnsi="Cambria Math"/>
                            <w:sz w:val="24"/>
                          </w:rPr>
                          <m:t>r</m:t>
                        </m:r>
                        <m:ctrlPr>
                          <w:rPr>
                            <w:rFonts w:ascii="Cambria Math" w:hAnsi="Cambria Math"/>
                            <w:iCs/>
                            <w:sz w:val="24"/>
                          </w:rPr>
                        </m:ctrlPr>
                      </m:e>
                      <m:sub>
                        <m:r>
                          <m:rPr>
                            <m:sty m:val="p"/>
                          </m:rPr>
                          <w:rPr>
                            <w:rFonts w:ascii="Cambria Math" w:hAnsi="Cambria Math"/>
                            <w:sz w:val="24"/>
                          </w:rPr>
                          <m:t>0</m:t>
                        </m:r>
                        <m:ctrlPr>
                          <w:rPr>
                            <w:rFonts w:ascii="Cambria Math" w:hAnsi="Cambria Math"/>
                            <w:iCs/>
                            <w:sz w:val="24"/>
                          </w:rPr>
                        </m:ctrlPr>
                      </m:sub>
                    </m:sSub>
                    <m:ctrlPr>
                      <w:rPr>
                        <w:rFonts w:ascii="Cambria Math" w:hAnsi="Cambria Math"/>
                        <w:iCs/>
                        <w:sz w:val="24"/>
                      </w:rPr>
                    </m:ctrlPr>
                  </m:e>
                </m:d>
                <m:r>
                  <m:rPr>
                    <m:sty m:val="p"/>
                  </m:rPr>
                  <w:rPr>
                    <w:rFonts w:ascii="Cambria Math" w:hAnsi="Cambria Math"/>
                    <w:sz w:val="24"/>
                  </w:rPr>
                  <m:t>−20lg⁡（r/</m:t>
                </m:r>
                <m:sSub>
                  <m:sSubPr>
                    <m:ctrlPr>
                      <w:rPr>
                        <w:rFonts w:ascii="Cambria Math" w:hAnsi="Cambria Math"/>
                        <w:iCs/>
                        <w:sz w:val="24"/>
                      </w:rPr>
                    </m:ctrlPr>
                  </m:sSubPr>
                  <m:e>
                    <m:r>
                      <m:rPr>
                        <m:sty m:val="p"/>
                      </m:rPr>
                      <w:rPr>
                        <w:rFonts w:ascii="Cambria Math" w:hAnsi="Cambria Math"/>
                        <w:sz w:val="24"/>
                      </w:rPr>
                      <m:t>r</m:t>
                    </m:r>
                    <m:ctrlPr>
                      <w:rPr>
                        <w:rFonts w:ascii="Cambria Math" w:hAnsi="Cambria Math"/>
                        <w:iCs/>
                        <w:sz w:val="24"/>
                      </w:rPr>
                    </m:ctrlPr>
                  </m:e>
                  <m:sub>
                    <m:r>
                      <m:rPr>
                        <m:sty m:val="p"/>
                      </m:rPr>
                      <w:rPr>
                        <w:rFonts w:ascii="Cambria Math" w:hAnsi="Cambria Math"/>
                        <w:sz w:val="24"/>
                      </w:rPr>
                      <m:t>0</m:t>
                    </m:r>
                    <m:ctrlPr>
                      <w:rPr>
                        <w:rFonts w:ascii="Cambria Math" w:hAnsi="Cambria Math"/>
                        <w:iCs/>
                        <w:sz w:val="24"/>
                      </w:rPr>
                    </m:ctrlPr>
                  </m:sub>
                </m:sSub>
                <m:r>
                  <m:rPr>
                    <m:sty m:val="p"/>
                  </m:rPr>
                  <w:rPr>
                    <w:rFonts w:ascii="Cambria Math" w:hAnsi="Cambria Math"/>
                    <w:sz w:val="24"/>
                  </w:rPr>
                  <m:t>）</m:t>
                </m:r>
              </m:oMath>
            </m:oMathPara>
          </w:p>
          <w:p>
            <w:pPr>
              <w:tabs>
                <w:tab w:val="left" w:pos="750"/>
              </w:tabs>
              <w:spacing w:line="360" w:lineRule="auto"/>
              <w:ind w:firstLine="420" w:firstLineChars="200"/>
              <w:contextualSpacing/>
              <w:rPr>
                <w:szCs w:val="21"/>
                <w:lang w:val="pt-BR"/>
              </w:rPr>
            </w:pPr>
            <w:r>
              <w:rPr>
                <w:szCs w:val="21"/>
              </w:rPr>
              <w:t>式中</w:t>
            </w:r>
            <w:r>
              <w:rPr>
                <w:szCs w:val="21"/>
                <w:lang w:val="pt-BR"/>
              </w:rPr>
              <w:t>：</w:t>
            </w:r>
            <w:r>
              <w:rPr>
                <w:i/>
                <w:iCs/>
                <w:szCs w:val="21"/>
                <w:lang w:val="pt-BR"/>
              </w:rPr>
              <w:t>L</w:t>
            </w:r>
            <w:r>
              <w:rPr>
                <w:i/>
                <w:iCs/>
                <w:szCs w:val="21"/>
                <w:vertAlign w:val="subscript"/>
                <w:lang w:val="pt-BR"/>
              </w:rPr>
              <w:t>P</w:t>
            </w:r>
            <w:r>
              <w:rPr>
                <w:i/>
                <w:iCs/>
                <w:szCs w:val="21"/>
                <w:lang w:val="pt-BR"/>
              </w:rPr>
              <w:t>（r）</w:t>
            </w:r>
            <w:r>
              <w:rPr>
                <w:szCs w:val="21"/>
                <w:lang w:val="pt-BR"/>
              </w:rPr>
              <w:t xml:space="preserve"> — 预测点处声压级，dB；</w:t>
            </w:r>
          </w:p>
          <w:p>
            <w:pPr>
              <w:spacing w:line="360" w:lineRule="auto"/>
              <w:ind w:firstLine="1050" w:firstLineChars="500"/>
              <w:contextualSpacing/>
              <w:rPr>
                <w:szCs w:val="21"/>
              </w:rPr>
            </w:pPr>
            <w:r>
              <w:rPr>
                <w:i/>
                <w:iCs/>
                <w:szCs w:val="21"/>
              </w:rPr>
              <w:t>L</w:t>
            </w:r>
            <w:r>
              <w:rPr>
                <w:i/>
                <w:iCs/>
                <w:szCs w:val="21"/>
                <w:vertAlign w:val="subscript"/>
              </w:rPr>
              <w:t>P</w:t>
            </w:r>
            <w:r>
              <w:rPr>
                <w:i/>
                <w:iCs/>
                <w:szCs w:val="21"/>
              </w:rPr>
              <w:t>（r</w:t>
            </w:r>
            <w:r>
              <w:rPr>
                <w:i/>
                <w:iCs/>
                <w:szCs w:val="21"/>
                <w:vertAlign w:val="subscript"/>
              </w:rPr>
              <w:t>0</w:t>
            </w:r>
            <w:r>
              <w:rPr>
                <w:i/>
                <w:iCs/>
                <w:szCs w:val="21"/>
              </w:rPr>
              <w:t>）</w:t>
            </w:r>
            <w:r>
              <w:rPr>
                <w:szCs w:val="21"/>
              </w:rPr>
              <w:t>— 参考点r</w:t>
            </w:r>
            <w:r>
              <w:rPr>
                <w:szCs w:val="21"/>
                <w:vertAlign w:val="subscript"/>
              </w:rPr>
              <w:t>0</w:t>
            </w:r>
            <w:r>
              <w:rPr>
                <w:szCs w:val="21"/>
              </w:rPr>
              <w:t>处的声压级，dB；</w:t>
            </w:r>
          </w:p>
          <w:p>
            <w:pPr>
              <w:spacing w:line="360" w:lineRule="auto"/>
              <w:ind w:firstLine="1050" w:firstLineChars="500"/>
              <w:contextualSpacing/>
              <w:rPr>
                <w:szCs w:val="21"/>
              </w:rPr>
            </w:pPr>
            <w:r>
              <w:rPr>
                <w:i/>
                <w:iCs/>
                <w:szCs w:val="21"/>
              </w:rPr>
              <w:t xml:space="preserve">r </w:t>
            </w:r>
            <w:r>
              <w:rPr>
                <w:szCs w:val="21"/>
              </w:rPr>
              <w:t>— 预测点距声源的距离，m；</w:t>
            </w:r>
          </w:p>
          <w:p>
            <w:pPr>
              <w:spacing w:line="360" w:lineRule="auto"/>
              <w:ind w:firstLine="1050" w:firstLineChars="500"/>
              <w:contextualSpacing/>
              <w:rPr>
                <w:szCs w:val="21"/>
              </w:rPr>
            </w:pPr>
            <w:r>
              <w:rPr>
                <w:i/>
                <w:iCs/>
                <w:szCs w:val="21"/>
              </w:rPr>
              <w:t>r</w:t>
            </w:r>
            <w:r>
              <w:rPr>
                <w:i/>
                <w:iCs/>
                <w:szCs w:val="21"/>
                <w:vertAlign w:val="subscript"/>
              </w:rPr>
              <w:t>0</w:t>
            </w:r>
            <w:r>
              <w:rPr>
                <w:szCs w:val="21"/>
              </w:rPr>
              <w:t xml:space="preserve"> — 参考位置距声源的距离，m；</w:t>
            </w:r>
          </w:p>
          <w:p>
            <w:pPr>
              <w:tabs>
                <w:tab w:val="left" w:pos="750"/>
              </w:tabs>
              <w:spacing w:line="360" w:lineRule="auto"/>
              <w:ind w:firstLine="420" w:firstLineChars="200"/>
              <w:contextualSpacing/>
              <w:rPr>
                <w:szCs w:val="21"/>
              </w:rPr>
            </w:pPr>
            <w:r>
              <w:rPr>
                <w:szCs w:val="21"/>
              </w:rPr>
              <w:t>多个声源发出的噪声在同一受声点的共同影响，噪声在预测点处产生的等效声级贡献值叠加的计算公式如下：</w:t>
            </w:r>
          </w:p>
          <w:p>
            <w:pPr>
              <w:spacing w:line="360" w:lineRule="auto"/>
              <w:ind w:firstLine="420" w:firstLineChars="200"/>
              <w:contextualSpacing/>
              <w:jc w:val="center"/>
              <w:rPr>
                <w:szCs w:val="21"/>
              </w:rPr>
            </w:pPr>
            <w:r>
              <w:rPr>
                <w:position w:val="-28"/>
                <w:szCs w:val="21"/>
              </w:rPr>
              <w:drawing>
                <wp:inline distT="0" distB="0" distL="0" distR="0">
                  <wp:extent cx="1733550" cy="457200"/>
                  <wp:effectExtent l="0" t="0" r="0" b="0"/>
                  <wp:docPr id="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733550" cy="457200"/>
                          </a:xfrm>
                          <a:prstGeom prst="rect">
                            <a:avLst/>
                          </a:prstGeom>
                          <a:noFill/>
                          <a:ln>
                            <a:noFill/>
                          </a:ln>
                        </pic:spPr>
                      </pic:pic>
                    </a:graphicData>
                  </a:graphic>
                </wp:inline>
              </w:drawing>
            </w:r>
          </w:p>
          <w:p>
            <w:pPr>
              <w:tabs>
                <w:tab w:val="left" w:pos="750"/>
              </w:tabs>
              <w:spacing w:line="360" w:lineRule="auto"/>
              <w:ind w:firstLine="420" w:firstLineChars="200"/>
              <w:contextualSpacing/>
              <w:rPr>
                <w:szCs w:val="21"/>
              </w:rPr>
            </w:pPr>
            <w:r>
              <w:rPr>
                <w:szCs w:val="21"/>
              </w:rPr>
              <w:t>式中：</w:t>
            </w:r>
            <w:r>
              <w:rPr>
                <w:i/>
                <w:iCs/>
                <w:szCs w:val="21"/>
              </w:rPr>
              <w:t>L</w:t>
            </w:r>
            <w:r>
              <w:rPr>
                <w:i/>
                <w:iCs/>
                <w:szCs w:val="21"/>
                <w:vertAlign w:val="subscript"/>
              </w:rPr>
              <w:t>eqg</w:t>
            </w:r>
            <w:r>
              <w:rPr>
                <w:szCs w:val="21"/>
              </w:rPr>
              <w:t xml:space="preserve"> — 建设项目在预测点的等效声级贡献值，dB；</w:t>
            </w:r>
          </w:p>
          <w:p>
            <w:pPr>
              <w:tabs>
                <w:tab w:val="left" w:pos="750"/>
              </w:tabs>
              <w:spacing w:line="360" w:lineRule="auto"/>
              <w:ind w:firstLine="1050" w:firstLineChars="500"/>
              <w:contextualSpacing/>
              <w:rPr>
                <w:szCs w:val="21"/>
              </w:rPr>
            </w:pPr>
            <w:r>
              <w:rPr>
                <w:i/>
                <w:iCs/>
                <w:szCs w:val="21"/>
              </w:rPr>
              <w:t>L</w:t>
            </w:r>
            <w:r>
              <w:rPr>
                <w:i/>
                <w:iCs/>
                <w:szCs w:val="21"/>
                <w:vertAlign w:val="subscript"/>
              </w:rPr>
              <w:t>Ai</w:t>
            </w:r>
            <w:r>
              <w:rPr>
                <w:i/>
                <w:iCs/>
                <w:szCs w:val="21"/>
              </w:rPr>
              <w:t xml:space="preserve"> </w:t>
            </w:r>
            <w:r>
              <w:rPr>
                <w:szCs w:val="21"/>
              </w:rPr>
              <w:t xml:space="preserve">— </w:t>
            </w:r>
            <w:r>
              <w:rPr>
                <w:i/>
                <w:iCs/>
                <w:szCs w:val="21"/>
              </w:rPr>
              <w:t>i</w:t>
            </w:r>
            <w:r>
              <w:rPr>
                <w:szCs w:val="21"/>
              </w:rPr>
              <w:t>声源在预测点产生的A声级，dB；</w:t>
            </w:r>
          </w:p>
          <w:p>
            <w:pPr>
              <w:tabs>
                <w:tab w:val="left" w:pos="750"/>
              </w:tabs>
              <w:spacing w:line="360" w:lineRule="auto"/>
              <w:ind w:firstLine="1050" w:firstLineChars="500"/>
              <w:contextualSpacing/>
              <w:rPr>
                <w:szCs w:val="21"/>
              </w:rPr>
            </w:pPr>
            <w:r>
              <w:rPr>
                <w:i/>
                <w:iCs/>
                <w:szCs w:val="21"/>
              </w:rPr>
              <w:t>T</w:t>
            </w:r>
            <w:r>
              <w:rPr>
                <w:szCs w:val="21"/>
              </w:rPr>
              <w:t xml:space="preserve"> — 预测计算的时间段，s；</w:t>
            </w:r>
          </w:p>
          <w:p>
            <w:pPr>
              <w:tabs>
                <w:tab w:val="left" w:pos="750"/>
              </w:tabs>
              <w:spacing w:line="360" w:lineRule="auto"/>
              <w:ind w:firstLine="1050" w:firstLineChars="500"/>
              <w:contextualSpacing/>
              <w:rPr>
                <w:szCs w:val="21"/>
              </w:rPr>
            </w:pPr>
            <w:r>
              <w:rPr>
                <w:i/>
                <w:iCs/>
                <w:szCs w:val="21"/>
              </w:rPr>
              <w:t>t</w:t>
            </w:r>
            <w:r>
              <w:rPr>
                <w:i/>
                <w:iCs/>
                <w:szCs w:val="21"/>
                <w:vertAlign w:val="subscript"/>
              </w:rPr>
              <w:t>i</w:t>
            </w:r>
            <w:r>
              <w:rPr>
                <w:szCs w:val="21"/>
              </w:rPr>
              <w:t xml:space="preserve"> —</w:t>
            </w:r>
            <w:r>
              <w:rPr>
                <w:i/>
                <w:iCs/>
                <w:szCs w:val="21"/>
              </w:rPr>
              <w:t>i</w:t>
            </w:r>
            <w:r>
              <w:rPr>
                <w:szCs w:val="21"/>
              </w:rPr>
              <w:t>声源在T时段内的运行时间，s。</w:t>
            </w:r>
          </w:p>
          <w:p>
            <w:pPr>
              <w:tabs>
                <w:tab w:val="left" w:pos="750"/>
              </w:tabs>
              <w:spacing w:line="360" w:lineRule="auto"/>
              <w:ind w:firstLine="420" w:firstLineChars="200"/>
              <w:contextualSpacing/>
              <w:rPr>
                <w:szCs w:val="21"/>
              </w:rPr>
            </w:pPr>
            <w:r>
              <w:rPr>
                <w:szCs w:val="21"/>
              </w:rPr>
              <w:t>声源在敏感点处的贡献值叠加背景值即为该敏感点处噪声预测值，计算</w:t>
            </w:r>
            <w:r>
              <w:rPr>
                <w:bCs/>
                <w:szCs w:val="21"/>
              </w:rPr>
              <w:t>采用《环境影响评价技术导则声环境》（HJ2.4-2021）</w:t>
            </w:r>
            <w:r>
              <w:rPr>
                <w:szCs w:val="21"/>
              </w:rPr>
              <w:t>3.11中（3）式，公式为：</w:t>
            </w:r>
          </w:p>
          <w:p>
            <w:pPr>
              <w:spacing w:line="360" w:lineRule="auto"/>
              <w:ind w:firstLine="420" w:firstLineChars="200"/>
              <w:contextualSpacing/>
              <w:jc w:val="center"/>
              <w:rPr>
                <w:szCs w:val="21"/>
              </w:rPr>
            </w:pPr>
            <w:r>
              <w:rPr>
                <w:position w:val="-12"/>
                <w:szCs w:val="21"/>
              </w:rPr>
              <w:drawing>
                <wp:inline distT="0" distB="0" distL="0" distR="0">
                  <wp:extent cx="2286000" cy="279400"/>
                  <wp:effectExtent l="0" t="0" r="0" b="0"/>
                  <wp:docPr id="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286000" cy="279400"/>
                          </a:xfrm>
                          <a:prstGeom prst="rect">
                            <a:avLst/>
                          </a:prstGeom>
                          <a:noFill/>
                          <a:ln>
                            <a:noFill/>
                          </a:ln>
                        </pic:spPr>
                      </pic:pic>
                    </a:graphicData>
                  </a:graphic>
                </wp:inline>
              </w:drawing>
            </w:r>
          </w:p>
          <w:p>
            <w:pPr>
              <w:tabs>
                <w:tab w:val="left" w:pos="750"/>
              </w:tabs>
              <w:spacing w:line="360" w:lineRule="auto"/>
              <w:ind w:firstLine="420" w:firstLineChars="200"/>
              <w:contextualSpacing/>
              <w:rPr>
                <w:szCs w:val="21"/>
              </w:rPr>
            </w:pPr>
            <w:r>
              <w:rPr>
                <w:szCs w:val="21"/>
              </w:rPr>
              <w:t>式中：</w:t>
            </w:r>
            <w:r>
              <w:rPr>
                <w:i/>
                <w:iCs/>
                <w:szCs w:val="21"/>
              </w:rPr>
              <w:t>L</w:t>
            </w:r>
            <w:r>
              <w:rPr>
                <w:i/>
                <w:iCs/>
                <w:szCs w:val="21"/>
                <w:vertAlign w:val="subscript"/>
              </w:rPr>
              <w:t>eqg</w:t>
            </w:r>
            <w:r>
              <w:rPr>
                <w:i/>
                <w:iCs/>
                <w:szCs w:val="21"/>
              </w:rPr>
              <w:t xml:space="preserve"> </w:t>
            </w:r>
            <w:r>
              <w:rPr>
                <w:szCs w:val="21"/>
              </w:rPr>
              <w:t>— 建设项目声源在预测点的等效声级贡献值，dB；</w:t>
            </w:r>
          </w:p>
          <w:p>
            <w:pPr>
              <w:spacing w:line="360" w:lineRule="auto"/>
              <w:ind w:firstLine="1050" w:firstLineChars="500"/>
              <w:contextualSpacing/>
              <w:rPr>
                <w:szCs w:val="21"/>
              </w:rPr>
            </w:pPr>
            <w:r>
              <w:rPr>
                <w:i/>
                <w:iCs/>
                <w:szCs w:val="21"/>
              </w:rPr>
              <w:t>L</w:t>
            </w:r>
            <w:r>
              <w:rPr>
                <w:i/>
                <w:iCs/>
                <w:szCs w:val="21"/>
                <w:vertAlign w:val="subscript"/>
              </w:rPr>
              <w:t>eqb</w:t>
            </w:r>
            <w:r>
              <w:rPr>
                <w:szCs w:val="21"/>
              </w:rPr>
              <w:t xml:space="preserve"> — 预测点的背景值，dB。</w:t>
            </w:r>
          </w:p>
          <w:p>
            <w:pPr>
              <w:tabs>
                <w:tab w:val="left" w:pos="750"/>
              </w:tabs>
              <w:spacing w:line="360" w:lineRule="auto"/>
              <w:ind w:firstLine="420" w:firstLineChars="200"/>
              <w:contextualSpacing/>
              <w:rPr>
                <w:szCs w:val="21"/>
              </w:rPr>
            </w:pPr>
            <w:r>
              <w:rPr>
                <w:szCs w:val="21"/>
              </w:rPr>
              <w:t>预测结果见下表。</w:t>
            </w:r>
          </w:p>
          <w:p>
            <w:pPr>
              <w:autoSpaceDE w:val="0"/>
              <w:autoSpaceDN w:val="0"/>
              <w:spacing w:line="360" w:lineRule="auto"/>
              <w:contextualSpacing/>
              <w:jc w:val="center"/>
              <w:rPr>
                <w:b/>
                <w:szCs w:val="21"/>
              </w:rPr>
            </w:pPr>
            <w:r>
              <w:rPr>
                <w:b/>
                <w:szCs w:val="21"/>
              </w:rPr>
              <w:t xml:space="preserve">表4-10 </w:t>
            </w:r>
            <w:r>
              <w:rPr>
                <w:rFonts w:hint="eastAsia"/>
                <w:b/>
                <w:szCs w:val="21"/>
              </w:rPr>
              <w:t>钻井</w:t>
            </w:r>
            <w:r>
              <w:rPr>
                <w:b/>
                <w:szCs w:val="21"/>
              </w:rPr>
              <w:t>设备厂界噪声预测结果与达标分析表</w:t>
            </w:r>
          </w:p>
          <w:tbl>
            <w:tblPr>
              <w:tblStyle w:val="42"/>
              <w:tblW w:w="81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9"/>
              <w:gridCol w:w="765"/>
              <w:gridCol w:w="765"/>
              <w:gridCol w:w="765"/>
              <w:gridCol w:w="946"/>
              <w:gridCol w:w="1350"/>
              <w:gridCol w:w="1351"/>
              <w:gridCol w:w="11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exact"/>
                <w:jc w:val="center"/>
              </w:trPr>
              <w:tc>
                <w:tcPr>
                  <w:tcW w:w="1049" w:type="dxa"/>
                  <w:vMerge w:val="restart"/>
                  <w:vAlign w:val="center"/>
                </w:tcPr>
                <w:p>
                  <w:pPr>
                    <w:jc w:val="center"/>
                    <w:rPr>
                      <w:rFonts w:eastAsiaTheme="minorEastAsia"/>
                      <w:szCs w:val="21"/>
                    </w:rPr>
                  </w:pPr>
                  <w:r>
                    <w:rPr>
                      <w:rFonts w:eastAsiaTheme="minorEastAsia"/>
                      <w:b/>
                      <w:szCs w:val="21"/>
                    </w:rPr>
                    <w:t>预测方位</w:t>
                  </w:r>
                </w:p>
              </w:tc>
              <w:tc>
                <w:tcPr>
                  <w:tcW w:w="2295" w:type="dxa"/>
                  <w:gridSpan w:val="3"/>
                  <w:vAlign w:val="center"/>
                </w:tcPr>
                <w:p>
                  <w:pPr>
                    <w:jc w:val="center"/>
                    <w:rPr>
                      <w:rFonts w:eastAsiaTheme="minorEastAsia"/>
                      <w:szCs w:val="21"/>
                    </w:rPr>
                  </w:pPr>
                  <w:r>
                    <w:rPr>
                      <w:rFonts w:eastAsiaTheme="minorEastAsia"/>
                      <w:b/>
                      <w:szCs w:val="21"/>
                    </w:rPr>
                    <w:t>空间相对位置/m</w:t>
                  </w:r>
                </w:p>
              </w:tc>
              <w:tc>
                <w:tcPr>
                  <w:tcW w:w="946" w:type="dxa"/>
                  <w:vMerge w:val="restart"/>
                  <w:vAlign w:val="center"/>
                </w:tcPr>
                <w:p>
                  <w:pPr>
                    <w:jc w:val="center"/>
                    <w:rPr>
                      <w:rFonts w:eastAsiaTheme="minorEastAsia"/>
                      <w:szCs w:val="21"/>
                    </w:rPr>
                  </w:pPr>
                  <w:r>
                    <w:rPr>
                      <w:rFonts w:eastAsiaTheme="minorEastAsia"/>
                      <w:b/>
                      <w:szCs w:val="21"/>
                    </w:rPr>
                    <w:t>时段</w:t>
                  </w:r>
                </w:p>
              </w:tc>
              <w:tc>
                <w:tcPr>
                  <w:tcW w:w="1350" w:type="dxa"/>
                  <w:vMerge w:val="restart"/>
                  <w:vAlign w:val="center"/>
                </w:tcPr>
                <w:p>
                  <w:pPr>
                    <w:jc w:val="center"/>
                    <w:rPr>
                      <w:rFonts w:eastAsiaTheme="minorEastAsia"/>
                      <w:szCs w:val="21"/>
                    </w:rPr>
                  </w:pPr>
                  <w:r>
                    <w:rPr>
                      <w:rFonts w:eastAsiaTheme="minorEastAsia"/>
                      <w:b/>
                      <w:szCs w:val="21"/>
                    </w:rPr>
                    <w:t>预测值（dB(A)）</w:t>
                  </w:r>
                </w:p>
              </w:tc>
              <w:tc>
                <w:tcPr>
                  <w:tcW w:w="1351" w:type="dxa"/>
                  <w:vMerge w:val="restart"/>
                  <w:vAlign w:val="center"/>
                </w:tcPr>
                <w:p>
                  <w:pPr>
                    <w:jc w:val="center"/>
                    <w:rPr>
                      <w:rFonts w:eastAsiaTheme="minorEastAsia"/>
                      <w:szCs w:val="21"/>
                    </w:rPr>
                  </w:pPr>
                  <w:r>
                    <w:rPr>
                      <w:rFonts w:eastAsiaTheme="minorEastAsia"/>
                      <w:b/>
                      <w:szCs w:val="21"/>
                    </w:rPr>
                    <w:t>标准限值（dB(A)）</w:t>
                  </w:r>
                </w:p>
              </w:tc>
              <w:tc>
                <w:tcPr>
                  <w:tcW w:w="1132" w:type="dxa"/>
                  <w:vMerge w:val="restart"/>
                  <w:vAlign w:val="center"/>
                </w:tcPr>
                <w:p>
                  <w:pPr>
                    <w:jc w:val="center"/>
                    <w:rPr>
                      <w:rFonts w:eastAsiaTheme="minorEastAsia"/>
                      <w:szCs w:val="21"/>
                    </w:rPr>
                  </w:pPr>
                  <w:r>
                    <w:rPr>
                      <w:rFonts w:eastAsiaTheme="minorEastAsia"/>
                      <w:b/>
                      <w:szCs w:val="21"/>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1049" w:type="dxa"/>
                  <w:vMerge w:val="continue"/>
                  <w:shd w:val="clear" w:color="auto" w:fill="FFFFFF"/>
                  <w:vAlign w:val="center"/>
                </w:tcPr>
                <w:p>
                  <w:pPr>
                    <w:jc w:val="center"/>
                    <w:rPr>
                      <w:rFonts w:eastAsiaTheme="minorEastAsia"/>
                      <w:szCs w:val="21"/>
                    </w:rPr>
                  </w:pPr>
                </w:p>
              </w:tc>
              <w:tc>
                <w:tcPr>
                  <w:tcW w:w="765" w:type="dxa"/>
                  <w:shd w:val="clear" w:color="auto" w:fill="FFFFFF"/>
                  <w:vAlign w:val="center"/>
                </w:tcPr>
                <w:p>
                  <w:pPr>
                    <w:jc w:val="center"/>
                    <w:rPr>
                      <w:rFonts w:eastAsiaTheme="minorEastAsia"/>
                      <w:szCs w:val="21"/>
                    </w:rPr>
                  </w:pPr>
                  <w:r>
                    <w:rPr>
                      <w:rFonts w:eastAsiaTheme="minorEastAsia"/>
                      <w:szCs w:val="21"/>
                    </w:rPr>
                    <w:t>X</w:t>
                  </w:r>
                </w:p>
              </w:tc>
              <w:tc>
                <w:tcPr>
                  <w:tcW w:w="765" w:type="dxa"/>
                  <w:shd w:val="clear" w:color="auto" w:fill="FFFFFF"/>
                  <w:vAlign w:val="center"/>
                </w:tcPr>
                <w:p>
                  <w:pPr>
                    <w:jc w:val="center"/>
                    <w:rPr>
                      <w:rFonts w:eastAsiaTheme="minorEastAsia"/>
                      <w:szCs w:val="21"/>
                    </w:rPr>
                  </w:pPr>
                  <w:r>
                    <w:rPr>
                      <w:rFonts w:eastAsiaTheme="minorEastAsia"/>
                      <w:szCs w:val="21"/>
                    </w:rPr>
                    <w:t>Y</w:t>
                  </w:r>
                </w:p>
              </w:tc>
              <w:tc>
                <w:tcPr>
                  <w:tcW w:w="765" w:type="dxa"/>
                  <w:shd w:val="clear" w:color="auto" w:fill="FFFFFF"/>
                  <w:vAlign w:val="center"/>
                </w:tcPr>
                <w:p>
                  <w:pPr>
                    <w:jc w:val="center"/>
                    <w:rPr>
                      <w:rFonts w:eastAsiaTheme="minorEastAsia"/>
                      <w:szCs w:val="21"/>
                    </w:rPr>
                  </w:pPr>
                  <w:r>
                    <w:rPr>
                      <w:rFonts w:eastAsiaTheme="minorEastAsia"/>
                      <w:szCs w:val="21"/>
                    </w:rPr>
                    <w:t>Z</w:t>
                  </w:r>
                </w:p>
              </w:tc>
              <w:tc>
                <w:tcPr>
                  <w:tcW w:w="946" w:type="dxa"/>
                  <w:vMerge w:val="continue"/>
                  <w:shd w:val="clear" w:color="auto" w:fill="FFFFFF"/>
                  <w:vAlign w:val="center"/>
                </w:tcPr>
                <w:p>
                  <w:pPr>
                    <w:jc w:val="center"/>
                    <w:rPr>
                      <w:rFonts w:eastAsiaTheme="minorEastAsia"/>
                      <w:szCs w:val="21"/>
                    </w:rPr>
                  </w:pPr>
                </w:p>
              </w:tc>
              <w:tc>
                <w:tcPr>
                  <w:tcW w:w="1350" w:type="dxa"/>
                  <w:vMerge w:val="continue"/>
                  <w:shd w:val="clear" w:color="auto" w:fill="FFFFFF"/>
                  <w:vAlign w:val="center"/>
                </w:tcPr>
                <w:p>
                  <w:pPr>
                    <w:jc w:val="center"/>
                    <w:rPr>
                      <w:rFonts w:eastAsiaTheme="minorEastAsia"/>
                      <w:szCs w:val="21"/>
                    </w:rPr>
                  </w:pPr>
                </w:p>
              </w:tc>
              <w:tc>
                <w:tcPr>
                  <w:tcW w:w="1351" w:type="dxa"/>
                  <w:vMerge w:val="continue"/>
                  <w:shd w:val="clear" w:color="auto" w:fill="FFFFFF"/>
                  <w:vAlign w:val="center"/>
                </w:tcPr>
                <w:p>
                  <w:pPr>
                    <w:jc w:val="center"/>
                    <w:rPr>
                      <w:rFonts w:eastAsiaTheme="minorEastAsia"/>
                      <w:szCs w:val="21"/>
                    </w:rPr>
                  </w:pPr>
                </w:p>
              </w:tc>
              <w:tc>
                <w:tcPr>
                  <w:tcW w:w="1132" w:type="dxa"/>
                  <w:vMerge w:val="continue"/>
                  <w:shd w:val="clear" w:color="auto" w:fill="FFFFFF"/>
                  <w:vAlign w:val="center"/>
                </w:tcPr>
                <w:p>
                  <w:pPr>
                    <w:jc w:val="center"/>
                    <w:rPr>
                      <w:rFonts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7" w:hRule="exact"/>
                <w:jc w:val="center"/>
              </w:trPr>
              <w:tc>
                <w:tcPr>
                  <w:tcW w:w="1049" w:type="dxa"/>
                  <w:vMerge w:val="restart"/>
                  <w:shd w:val="clear" w:color="auto" w:fill="FFFFFF"/>
                  <w:vAlign w:val="center"/>
                </w:tcPr>
                <w:p>
                  <w:pPr>
                    <w:jc w:val="center"/>
                    <w:rPr>
                      <w:szCs w:val="21"/>
                    </w:rPr>
                  </w:pPr>
                  <w:r>
                    <w:rPr>
                      <w:szCs w:val="21"/>
                    </w:rPr>
                    <w:t>东侧</w:t>
                  </w:r>
                </w:p>
              </w:tc>
              <w:tc>
                <w:tcPr>
                  <w:tcW w:w="765" w:type="dxa"/>
                  <w:shd w:val="clear" w:color="auto" w:fill="FFFFFF"/>
                  <w:vAlign w:val="center"/>
                </w:tcPr>
                <w:p>
                  <w:pPr>
                    <w:jc w:val="center"/>
                    <w:rPr>
                      <w:szCs w:val="21"/>
                    </w:rPr>
                  </w:pPr>
                  <w:r>
                    <w:rPr>
                      <w:szCs w:val="21"/>
                    </w:rPr>
                    <w:t>25</w:t>
                  </w:r>
                </w:p>
              </w:tc>
              <w:tc>
                <w:tcPr>
                  <w:tcW w:w="765" w:type="dxa"/>
                  <w:shd w:val="clear" w:color="auto" w:fill="FFFFFF"/>
                  <w:vAlign w:val="center"/>
                </w:tcPr>
                <w:p>
                  <w:pPr>
                    <w:jc w:val="center"/>
                    <w:rPr>
                      <w:szCs w:val="21"/>
                    </w:rPr>
                  </w:pPr>
                  <w:r>
                    <w:rPr>
                      <w:szCs w:val="21"/>
                    </w:rPr>
                    <w:t>25</w:t>
                  </w:r>
                </w:p>
              </w:tc>
              <w:tc>
                <w:tcPr>
                  <w:tcW w:w="765" w:type="dxa"/>
                  <w:shd w:val="clear" w:color="auto" w:fill="FFFFFF"/>
                  <w:vAlign w:val="center"/>
                </w:tcPr>
                <w:p>
                  <w:pPr>
                    <w:jc w:val="center"/>
                    <w:rPr>
                      <w:szCs w:val="21"/>
                    </w:rPr>
                  </w:pPr>
                  <w:r>
                    <w:rPr>
                      <w:szCs w:val="21"/>
                    </w:rPr>
                    <w:t>386</w:t>
                  </w:r>
                </w:p>
              </w:tc>
              <w:tc>
                <w:tcPr>
                  <w:tcW w:w="946" w:type="dxa"/>
                  <w:shd w:val="clear" w:color="auto" w:fill="FFFFFF"/>
                  <w:vAlign w:val="center"/>
                </w:tcPr>
                <w:p>
                  <w:pPr>
                    <w:jc w:val="center"/>
                    <w:rPr>
                      <w:szCs w:val="21"/>
                    </w:rPr>
                  </w:pPr>
                  <w:r>
                    <w:rPr>
                      <w:szCs w:val="21"/>
                    </w:rPr>
                    <w:t>昼间</w:t>
                  </w:r>
                </w:p>
              </w:tc>
              <w:tc>
                <w:tcPr>
                  <w:tcW w:w="1350" w:type="dxa"/>
                  <w:shd w:val="clear" w:color="auto" w:fill="FFFFFF"/>
                  <w:vAlign w:val="center"/>
                </w:tcPr>
                <w:p>
                  <w:pPr>
                    <w:jc w:val="center"/>
                    <w:rPr>
                      <w:szCs w:val="21"/>
                    </w:rPr>
                  </w:pPr>
                  <w:r>
                    <w:rPr>
                      <w:szCs w:val="21"/>
                    </w:rPr>
                    <w:t>56</w:t>
                  </w:r>
                </w:p>
              </w:tc>
              <w:tc>
                <w:tcPr>
                  <w:tcW w:w="1351" w:type="dxa"/>
                  <w:shd w:val="clear" w:color="auto" w:fill="FFFFFF"/>
                  <w:vAlign w:val="center"/>
                </w:tcPr>
                <w:p>
                  <w:pPr>
                    <w:jc w:val="center"/>
                    <w:rPr>
                      <w:szCs w:val="21"/>
                    </w:rPr>
                  </w:pPr>
                  <w:r>
                    <w:rPr>
                      <w:szCs w:val="21"/>
                    </w:rPr>
                    <w:t>60</w:t>
                  </w:r>
                </w:p>
              </w:tc>
              <w:tc>
                <w:tcPr>
                  <w:tcW w:w="1132" w:type="dxa"/>
                  <w:shd w:val="clear" w:color="auto" w:fill="FFFFFF"/>
                  <w:vAlign w:val="center"/>
                </w:tcPr>
                <w:p>
                  <w:pPr>
                    <w:jc w:val="center"/>
                    <w:rPr>
                      <w:szCs w:val="21"/>
                    </w:rPr>
                  </w:pPr>
                  <w:r>
                    <w:rPr>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7" w:hRule="exact"/>
                <w:jc w:val="center"/>
              </w:trPr>
              <w:tc>
                <w:tcPr>
                  <w:tcW w:w="1049" w:type="dxa"/>
                  <w:vMerge w:val="continue"/>
                  <w:shd w:val="clear" w:color="auto" w:fill="FFFFFF"/>
                  <w:vAlign w:val="center"/>
                </w:tcPr>
                <w:p>
                  <w:pPr>
                    <w:jc w:val="center"/>
                    <w:rPr>
                      <w:szCs w:val="21"/>
                    </w:rPr>
                  </w:pPr>
                </w:p>
              </w:tc>
              <w:tc>
                <w:tcPr>
                  <w:tcW w:w="765" w:type="dxa"/>
                  <w:shd w:val="clear" w:color="auto" w:fill="FFFFFF"/>
                  <w:vAlign w:val="center"/>
                </w:tcPr>
                <w:p>
                  <w:pPr>
                    <w:jc w:val="center"/>
                    <w:rPr>
                      <w:szCs w:val="21"/>
                    </w:rPr>
                  </w:pPr>
                  <w:r>
                    <w:rPr>
                      <w:szCs w:val="21"/>
                    </w:rPr>
                    <w:t>25</w:t>
                  </w:r>
                </w:p>
              </w:tc>
              <w:tc>
                <w:tcPr>
                  <w:tcW w:w="765" w:type="dxa"/>
                  <w:shd w:val="clear" w:color="auto" w:fill="FFFFFF"/>
                  <w:vAlign w:val="center"/>
                </w:tcPr>
                <w:p>
                  <w:pPr>
                    <w:jc w:val="center"/>
                    <w:rPr>
                      <w:szCs w:val="21"/>
                    </w:rPr>
                  </w:pPr>
                  <w:r>
                    <w:rPr>
                      <w:szCs w:val="21"/>
                    </w:rPr>
                    <w:t>25</w:t>
                  </w:r>
                </w:p>
              </w:tc>
              <w:tc>
                <w:tcPr>
                  <w:tcW w:w="765" w:type="dxa"/>
                  <w:shd w:val="clear" w:color="auto" w:fill="FFFFFF"/>
                  <w:vAlign w:val="center"/>
                </w:tcPr>
                <w:p>
                  <w:pPr>
                    <w:jc w:val="center"/>
                    <w:rPr>
                      <w:szCs w:val="21"/>
                    </w:rPr>
                  </w:pPr>
                  <w:r>
                    <w:rPr>
                      <w:szCs w:val="21"/>
                    </w:rPr>
                    <w:t>386</w:t>
                  </w:r>
                </w:p>
              </w:tc>
              <w:tc>
                <w:tcPr>
                  <w:tcW w:w="946" w:type="dxa"/>
                  <w:shd w:val="clear" w:color="auto" w:fill="FFFFFF"/>
                  <w:vAlign w:val="center"/>
                </w:tcPr>
                <w:p>
                  <w:pPr>
                    <w:jc w:val="center"/>
                    <w:rPr>
                      <w:szCs w:val="21"/>
                    </w:rPr>
                  </w:pPr>
                  <w:r>
                    <w:rPr>
                      <w:szCs w:val="21"/>
                    </w:rPr>
                    <w:t>夜间</w:t>
                  </w:r>
                </w:p>
              </w:tc>
              <w:tc>
                <w:tcPr>
                  <w:tcW w:w="1350" w:type="dxa"/>
                  <w:shd w:val="clear" w:color="auto" w:fill="FFFFFF"/>
                  <w:vAlign w:val="center"/>
                </w:tcPr>
                <w:p>
                  <w:pPr>
                    <w:jc w:val="center"/>
                    <w:rPr>
                      <w:szCs w:val="21"/>
                    </w:rPr>
                  </w:pPr>
                  <w:r>
                    <w:rPr>
                      <w:szCs w:val="21"/>
                    </w:rPr>
                    <w:t>56</w:t>
                  </w:r>
                </w:p>
              </w:tc>
              <w:tc>
                <w:tcPr>
                  <w:tcW w:w="1351" w:type="dxa"/>
                  <w:shd w:val="clear" w:color="auto" w:fill="FFFFFF"/>
                  <w:vAlign w:val="center"/>
                </w:tcPr>
                <w:p>
                  <w:pPr>
                    <w:jc w:val="center"/>
                    <w:rPr>
                      <w:szCs w:val="21"/>
                    </w:rPr>
                  </w:pPr>
                  <w:r>
                    <w:rPr>
                      <w:szCs w:val="21"/>
                    </w:rPr>
                    <w:t>50</w:t>
                  </w:r>
                </w:p>
              </w:tc>
              <w:tc>
                <w:tcPr>
                  <w:tcW w:w="1132" w:type="dxa"/>
                  <w:shd w:val="clear" w:color="auto" w:fill="FFFFFF"/>
                  <w:vAlign w:val="center"/>
                </w:tcPr>
                <w:p>
                  <w:pPr>
                    <w:jc w:val="center"/>
                    <w:rPr>
                      <w:szCs w:val="21"/>
                    </w:rPr>
                  </w:pPr>
                  <w:r>
                    <w:rPr>
                      <w:szCs w:val="21"/>
                    </w:rPr>
                    <w:t>不达标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7" w:hRule="exact"/>
                <w:jc w:val="center"/>
              </w:trPr>
              <w:tc>
                <w:tcPr>
                  <w:tcW w:w="1049" w:type="dxa"/>
                  <w:vMerge w:val="restart"/>
                  <w:shd w:val="clear" w:color="auto" w:fill="FFFFFF"/>
                  <w:vAlign w:val="center"/>
                </w:tcPr>
                <w:p>
                  <w:pPr>
                    <w:jc w:val="center"/>
                    <w:rPr>
                      <w:szCs w:val="21"/>
                    </w:rPr>
                  </w:pPr>
                  <w:r>
                    <w:rPr>
                      <w:szCs w:val="21"/>
                    </w:rPr>
                    <w:t>南侧</w:t>
                  </w:r>
                </w:p>
              </w:tc>
              <w:tc>
                <w:tcPr>
                  <w:tcW w:w="765" w:type="dxa"/>
                  <w:shd w:val="clear" w:color="auto" w:fill="FFFFFF"/>
                  <w:vAlign w:val="center"/>
                </w:tcPr>
                <w:p>
                  <w:pPr>
                    <w:jc w:val="center"/>
                    <w:rPr>
                      <w:szCs w:val="21"/>
                    </w:rPr>
                  </w:pPr>
                  <w:r>
                    <w:rPr>
                      <w:szCs w:val="21"/>
                    </w:rPr>
                    <w:t>-21</w:t>
                  </w:r>
                </w:p>
              </w:tc>
              <w:tc>
                <w:tcPr>
                  <w:tcW w:w="765" w:type="dxa"/>
                  <w:shd w:val="clear" w:color="auto" w:fill="FFFFFF"/>
                  <w:vAlign w:val="center"/>
                </w:tcPr>
                <w:p>
                  <w:pPr>
                    <w:jc w:val="center"/>
                    <w:rPr>
                      <w:szCs w:val="21"/>
                    </w:rPr>
                  </w:pPr>
                  <w:r>
                    <w:rPr>
                      <w:szCs w:val="21"/>
                    </w:rPr>
                    <w:t>-35</w:t>
                  </w:r>
                </w:p>
              </w:tc>
              <w:tc>
                <w:tcPr>
                  <w:tcW w:w="765" w:type="dxa"/>
                  <w:shd w:val="clear" w:color="auto" w:fill="FFFFFF"/>
                  <w:vAlign w:val="center"/>
                </w:tcPr>
                <w:p>
                  <w:pPr>
                    <w:jc w:val="center"/>
                    <w:rPr>
                      <w:szCs w:val="21"/>
                    </w:rPr>
                  </w:pPr>
                  <w:r>
                    <w:rPr>
                      <w:szCs w:val="21"/>
                    </w:rPr>
                    <w:t>377</w:t>
                  </w:r>
                </w:p>
              </w:tc>
              <w:tc>
                <w:tcPr>
                  <w:tcW w:w="946" w:type="dxa"/>
                  <w:shd w:val="clear" w:color="auto" w:fill="FFFFFF"/>
                  <w:vAlign w:val="center"/>
                </w:tcPr>
                <w:p>
                  <w:pPr>
                    <w:jc w:val="center"/>
                    <w:rPr>
                      <w:szCs w:val="21"/>
                    </w:rPr>
                  </w:pPr>
                  <w:r>
                    <w:rPr>
                      <w:szCs w:val="21"/>
                    </w:rPr>
                    <w:t>昼间</w:t>
                  </w:r>
                </w:p>
              </w:tc>
              <w:tc>
                <w:tcPr>
                  <w:tcW w:w="1350" w:type="dxa"/>
                  <w:shd w:val="clear" w:color="auto" w:fill="FFFFFF"/>
                  <w:vAlign w:val="center"/>
                </w:tcPr>
                <w:p>
                  <w:pPr>
                    <w:jc w:val="center"/>
                    <w:rPr>
                      <w:szCs w:val="21"/>
                    </w:rPr>
                  </w:pPr>
                  <w:r>
                    <w:rPr>
                      <w:szCs w:val="21"/>
                    </w:rPr>
                    <w:t>58</w:t>
                  </w:r>
                </w:p>
              </w:tc>
              <w:tc>
                <w:tcPr>
                  <w:tcW w:w="1351" w:type="dxa"/>
                  <w:shd w:val="clear" w:color="auto" w:fill="FFFFFF"/>
                  <w:vAlign w:val="center"/>
                </w:tcPr>
                <w:p>
                  <w:pPr>
                    <w:jc w:val="center"/>
                    <w:rPr>
                      <w:szCs w:val="21"/>
                    </w:rPr>
                  </w:pPr>
                  <w:r>
                    <w:rPr>
                      <w:szCs w:val="21"/>
                    </w:rPr>
                    <w:t>60</w:t>
                  </w:r>
                </w:p>
              </w:tc>
              <w:tc>
                <w:tcPr>
                  <w:tcW w:w="1132" w:type="dxa"/>
                  <w:shd w:val="clear" w:color="auto" w:fill="FFFFFF"/>
                  <w:vAlign w:val="center"/>
                </w:tcPr>
                <w:p>
                  <w:pPr>
                    <w:jc w:val="center"/>
                    <w:rPr>
                      <w:szCs w:val="21"/>
                    </w:rPr>
                  </w:pPr>
                  <w:r>
                    <w:rPr>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7" w:hRule="exact"/>
                <w:jc w:val="center"/>
              </w:trPr>
              <w:tc>
                <w:tcPr>
                  <w:tcW w:w="1049" w:type="dxa"/>
                  <w:vMerge w:val="continue"/>
                  <w:shd w:val="clear" w:color="auto" w:fill="FFFFFF"/>
                  <w:vAlign w:val="center"/>
                </w:tcPr>
                <w:p>
                  <w:pPr>
                    <w:jc w:val="center"/>
                    <w:rPr>
                      <w:szCs w:val="21"/>
                    </w:rPr>
                  </w:pPr>
                </w:p>
              </w:tc>
              <w:tc>
                <w:tcPr>
                  <w:tcW w:w="765" w:type="dxa"/>
                  <w:shd w:val="clear" w:color="auto" w:fill="FFFFFF"/>
                  <w:vAlign w:val="center"/>
                </w:tcPr>
                <w:p>
                  <w:pPr>
                    <w:jc w:val="center"/>
                    <w:rPr>
                      <w:szCs w:val="21"/>
                    </w:rPr>
                  </w:pPr>
                  <w:r>
                    <w:rPr>
                      <w:szCs w:val="21"/>
                    </w:rPr>
                    <w:t>-21</w:t>
                  </w:r>
                </w:p>
              </w:tc>
              <w:tc>
                <w:tcPr>
                  <w:tcW w:w="765" w:type="dxa"/>
                  <w:shd w:val="clear" w:color="auto" w:fill="FFFFFF"/>
                  <w:vAlign w:val="center"/>
                </w:tcPr>
                <w:p>
                  <w:pPr>
                    <w:jc w:val="center"/>
                    <w:rPr>
                      <w:szCs w:val="21"/>
                    </w:rPr>
                  </w:pPr>
                  <w:r>
                    <w:rPr>
                      <w:szCs w:val="21"/>
                    </w:rPr>
                    <w:t>-35</w:t>
                  </w:r>
                </w:p>
              </w:tc>
              <w:tc>
                <w:tcPr>
                  <w:tcW w:w="765" w:type="dxa"/>
                  <w:shd w:val="clear" w:color="auto" w:fill="FFFFFF"/>
                  <w:vAlign w:val="center"/>
                </w:tcPr>
                <w:p>
                  <w:pPr>
                    <w:jc w:val="center"/>
                    <w:rPr>
                      <w:szCs w:val="21"/>
                    </w:rPr>
                  </w:pPr>
                  <w:r>
                    <w:rPr>
                      <w:szCs w:val="21"/>
                    </w:rPr>
                    <w:t>377</w:t>
                  </w:r>
                </w:p>
              </w:tc>
              <w:tc>
                <w:tcPr>
                  <w:tcW w:w="946" w:type="dxa"/>
                  <w:shd w:val="clear" w:color="auto" w:fill="FFFFFF"/>
                  <w:vAlign w:val="center"/>
                </w:tcPr>
                <w:p>
                  <w:pPr>
                    <w:jc w:val="center"/>
                    <w:rPr>
                      <w:szCs w:val="21"/>
                    </w:rPr>
                  </w:pPr>
                  <w:r>
                    <w:rPr>
                      <w:szCs w:val="21"/>
                    </w:rPr>
                    <w:t>夜间</w:t>
                  </w:r>
                </w:p>
              </w:tc>
              <w:tc>
                <w:tcPr>
                  <w:tcW w:w="1350" w:type="dxa"/>
                  <w:shd w:val="clear" w:color="auto" w:fill="FFFFFF"/>
                  <w:vAlign w:val="center"/>
                </w:tcPr>
                <w:p>
                  <w:pPr>
                    <w:jc w:val="center"/>
                    <w:rPr>
                      <w:szCs w:val="21"/>
                    </w:rPr>
                  </w:pPr>
                  <w:r>
                    <w:rPr>
                      <w:szCs w:val="21"/>
                    </w:rPr>
                    <w:t>58</w:t>
                  </w:r>
                </w:p>
              </w:tc>
              <w:tc>
                <w:tcPr>
                  <w:tcW w:w="1351" w:type="dxa"/>
                  <w:shd w:val="clear" w:color="auto" w:fill="FFFFFF"/>
                  <w:vAlign w:val="center"/>
                </w:tcPr>
                <w:p>
                  <w:pPr>
                    <w:jc w:val="center"/>
                    <w:rPr>
                      <w:szCs w:val="21"/>
                    </w:rPr>
                  </w:pPr>
                  <w:r>
                    <w:rPr>
                      <w:szCs w:val="21"/>
                    </w:rPr>
                    <w:t>50</w:t>
                  </w:r>
                </w:p>
              </w:tc>
              <w:tc>
                <w:tcPr>
                  <w:tcW w:w="1132" w:type="dxa"/>
                  <w:shd w:val="clear" w:color="auto" w:fill="FFFFFF"/>
                  <w:vAlign w:val="center"/>
                </w:tcPr>
                <w:p>
                  <w:pPr>
                    <w:jc w:val="center"/>
                    <w:rPr>
                      <w:szCs w:val="21"/>
                    </w:rPr>
                  </w:pPr>
                  <w:r>
                    <w:rPr>
                      <w:szCs w:val="21"/>
                    </w:rPr>
                    <w:t>不达标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7" w:hRule="exact"/>
                <w:jc w:val="center"/>
              </w:trPr>
              <w:tc>
                <w:tcPr>
                  <w:tcW w:w="1049" w:type="dxa"/>
                  <w:vMerge w:val="restart"/>
                  <w:shd w:val="clear" w:color="auto" w:fill="FFFFFF"/>
                  <w:vAlign w:val="center"/>
                </w:tcPr>
                <w:p>
                  <w:pPr>
                    <w:jc w:val="center"/>
                    <w:rPr>
                      <w:szCs w:val="21"/>
                    </w:rPr>
                  </w:pPr>
                  <w:r>
                    <w:rPr>
                      <w:szCs w:val="21"/>
                    </w:rPr>
                    <w:t>西侧</w:t>
                  </w:r>
                </w:p>
              </w:tc>
              <w:tc>
                <w:tcPr>
                  <w:tcW w:w="765" w:type="dxa"/>
                  <w:shd w:val="clear" w:color="auto" w:fill="FFFFFF"/>
                  <w:vAlign w:val="center"/>
                </w:tcPr>
                <w:p>
                  <w:pPr>
                    <w:jc w:val="center"/>
                    <w:rPr>
                      <w:szCs w:val="21"/>
                    </w:rPr>
                  </w:pPr>
                  <w:r>
                    <w:rPr>
                      <w:szCs w:val="21"/>
                    </w:rPr>
                    <w:t>-26</w:t>
                  </w:r>
                </w:p>
              </w:tc>
              <w:tc>
                <w:tcPr>
                  <w:tcW w:w="765" w:type="dxa"/>
                  <w:shd w:val="clear" w:color="auto" w:fill="FFFFFF"/>
                  <w:vAlign w:val="center"/>
                </w:tcPr>
                <w:p>
                  <w:pPr>
                    <w:jc w:val="center"/>
                    <w:rPr>
                      <w:szCs w:val="21"/>
                    </w:rPr>
                  </w:pPr>
                  <w:r>
                    <w:rPr>
                      <w:szCs w:val="21"/>
                    </w:rPr>
                    <w:t>-24</w:t>
                  </w:r>
                </w:p>
              </w:tc>
              <w:tc>
                <w:tcPr>
                  <w:tcW w:w="765" w:type="dxa"/>
                  <w:shd w:val="clear" w:color="auto" w:fill="FFFFFF"/>
                  <w:vAlign w:val="center"/>
                </w:tcPr>
                <w:p>
                  <w:pPr>
                    <w:jc w:val="center"/>
                    <w:rPr>
                      <w:szCs w:val="21"/>
                    </w:rPr>
                  </w:pPr>
                  <w:r>
                    <w:rPr>
                      <w:szCs w:val="21"/>
                    </w:rPr>
                    <w:t>377</w:t>
                  </w:r>
                </w:p>
              </w:tc>
              <w:tc>
                <w:tcPr>
                  <w:tcW w:w="946" w:type="dxa"/>
                  <w:shd w:val="clear" w:color="auto" w:fill="FFFFFF"/>
                  <w:vAlign w:val="center"/>
                </w:tcPr>
                <w:p>
                  <w:pPr>
                    <w:jc w:val="center"/>
                    <w:rPr>
                      <w:szCs w:val="21"/>
                    </w:rPr>
                  </w:pPr>
                  <w:r>
                    <w:rPr>
                      <w:szCs w:val="21"/>
                    </w:rPr>
                    <w:t>昼间</w:t>
                  </w:r>
                </w:p>
              </w:tc>
              <w:tc>
                <w:tcPr>
                  <w:tcW w:w="1350" w:type="dxa"/>
                  <w:shd w:val="clear" w:color="auto" w:fill="FFFFFF"/>
                  <w:vAlign w:val="center"/>
                </w:tcPr>
                <w:p>
                  <w:pPr>
                    <w:jc w:val="center"/>
                    <w:rPr>
                      <w:szCs w:val="21"/>
                    </w:rPr>
                  </w:pPr>
                  <w:r>
                    <w:rPr>
                      <w:szCs w:val="21"/>
                    </w:rPr>
                    <w:t>57</w:t>
                  </w:r>
                </w:p>
              </w:tc>
              <w:tc>
                <w:tcPr>
                  <w:tcW w:w="1351" w:type="dxa"/>
                  <w:shd w:val="clear" w:color="auto" w:fill="FFFFFF"/>
                  <w:vAlign w:val="center"/>
                </w:tcPr>
                <w:p>
                  <w:pPr>
                    <w:jc w:val="center"/>
                    <w:rPr>
                      <w:szCs w:val="21"/>
                    </w:rPr>
                  </w:pPr>
                  <w:r>
                    <w:rPr>
                      <w:szCs w:val="21"/>
                    </w:rPr>
                    <w:t>60</w:t>
                  </w:r>
                </w:p>
              </w:tc>
              <w:tc>
                <w:tcPr>
                  <w:tcW w:w="1132" w:type="dxa"/>
                  <w:shd w:val="clear" w:color="auto" w:fill="FFFFFF"/>
                  <w:vAlign w:val="center"/>
                </w:tcPr>
                <w:p>
                  <w:pPr>
                    <w:jc w:val="center"/>
                    <w:rPr>
                      <w:szCs w:val="21"/>
                    </w:rPr>
                  </w:pPr>
                  <w:r>
                    <w:rPr>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7" w:hRule="exact"/>
                <w:jc w:val="center"/>
              </w:trPr>
              <w:tc>
                <w:tcPr>
                  <w:tcW w:w="1049" w:type="dxa"/>
                  <w:vMerge w:val="continue"/>
                  <w:shd w:val="clear" w:color="auto" w:fill="FFFFFF"/>
                  <w:vAlign w:val="center"/>
                </w:tcPr>
                <w:p>
                  <w:pPr>
                    <w:jc w:val="center"/>
                    <w:rPr>
                      <w:szCs w:val="21"/>
                    </w:rPr>
                  </w:pPr>
                </w:p>
              </w:tc>
              <w:tc>
                <w:tcPr>
                  <w:tcW w:w="765" w:type="dxa"/>
                  <w:shd w:val="clear" w:color="auto" w:fill="FFFFFF"/>
                  <w:vAlign w:val="center"/>
                </w:tcPr>
                <w:p>
                  <w:pPr>
                    <w:jc w:val="center"/>
                    <w:rPr>
                      <w:szCs w:val="21"/>
                    </w:rPr>
                  </w:pPr>
                  <w:r>
                    <w:rPr>
                      <w:szCs w:val="21"/>
                    </w:rPr>
                    <w:t>-26</w:t>
                  </w:r>
                </w:p>
              </w:tc>
              <w:tc>
                <w:tcPr>
                  <w:tcW w:w="765" w:type="dxa"/>
                  <w:shd w:val="clear" w:color="auto" w:fill="FFFFFF"/>
                  <w:vAlign w:val="center"/>
                </w:tcPr>
                <w:p>
                  <w:pPr>
                    <w:jc w:val="center"/>
                    <w:rPr>
                      <w:szCs w:val="21"/>
                    </w:rPr>
                  </w:pPr>
                  <w:r>
                    <w:rPr>
                      <w:szCs w:val="21"/>
                    </w:rPr>
                    <w:t>-24</w:t>
                  </w:r>
                </w:p>
              </w:tc>
              <w:tc>
                <w:tcPr>
                  <w:tcW w:w="765" w:type="dxa"/>
                  <w:shd w:val="clear" w:color="auto" w:fill="FFFFFF"/>
                  <w:vAlign w:val="center"/>
                </w:tcPr>
                <w:p>
                  <w:pPr>
                    <w:jc w:val="center"/>
                    <w:rPr>
                      <w:szCs w:val="21"/>
                    </w:rPr>
                  </w:pPr>
                  <w:r>
                    <w:rPr>
                      <w:szCs w:val="21"/>
                    </w:rPr>
                    <w:t>377</w:t>
                  </w:r>
                </w:p>
              </w:tc>
              <w:tc>
                <w:tcPr>
                  <w:tcW w:w="946" w:type="dxa"/>
                  <w:shd w:val="clear" w:color="auto" w:fill="FFFFFF"/>
                  <w:vAlign w:val="center"/>
                </w:tcPr>
                <w:p>
                  <w:pPr>
                    <w:jc w:val="center"/>
                    <w:rPr>
                      <w:szCs w:val="21"/>
                    </w:rPr>
                  </w:pPr>
                  <w:r>
                    <w:rPr>
                      <w:szCs w:val="21"/>
                    </w:rPr>
                    <w:t>夜间</w:t>
                  </w:r>
                </w:p>
              </w:tc>
              <w:tc>
                <w:tcPr>
                  <w:tcW w:w="1350" w:type="dxa"/>
                  <w:shd w:val="clear" w:color="auto" w:fill="FFFFFF"/>
                  <w:vAlign w:val="center"/>
                </w:tcPr>
                <w:p>
                  <w:pPr>
                    <w:jc w:val="center"/>
                    <w:rPr>
                      <w:szCs w:val="21"/>
                    </w:rPr>
                  </w:pPr>
                  <w:r>
                    <w:rPr>
                      <w:szCs w:val="21"/>
                    </w:rPr>
                    <w:t>57</w:t>
                  </w:r>
                </w:p>
              </w:tc>
              <w:tc>
                <w:tcPr>
                  <w:tcW w:w="1351" w:type="dxa"/>
                  <w:shd w:val="clear" w:color="auto" w:fill="FFFFFF"/>
                  <w:vAlign w:val="center"/>
                </w:tcPr>
                <w:p>
                  <w:pPr>
                    <w:jc w:val="center"/>
                    <w:rPr>
                      <w:szCs w:val="21"/>
                    </w:rPr>
                  </w:pPr>
                  <w:r>
                    <w:rPr>
                      <w:szCs w:val="21"/>
                    </w:rPr>
                    <w:t>50</w:t>
                  </w:r>
                </w:p>
              </w:tc>
              <w:tc>
                <w:tcPr>
                  <w:tcW w:w="1132" w:type="dxa"/>
                  <w:shd w:val="clear" w:color="auto" w:fill="FFFFFF"/>
                  <w:vAlign w:val="center"/>
                </w:tcPr>
                <w:p>
                  <w:pPr>
                    <w:jc w:val="center"/>
                    <w:rPr>
                      <w:szCs w:val="21"/>
                    </w:rPr>
                  </w:pPr>
                  <w:r>
                    <w:rPr>
                      <w:szCs w:val="21"/>
                    </w:rPr>
                    <w:t>不达标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7" w:hRule="exact"/>
                <w:jc w:val="center"/>
              </w:trPr>
              <w:tc>
                <w:tcPr>
                  <w:tcW w:w="1049" w:type="dxa"/>
                  <w:vMerge w:val="restart"/>
                  <w:shd w:val="clear" w:color="auto" w:fill="FFFFFF"/>
                  <w:vAlign w:val="center"/>
                </w:tcPr>
                <w:p>
                  <w:pPr>
                    <w:jc w:val="center"/>
                    <w:rPr>
                      <w:szCs w:val="21"/>
                    </w:rPr>
                  </w:pPr>
                  <w:r>
                    <w:rPr>
                      <w:szCs w:val="21"/>
                    </w:rPr>
                    <w:t>北侧</w:t>
                  </w:r>
                </w:p>
              </w:tc>
              <w:tc>
                <w:tcPr>
                  <w:tcW w:w="765" w:type="dxa"/>
                  <w:shd w:val="clear" w:color="auto" w:fill="FFFFFF"/>
                  <w:vAlign w:val="center"/>
                </w:tcPr>
                <w:p>
                  <w:pPr>
                    <w:jc w:val="center"/>
                    <w:rPr>
                      <w:szCs w:val="21"/>
                    </w:rPr>
                  </w:pPr>
                  <w:r>
                    <w:rPr>
                      <w:szCs w:val="21"/>
                    </w:rPr>
                    <w:t>18</w:t>
                  </w:r>
                </w:p>
              </w:tc>
              <w:tc>
                <w:tcPr>
                  <w:tcW w:w="765" w:type="dxa"/>
                  <w:shd w:val="clear" w:color="auto" w:fill="FFFFFF"/>
                  <w:vAlign w:val="center"/>
                </w:tcPr>
                <w:p>
                  <w:pPr>
                    <w:jc w:val="center"/>
                    <w:rPr>
                      <w:szCs w:val="21"/>
                    </w:rPr>
                  </w:pPr>
                  <w:r>
                    <w:rPr>
                      <w:szCs w:val="21"/>
                    </w:rPr>
                    <w:t>41</w:t>
                  </w:r>
                </w:p>
              </w:tc>
              <w:tc>
                <w:tcPr>
                  <w:tcW w:w="765" w:type="dxa"/>
                  <w:shd w:val="clear" w:color="auto" w:fill="FFFFFF"/>
                  <w:vAlign w:val="center"/>
                </w:tcPr>
                <w:p>
                  <w:pPr>
                    <w:jc w:val="center"/>
                    <w:rPr>
                      <w:szCs w:val="21"/>
                    </w:rPr>
                  </w:pPr>
                  <w:r>
                    <w:rPr>
                      <w:szCs w:val="21"/>
                    </w:rPr>
                    <w:t>386</w:t>
                  </w:r>
                </w:p>
              </w:tc>
              <w:tc>
                <w:tcPr>
                  <w:tcW w:w="946" w:type="dxa"/>
                  <w:shd w:val="clear" w:color="auto" w:fill="FFFFFF"/>
                  <w:vAlign w:val="center"/>
                </w:tcPr>
                <w:p>
                  <w:pPr>
                    <w:jc w:val="center"/>
                    <w:rPr>
                      <w:szCs w:val="21"/>
                    </w:rPr>
                  </w:pPr>
                  <w:r>
                    <w:rPr>
                      <w:szCs w:val="21"/>
                    </w:rPr>
                    <w:t>昼间</w:t>
                  </w:r>
                </w:p>
              </w:tc>
              <w:tc>
                <w:tcPr>
                  <w:tcW w:w="1350" w:type="dxa"/>
                  <w:shd w:val="clear" w:color="auto" w:fill="FFFFFF"/>
                  <w:vAlign w:val="center"/>
                </w:tcPr>
                <w:p>
                  <w:pPr>
                    <w:jc w:val="center"/>
                    <w:rPr>
                      <w:szCs w:val="21"/>
                    </w:rPr>
                  </w:pPr>
                  <w:r>
                    <w:rPr>
                      <w:szCs w:val="21"/>
                    </w:rPr>
                    <w:t>61</w:t>
                  </w:r>
                </w:p>
              </w:tc>
              <w:tc>
                <w:tcPr>
                  <w:tcW w:w="1351" w:type="dxa"/>
                  <w:shd w:val="clear" w:color="auto" w:fill="FFFFFF"/>
                  <w:vAlign w:val="center"/>
                </w:tcPr>
                <w:p>
                  <w:pPr>
                    <w:jc w:val="center"/>
                    <w:rPr>
                      <w:szCs w:val="21"/>
                    </w:rPr>
                  </w:pPr>
                  <w:r>
                    <w:rPr>
                      <w:szCs w:val="21"/>
                    </w:rPr>
                    <w:t>60</w:t>
                  </w:r>
                </w:p>
              </w:tc>
              <w:tc>
                <w:tcPr>
                  <w:tcW w:w="1132" w:type="dxa"/>
                  <w:shd w:val="clear" w:color="auto" w:fill="FFFFFF"/>
                  <w:vAlign w:val="center"/>
                </w:tcPr>
                <w:p>
                  <w:pPr>
                    <w:jc w:val="center"/>
                    <w:rPr>
                      <w:szCs w:val="21"/>
                    </w:rPr>
                  </w:pPr>
                  <w:r>
                    <w:rPr>
                      <w:szCs w:val="21"/>
                    </w:rPr>
                    <w:t>不达标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7" w:hRule="exact"/>
                <w:jc w:val="center"/>
              </w:trPr>
              <w:tc>
                <w:tcPr>
                  <w:tcW w:w="1049" w:type="dxa"/>
                  <w:vMerge w:val="continue"/>
                  <w:shd w:val="clear" w:color="auto" w:fill="FFFFFF"/>
                  <w:vAlign w:val="center"/>
                </w:tcPr>
                <w:p>
                  <w:pPr>
                    <w:jc w:val="center"/>
                    <w:rPr>
                      <w:szCs w:val="21"/>
                    </w:rPr>
                  </w:pPr>
                </w:p>
              </w:tc>
              <w:tc>
                <w:tcPr>
                  <w:tcW w:w="765" w:type="dxa"/>
                  <w:shd w:val="clear" w:color="auto" w:fill="FFFFFF"/>
                  <w:vAlign w:val="center"/>
                </w:tcPr>
                <w:p>
                  <w:pPr>
                    <w:jc w:val="center"/>
                    <w:rPr>
                      <w:szCs w:val="21"/>
                    </w:rPr>
                  </w:pPr>
                  <w:r>
                    <w:rPr>
                      <w:szCs w:val="21"/>
                    </w:rPr>
                    <w:t>18</w:t>
                  </w:r>
                </w:p>
              </w:tc>
              <w:tc>
                <w:tcPr>
                  <w:tcW w:w="765" w:type="dxa"/>
                  <w:shd w:val="clear" w:color="auto" w:fill="FFFFFF"/>
                  <w:vAlign w:val="center"/>
                </w:tcPr>
                <w:p>
                  <w:pPr>
                    <w:jc w:val="center"/>
                    <w:rPr>
                      <w:szCs w:val="21"/>
                    </w:rPr>
                  </w:pPr>
                  <w:r>
                    <w:rPr>
                      <w:szCs w:val="21"/>
                    </w:rPr>
                    <w:t>41</w:t>
                  </w:r>
                </w:p>
              </w:tc>
              <w:tc>
                <w:tcPr>
                  <w:tcW w:w="765" w:type="dxa"/>
                  <w:shd w:val="clear" w:color="auto" w:fill="FFFFFF"/>
                  <w:vAlign w:val="center"/>
                </w:tcPr>
                <w:p>
                  <w:pPr>
                    <w:jc w:val="center"/>
                    <w:rPr>
                      <w:szCs w:val="21"/>
                    </w:rPr>
                  </w:pPr>
                  <w:r>
                    <w:rPr>
                      <w:szCs w:val="21"/>
                    </w:rPr>
                    <w:t>386</w:t>
                  </w:r>
                </w:p>
              </w:tc>
              <w:tc>
                <w:tcPr>
                  <w:tcW w:w="946" w:type="dxa"/>
                  <w:shd w:val="clear" w:color="auto" w:fill="FFFFFF"/>
                  <w:vAlign w:val="center"/>
                </w:tcPr>
                <w:p>
                  <w:pPr>
                    <w:jc w:val="center"/>
                    <w:rPr>
                      <w:szCs w:val="21"/>
                    </w:rPr>
                  </w:pPr>
                  <w:r>
                    <w:rPr>
                      <w:szCs w:val="21"/>
                    </w:rPr>
                    <w:t>夜间</w:t>
                  </w:r>
                </w:p>
              </w:tc>
              <w:tc>
                <w:tcPr>
                  <w:tcW w:w="1350" w:type="dxa"/>
                  <w:shd w:val="clear" w:color="auto" w:fill="FFFFFF"/>
                  <w:vAlign w:val="center"/>
                </w:tcPr>
                <w:p>
                  <w:pPr>
                    <w:jc w:val="center"/>
                    <w:rPr>
                      <w:szCs w:val="21"/>
                    </w:rPr>
                  </w:pPr>
                  <w:r>
                    <w:rPr>
                      <w:szCs w:val="21"/>
                    </w:rPr>
                    <w:t>61</w:t>
                  </w:r>
                </w:p>
              </w:tc>
              <w:tc>
                <w:tcPr>
                  <w:tcW w:w="1351" w:type="dxa"/>
                  <w:shd w:val="clear" w:color="auto" w:fill="FFFFFF"/>
                  <w:vAlign w:val="center"/>
                </w:tcPr>
                <w:p>
                  <w:pPr>
                    <w:jc w:val="center"/>
                    <w:rPr>
                      <w:szCs w:val="21"/>
                    </w:rPr>
                  </w:pPr>
                  <w:r>
                    <w:rPr>
                      <w:szCs w:val="21"/>
                    </w:rPr>
                    <w:t>50</w:t>
                  </w:r>
                </w:p>
              </w:tc>
              <w:tc>
                <w:tcPr>
                  <w:tcW w:w="1132" w:type="dxa"/>
                  <w:shd w:val="clear" w:color="auto" w:fill="FFFFFF"/>
                  <w:vAlign w:val="center"/>
                </w:tcPr>
                <w:p>
                  <w:pPr>
                    <w:jc w:val="center"/>
                    <w:rPr>
                      <w:szCs w:val="21"/>
                    </w:rPr>
                  </w:pPr>
                  <w:r>
                    <w:rPr>
                      <w:szCs w:val="21"/>
                    </w:rPr>
                    <w:t>不达标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7" w:hRule="exact"/>
                <w:jc w:val="center"/>
              </w:trPr>
              <w:tc>
                <w:tcPr>
                  <w:tcW w:w="8123" w:type="dxa"/>
                  <w:gridSpan w:val="8"/>
                  <w:shd w:val="clear" w:color="auto" w:fill="FFFFFF"/>
                  <w:vAlign w:val="center"/>
                </w:tcPr>
                <w:p>
                  <w:pPr>
                    <w:rPr>
                      <w:szCs w:val="21"/>
                    </w:rPr>
                  </w:pPr>
                  <w:r>
                    <w:rPr>
                      <w:rFonts w:hint="eastAsia"/>
                      <w:szCs w:val="21"/>
                    </w:rPr>
                    <w:t>以</w:t>
                  </w:r>
                  <w:r>
                    <w:rPr>
                      <w:szCs w:val="21"/>
                    </w:rPr>
                    <w:t>厂址中心为原点</w:t>
                  </w:r>
                </w:p>
              </w:tc>
            </w:tr>
          </w:tbl>
          <w:p>
            <w:pPr>
              <w:tabs>
                <w:tab w:val="left" w:pos="750"/>
              </w:tabs>
              <w:spacing w:line="360" w:lineRule="auto"/>
              <w:ind w:firstLine="420" w:firstLineChars="200"/>
              <w:contextualSpacing/>
              <w:rPr>
                <w:szCs w:val="21"/>
              </w:rPr>
            </w:pPr>
          </w:p>
          <w:p>
            <w:pPr>
              <w:tabs>
                <w:tab w:val="left" w:pos="750"/>
              </w:tabs>
              <w:spacing w:line="360" w:lineRule="auto"/>
              <w:ind w:firstLine="420" w:firstLineChars="200"/>
              <w:contextualSpacing/>
              <w:rPr>
                <w:szCs w:val="21"/>
              </w:rPr>
            </w:pPr>
            <w:r>
              <w:rPr>
                <w:szCs w:val="21"/>
              </w:rPr>
              <w:t>由上表可知，</w:t>
            </w:r>
            <w:r>
              <w:rPr>
                <w:rFonts w:hint="eastAsia"/>
                <w:szCs w:val="21"/>
              </w:rPr>
              <w:t>平安101井</w:t>
            </w:r>
            <w:r>
              <w:rPr>
                <w:szCs w:val="21"/>
              </w:rPr>
              <w:t>钻井</w:t>
            </w:r>
            <w:r>
              <w:rPr>
                <w:color w:val="FF0000"/>
                <w:szCs w:val="21"/>
              </w:rPr>
              <w:t>工程</w:t>
            </w:r>
            <w:r>
              <w:rPr>
                <w:rFonts w:hint="eastAsia"/>
                <w:szCs w:val="21"/>
              </w:rPr>
              <w:t>除东侧、南侧、西侧</w:t>
            </w:r>
            <w:r>
              <w:rPr>
                <w:szCs w:val="21"/>
              </w:rPr>
              <w:t>昼间厂界噪声预测结果均满足《工业企业厂界环境噪声排放标准》（GB12348-2008）2类标准</w:t>
            </w:r>
            <w:r>
              <w:rPr>
                <w:rFonts w:hint="eastAsia"/>
                <w:szCs w:val="21"/>
              </w:rPr>
              <w:t>外</w:t>
            </w:r>
            <w:r>
              <w:rPr>
                <w:szCs w:val="21"/>
              </w:rPr>
              <w:t>，夜间四周厂界均不满足《工业企业厂界环境噪声排放标准》（GB12348-2008）2类标准</w:t>
            </w:r>
            <w:r>
              <w:rPr>
                <w:rFonts w:hint="eastAsia"/>
                <w:szCs w:val="21"/>
              </w:rPr>
              <w:t>。</w:t>
            </w:r>
          </w:p>
          <w:p>
            <w:pPr>
              <w:autoSpaceDE w:val="0"/>
              <w:autoSpaceDN w:val="0"/>
              <w:spacing w:line="360" w:lineRule="auto"/>
              <w:contextualSpacing/>
              <w:jc w:val="center"/>
              <w:rPr>
                <w:b/>
                <w:szCs w:val="21"/>
              </w:rPr>
            </w:pPr>
            <w:r>
              <w:rPr>
                <w:b/>
                <w:szCs w:val="21"/>
              </w:rPr>
              <w:t xml:space="preserve">表4-11 </w:t>
            </w:r>
            <w:r>
              <w:rPr>
                <w:rFonts w:hint="eastAsia"/>
                <w:b/>
                <w:szCs w:val="21"/>
              </w:rPr>
              <w:t>钻井</w:t>
            </w:r>
            <w:r>
              <w:rPr>
                <w:b/>
                <w:szCs w:val="21"/>
              </w:rPr>
              <w:t>设备噪声对周围居民影响预测</w:t>
            </w:r>
          </w:p>
          <w:tbl>
            <w:tblPr>
              <w:tblStyle w:val="42"/>
              <w:tblW w:w="81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6"/>
              <w:gridCol w:w="1007"/>
              <w:gridCol w:w="506"/>
              <w:gridCol w:w="508"/>
              <w:gridCol w:w="507"/>
              <w:gridCol w:w="508"/>
              <w:gridCol w:w="436"/>
              <w:gridCol w:w="437"/>
              <w:gridCol w:w="507"/>
              <w:gridCol w:w="508"/>
              <w:gridCol w:w="507"/>
              <w:gridCol w:w="508"/>
              <w:gridCol w:w="491"/>
              <w:gridCol w:w="492"/>
              <w:gridCol w:w="439"/>
              <w:gridCol w:w="4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76" w:hRule="exact"/>
                <w:jc w:val="center"/>
              </w:trPr>
              <w:tc>
                <w:tcPr>
                  <w:tcW w:w="346" w:type="dxa"/>
                  <w:vMerge w:val="restart"/>
                  <w:vAlign w:val="center"/>
                </w:tcPr>
                <w:p>
                  <w:pPr>
                    <w:jc w:val="center"/>
                    <w:rPr>
                      <w:rFonts w:eastAsiaTheme="minorEastAsia"/>
                      <w:szCs w:val="21"/>
                    </w:rPr>
                  </w:pPr>
                  <w:r>
                    <w:rPr>
                      <w:rFonts w:eastAsiaTheme="minorEastAsia"/>
                      <w:b/>
                      <w:szCs w:val="21"/>
                    </w:rPr>
                    <w:t>序号</w:t>
                  </w:r>
                </w:p>
              </w:tc>
              <w:tc>
                <w:tcPr>
                  <w:tcW w:w="1007" w:type="dxa"/>
                  <w:vMerge w:val="restart"/>
                  <w:vAlign w:val="center"/>
                </w:tcPr>
                <w:p>
                  <w:pPr>
                    <w:jc w:val="center"/>
                    <w:rPr>
                      <w:rFonts w:eastAsiaTheme="minorEastAsia"/>
                      <w:szCs w:val="21"/>
                    </w:rPr>
                  </w:pPr>
                  <w:r>
                    <w:rPr>
                      <w:rFonts w:eastAsiaTheme="minorEastAsia"/>
                      <w:b/>
                      <w:szCs w:val="21"/>
                    </w:rPr>
                    <w:t>声环境保护目标名称</w:t>
                  </w:r>
                </w:p>
              </w:tc>
              <w:tc>
                <w:tcPr>
                  <w:tcW w:w="1014" w:type="dxa"/>
                  <w:gridSpan w:val="2"/>
                  <w:vAlign w:val="center"/>
                </w:tcPr>
                <w:p>
                  <w:pPr>
                    <w:jc w:val="center"/>
                    <w:rPr>
                      <w:rFonts w:eastAsiaTheme="minorEastAsia"/>
                      <w:szCs w:val="21"/>
                    </w:rPr>
                  </w:pPr>
                  <w:r>
                    <w:rPr>
                      <w:rFonts w:eastAsiaTheme="minorEastAsia"/>
                      <w:b/>
                      <w:szCs w:val="21"/>
                    </w:rPr>
                    <w:t>噪声背景值/dB(A)</w:t>
                  </w:r>
                </w:p>
              </w:tc>
              <w:tc>
                <w:tcPr>
                  <w:tcW w:w="1015" w:type="dxa"/>
                  <w:gridSpan w:val="2"/>
                  <w:vAlign w:val="center"/>
                </w:tcPr>
                <w:p>
                  <w:pPr>
                    <w:jc w:val="center"/>
                    <w:rPr>
                      <w:rFonts w:eastAsiaTheme="minorEastAsia"/>
                      <w:szCs w:val="21"/>
                    </w:rPr>
                  </w:pPr>
                  <w:r>
                    <w:rPr>
                      <w:rFonts w:eastAsiaTheme="minorEastAsia"/>
                      <w:b/>
                      <w:szCs w:val="21"/>
                    </w:rPr>
                    <w:t>噪声现状值/dB(A)</w:t>
                  </w:r>
                </w:p>
              </w:tc>
              <w:tc>
                <w:tcPr>
                  <w:tcW w:w="873" w:type="dxa"/>
                  <w:gridSpan w:val="2"/>
                  <w:vAlign w:val="center"/>
                </w:tcPr>
                <w:p>
                  <w:pPr>
                    <w:jc w:val="center"/>
                    <w:rPr>
                      <w:rFonts w:eastAsiaTheme="minorEastAsia"/>
                      <w:szCs w:val="21"/>
                    </w:rPr>
                  </w:pPr>
                  <w:r>
                    <w:rPr>
                      <w:rFonts w:eastAsiaTheme="minorEastAsia"/>
                      <w:b/>
                      <w:szCs w:val="21"/>
                    </w:rPr>
                    <w:t>噪声标准/dB(A)</w:t>
                  </w:r>
                </w:p>
              </w:tc>
              <w:tc>
                <w:tcPr>
                  <w:tcW w:w="1015" w:type="dxa"/>
                  <w:gridSpan w:val="2"/>
                  <w:vAlign w:val="center"/>
                </w:tcPr>
                <w:p>
                  <w:pPr>
                    <w:jc w:val="center"/>
                    <w:rPr>
                      <w:rFonts w:eastAsiaTheme="minorEastAsia"/>
                      <w:szCs w:val="21"/>
                    </w:rPr>
                  </w:pPr>
                  <w:r>
                    <w:rPr>
                      <w:rFonts w:eastAsiaTheme="minorEastAsia"/>
                      <w:b/>
                      <w:szCs w:val="21"/>
                    </w:rPr>
                    <w:t>噪声贡献值/dB(A)</w:t>
                  </w:r>
                </w:p>
              </w:tc>
              <w:tc>
                <w:tcPr>
                  <w:tcW w:w="1015" w:type="dxa"/>
                  <w:gridSpan w:val="2"/>
                  <w:vAlign w:val="center"/>
                </w:tcPr>
                <w:p>
                  <w:pPr>
                    <w:jc w:val="center"/>
                    <w:rPr>
                      <w:rFonts w:eastAsiaTheme="minorEastAsia"/>
                      <w:szCs w:val="21"/>
                    </w:rPr>
                  </w:pPr>
                  <w:r>
                    <w:rPr>
                      <w:rFonts w:eastAsiaTheme="minorEastAsia"/>
                      <w:b/>
                      <w:szCs w:val="21"/>
                    </w:rPr>
                    <w:t>噪声预测值/dB(A)</w:t>
                  </w:r>
                </w:p>
              </w:tc>
              <w:tc>
                <w:tcPr>
                  <w:tcW w:w="983" w:type="dxa"/>
                  <w:gridSpan w:val="2"/>
                  <w:vAlign w:val="center"/>
                </w:tcPr>
                <w:p>
                  <w:pPr>
                    <w:jc w:val="center"/>
                    <w:rPr>
                      <w:rFonts w:eastAsiaTheme="minorEastAsia"/>
                      <w:szCs w:val="21"/>
                    </w:rPr>
                  </w:pPr>
                  <w:r>
                    <w:rPr>
                      <w:rFonts w:eastAsiaTheme="minorEastAsia"/>
                      <w:b/>
                      <w:szCs w:val="21"/>
                    </w:rPr>
                    <w:t>较现状增量/dB(A)</w:t>
                  </w:r>
                </w:p>
              </w:tc>
              <w:tc>
                <w:tcPr>
                  <w:tcW w:w="879" w:type="dxa"/>
                  <w:gridSpan w:val="2"/>
                  <w:vAlign w:val="center"/>
                </w:tcPr>
                <w:p>
                  <w:pPr>
                    <w:jc w:val="center"/>
                    <w:rPr>
                      <w:rFonts w:eastAsiaTheme="minorEastAsia"/>
                      <w:szCs w:val="21"/>
                    </w:rPr>
                  </w:pPr>
                  <w:r>
                    <w:rPr>
                      <w:rFonts w:eastAsiaTheme="minorEastAsia"/>
                      <w:b/>
                      <w:szCs w:val="21"/>
                    </w:rPr>
                    <w:t>超标和达标情况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346" w:type="dxa"/>
                  <w:vMerge w:val="continue"/>
                  <w:shd w:val="clear" w:color="auto" w:fill="FFFFFF"/>
                  <w:vAlign w:val="center"/>
                </w:tcPr>
                <w:p>
                  <w:pPr>
                    <w:jc w:val="center"/>
                    <w:rPr>
                      <w:rFonts w:eastAsiaTheme="minorEastAsia"/>
                      <w:szCs w:val="21"/>
                    </w:rPr>
                  </w:pPr>
                </w:p>
              </w:tc>
              <w:tc>
                <w:tcPr>
                  <w:tcW w:w="1007" w:type="dxa"/>
                  <w:vMerge w:val="continue"/>
                  <w:shd w:val="clear" w:color="auto" w:fill="FFFFFF"/>
                  <w:vAlign w:val="center"/>
                </w:tcPr>
                <w:p>
                  <w:pPr>
                    <w:jc w:val="center"/>
                    <w:rPr>
                      <w:rFonts w:eastAsiaTheme="minorEastAsia"/>
                      <w:szCs w:val="21"/>
                    </w:rPr>
                  </w:pPr>
                </w:p>
              </w:tc>
              <w:tc>
                <w:tcPr>
                  <w:tcW w:w="506" w:type="dxa"/>
                  <w:shd w:val="clear" w:color="auto" w:fill="FFFFFF"/>
                  <w:vAlign w:val="center"/>
                </w:tcPr>
                <w:p>
                  <w:pPr>
                    <w:jc w:val="center"/>
                    <w:rPr>
                      <w:rFonts w:eastAsiaTheme="minorEastAsia"/>
                      <w:szCs w:val="21"/>
                    </w:rPr>
                  </w:pPr>
                  <w:r>
                    <w:rPr>
                      <w:rFonts w:eastAsiaTheme="minorEastAsia"/>
                      <w:szCs w:val="21"/>
                    </w:rPr>
                    <w:t>昼间</w:t>
                  </w:r>
                </w:p>
              </w:tc>
              <w:tc>
                <w:tcPr>
                  <w:tcW w:w="507" w:type="dxa"/>
                  <w:shd w:val="clear" w:color="auto" w:fill="FFFFFF"/>
                  <w:vAlign w:val="center"/>
                </w:tcPr>
                <w:p>
                  <w:pPr>
                    <w:jc w:val="center"/>
                    <w:rPr>
                      <w:rFonts w:eastAsiaTheme="minorEastAsia"/>
                      <w:szCs w:val="21"/>
                    </w:rPr>
                  </w:pPr>
                  <w:r>
                    <w:rPr>
                      <w:rFonts w:eastAsiaTheme="minorEastAsia"/>
                      <w:szCs w:val="21"/>
                    </w:rPr>
                    <w:t>夜间</w:t>
                  </w:r>
                </w:p>
              </w:tc>
              <w:tc>
                <w:tcPr>
                  <w:tcW w:w="507" w:type="dxa"/>
                  <w:shd w:val="clear" w:color="auto" w:fill="FFFFFF"/>
                  <w:vAlign w:val="center"/>
                </w:tcPr>
                <w:p>
                  <w:pPr>
                    <w:jc w:val="center"/>
                    <w:rPr>
                      <w:rFonts w:eastAsiaTheme="minorEastAsia"/>
                      <w:szCs w:val="21"/>
                    </w:rPr>
                  </w:pPr>
                  <w:r>
                    <w:rPr>
                      <w:rFonts w:eastAsiaTheme="minorEastAsia"/>
                      <w:szCs w:val="21"/>
                    </w:rPr>
                    <w:t>昼间</w:t>
                  </w:r>
                </w:p>
              </w:tc>
              <w:tc>
                <w:tcPr>
                  <w:tcW w:w="507" w:type="dxa"/>
                  <w:shd w:val="clear" w:color="auto" w:fill="FFFFFF"/>
                  <w:vAlign w:val="center"/>
                </w:tcPr>
                <w:p>
                  <w:pPr>
                    <w:jc w:val="center"/>
                    <w:rPr>
                      <w:rFonts w:eastAsiaTheme="minorEastAsia"/>
                      <w:szCs w:val="21"/>
                    </w:rPr>
                  </w:pPr>
                  <w:r>
                    <w:rPr>
                      <w:rFonts w:eastAsiaTheme="minorEastAsia"/>
                      <w:szCs w:val="21"/>
                    </w:rPr>
                    <w:t>夜间</w:t>
                  </w:r>
                </w:p>
              </w:tc>
              <w:tc>
                <w:tcPr>
                  <w:tcW w:w="436" w:type="dxa"/>
                  <w:shd w:val="clear" w:color="auto" w:fill="FFFFFF"/>
                  <w:vAlign w:val="center"/>
                </w:tcPr>
                <w:p>
                  <w:pPr>
                    <w:jc w:val="center"/>
                    <w:rPr>
                      <w:rFonts w:eastAsiaTheme="minorEastAsia"/>
                      <w:szCs w:val="21"/>
                    </w:rPr>
                  </w:pPr>
                  <w:r>
                    <w:rPr>
                      <w:rFonts w:eastAsiaTheme="minorEastAsia"/>
                      <w:szCs w:val="21"/>
                    </w:rPr>
                    <w:t>昼间</w:t>
                  </w:r>
                </w:p>
              </w:tc>
              <w:tc>
                <w:tcPr>
                  <w:tcW w:w="436" w:type="dxa"/>
                  <w:shd w:val="clear" w:color="auto" w:fill="FFFFFF"/>
                  <w:vAlign w:val="center"/>
                </w:tcPr>
                <w:p>
                  <w:pPr>
                    <w:jc w:val="center"/>
                    <w:rPr>
                      <w:rFonts w:eastAsiaTheme="minorEastAsia"/>
                      <w:szCs w:val="21"/>
                    </w:rPr>
                  </w:pPr>
                  <w:r>
                    <w:rPr>
                      <w:rFonts w:eastAsiaTheme="minorEastAsia"/>
                      <w:szCs w:val="21"/>
                    </w:rPr>
                    <w:t>夜间</w:t>
                  </w:r>
                </w:p>
              </w:tc>
              <w:tc>
                <w:tcPr>
                  <w:tcW w:w="507" w:type="dxa"/>
                  <w:shd w:val="clear" w:color="auto" w:fill="FFFFFF"/>
                  <w:vAlign w:val="center"/>
                </w:tcPr>
                <w:p>
                  <w:pPr>
                    <w:jc w:val="center"/>
                    <w:rPr>
                      <w:rFonts w:eastAsiaTheme="minorEastAsia"/>
                      <w:szCs w:val="21"/>
                    </w:rPr>
                  </w:pPr>
                  <w:r>
                    <w:rPr>
                      <w:rFonts w:eastAsiaTheme="minorEastAsia"/>
                      <w:szCs w:val="21"/>
                    </w:rPr>
                    <w:t>昼间</w:t>
                  </w:r>
                </w:p>
              </w:tc>
              <w:tc>
                <w:tcPr>
                  <w:tcW w:w="507" w:type="dxa"/>
                  <w:shd w:val="clear" w:color="auto" w:fill="FFFFFF"/>
                  <w:vAlign w:val="center"/>
                </w:tcPr>
                <w:p>
                  <w:pPr>
                    <w:jc w:val="center"/>
                    <w:rPr>
                      <w:rFonts w:eastAsiaTheme="minorEastAsia"/>
                      <w:szCs w:val="21"/>
                    </w:rPr>
                  </w:pPr>
                  <w:r>
                    <w:rPr>
                      <w:rFonts w:eastAsiaTheme="minorEastAsia"/>
                      <w:szCs w:val="21"/>
                    </w:rPr>
                    <w:t>夜间</w:t>
                  </w:r>
                </w:p>
              </w:tc>
              <w:tc>
                <w:tcPr>
                  <w:tcW w:w="507" w:type="dxa"/>
                  <w:shd w:val="clear" w:color="auto" w:fill="FFFFFF"/>
                  <w:vAlign w:val="center"/>
                </w:tcPr>
                <w:p>
                  <w:pPr>
                    <w:jc w:val="center"/>
                    <w:rPr>
                      <w:rFonts w:eastAsiaTheme="minorEastAsia"/>
                      <w:szCs w:val="21"/>
                    </w:rPr>
                  </w:pPr>
                  <w:r>
                    <w:rPr>
                      <w:rFonts w:eastAsiaTheme="minorEastAsia"/>
                      <w:szCs w:val="21"/>
                    </w:rPr>
                    <w:t>昼间</w:t>
                  </w:r>
                </w:p>
              </w:tc>
              <w:tc>
                <w:tcPr>
                  <w:tcW w:w="507" w:type="dxa"/>
                  <w:shd w:val="clear" w:color="auto" w:fill="FFFFFF"/>
                  <w:vAlign w:val="center"/>
                </w:tcPr>
                <w:p>
                  <w:pPr>
                    <w:jc w:val="center"/>
                    <w:rPr>
                      <w:rFonts w:eastAsiaTheme="minorEastAsia"/>
                      <w:szCs w:val="21"/>
                    </w:rPr>
                  </w:pPr>
                  <w:r>
                    <w:rPr>
                      <w:rFonts w:eastAsiaTheme="minorEastAsia"/>
                      <w:szCs w:val="21"/>
                    </w:rPr>
                    <w:t>夜间</w:t>
                  </w:r>
                </w:p>
              </w:tc>
              <w:tc>
                <w:tcPr>
                  <w:tcW w:w="491" w:type="dxa"/>
                  <w:shd w:val="clear" w:color="auto" w:fill="FFFFFF"/>
                  <w:vAlign w:val="center"/>
                </w:tcPr>
                <w:p>
                  <w:pPr>
                    <w:jc w:val="center"/>
                    <w:rPr>
                      <w:rFonts w:eastAsiaTheme="minorEastAsia"/>
                      <w:szCs w:val="21"/>
                    </w:rPr>
                  </w:pPr>
                  <w:r>
                    <w:rPr>
                      <w:rFonts w:eastAsiaTheme="minorEastAsia"/>
                      <w:szCs w:val="21"/>
                    </w:rPr>
                    <w:t>昼间</w:t>
                  </w:r>
                </w:p>
              </w:tc>
              <w:tc>
                <w:tcPr>
                  <w:tcW w:w="492" w:type="dxa"/>
                  <w:shd w:val="clear" w:color="auto" w:fill="FFFFFF"/>
                  <w:vAlign w:val="center"/>
                </w:tcPr>
                <w:p>
                  <w:pPr>
                    <w:jc w:val="center"/>
                    <w:rPr>
                      <w:rFonts w:eastAsiaTheme="minorEastAsia"/>
                      <w:szCs w:val="21"/>
                    </w:rPr>
                  </w:pPr>
                  <w:r>
                    <w:rPr>
                      <w:rFonts w:eastAsiaTheme="minorEastAsia"/>
                      <w:szCs w:val="21"/>
                    </w:rPr>
                    <w:t>夜间</w:t>
                  </w:r>
                </w:p>
              </w:tc>
              <w:tc>
                <w:tcPr>
                  <w:tcW w:w="439" w:type="dxa"/>
                  <w:shd w:val="clear" w:color="auto" w:fill="FFFFFF"/>
                  <w:vAlign w:val="center"/>
                </w:tcPr>
                <w:p>
                  <w:pPr>
                    <w:jc w:val="center"/>
                    <w:rPr>
                      <w:rFonts w:eastAsiaTheme="minorEastAsia"/>
                      <w:szCs w:val="21"/>
                    </w:rPr>
                  </w:pPr>
                  <w:r>
                    <w:rPr>
                      <w:rFonts w:eastAsiaTheme="minorEastAsia"/>
                      <w:szCs w:val="21"/>
                    </w:rPr>
                    <w:t>昼间</w:t>
                  </w:r>
                </w:p>
              </w:tc>
              <w:tc>
                <w:tcPr>
                  <w:tcW w:w="440" w:type="dxa"/>
                  <w:shd w:val="clear" w:color="auto" w:fill="FFFFFF"/>
                  <w:vAlign w:val="center"/>
                </w:tcPr>
                <w:p>
                  <w:pPr>
                    <w:jc w:val="center"/>
                    <w:rPr>
                      <w:rFonts w:eastAsiaTheme="minorEastAsia"/>
                      <w:szCs w:val="21"/>
                    </w:rPr>
                  </w:pPr>
                  <w:r>
                    <w:rPr>
                      <w:rFonts w:eastAsiaTheme="minorEastAsia"/>
                      <w:szCs w:val="21"/>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53" w:hRule="atLeast"/>
                <w:jc w:val="center"/>
              </w:trPr>
              <w:tc>
                <w:tcPr>
                  <w:tcW w:w="346" w:type="dxa"/>
                  <w:shd w:val="clear" w:color="auto" w:fill="FFFFFF"/>
                  <w:vAlign w:val="center"/>
                </w:tcPr>
                <w:p>
                  <w:pPr>
                    <w:rPr>
                      <w:szCs w:val="21"/>
                    </w:rPr>
                  </w:pPr>
                  <w:r>
                    <w:rPr>
                      <w:szCs w:val="21"/>
                    </w:rPr>
                    <w:t>1</w:t>
                  </w:r>
                </w:p>
              </w:tc>
              <w:tc>
                <w:tcPr>
                  <w:tcW w:w="1007" w:type="dxa"/>
                  <w:shd w:val="clear" w:color="auto" w:fill="FFFFFF"/>
                  <w:vAlign w:val="center"/>
                </w:tcPr>
                <w:p>
                  <w:pPr>
                    <w:rPr>
                      <w:szCs w:val="21"/>
                    </w:rPr>
                  </w:pPr>
                  <w:r>
                    <w:rPr>
                      <w:rFonts w:hint="eastAsia"/>
                      <w:szCs w:val="21"/>
                    </w:rPr>
                    <w:t>居民点1</w:t>
                  </w:r>
                </w:p>
              </w:tc>
              <w:tc>
                <w:tcPr>
                  <w:tcW w:w="506" w:type="dxa"/>
                  <w:shd w:val="clear" w:color="auto" w:fill="FFFFFF"/>
                  <w:vAlign w:val="center"/>
                </w:tcPr>
                <w:p>
                  <w:pPr>
                    <w:rPr>
                      <w:szCs w:val="21"/>
                    </w:rPr>
                  </w:pPr>
                  <w:r>
                    <w:rPr>
                      <w:szCs w:val="21"/>
                    </w:rPr>
                    <w:t>52</w:t>
                  </w:r>
                </w:p>
              </w:tc>
              <w:tc>
                <w:tcPr>
                  <w:tcW w:w="507" w:type="dxa"/>
                  <w:shd w:val="clear" w:color="auto" w:fill="FFFFFF"/>
                  <w:vAlign w:val="center"/>
                </w:tcPr>
                <w:p>
                  <w:pPr>
                    <w:rPr>
                      <w:szCs w:val="21"/>
                    </w:rPr>
                  </w:pPr>
                  <w:r>
                    <w:rPr>
                      <w:szCs w:val="21"/>
                    </w:rPr>
                    <w:t>42</w:t>
                  </w:r>
                </w:p>
              </w:tc>
              <w:tc>
                <w:tcPr>
                  <w:tcW w:w="507" w:type="dxa"/>
                  <w:shd w:val="clear" w:color="auto" w:fill="FFFFFF"/>
                  <w:vAlign w:val="center"/>
                </w:tcPr>
                <w:p>
                  <w:pPr>
                    <w:rPr>
                      <w:szCs w:val="21"/>
                    </w:rPr>
                  </w:pPr>
                  <w:r>
                    <w:rPr>
                      <w:szCs w:val="21"/>
                    </w:rPr>
                    <w:t>52</w:t>
                  </w:r>
                </w:p>
              </w:tc>
              <w:tc>
                <w:tcPr>
                  <w:tcW w:w="507" w:type="dxa"/>
                  <w:shd w:val="clear" w:color="auto" w:fill="FFFFFF"/>
                  <w:vAlign w:val="center"/>
                </w:tcPr>
                <w:p>
                  <w:pPr>
                    <w:rPr>
                      <w:szCs w:val="21"/>
                    </w:rPr>
                  </w:pPr>
                  <w:r>
                    <w:rPr>
                      <w:szCs w:val="21"/>
                    </w:rPr>
                    <w:t>42</w:t>
                  </w:r>
                </w:p>
              </w:tc>
              <w:tc>
                <w:tcPr>
                  <w:tcW w:w="436" w:type="dxa"/>
                  <w:shd w:val="clear" w:color="auto" w:fill="FFFFFF"/>
                  <w:vAlign w:val="center"/>
                </w:tcPr>
                <w:p>
                  <w:pPr>
                    <w:rPr>
                      <w:szCs w:val="21"/>
                    </w:rPr>
                  </w:pPr>
                  <w:r>
                    <w:rPr>
                      <w:szCs w:val="21"/>
                    </w:rPr>
                    <w:t>60</w:t>
                  </w:r>
                </w:p>
              </w:tc>
              <w:tc>
                <w:tcPr>
                  <w:tcW w:w="436" w:type="dxa"/>
                  <w:shd w:val="clear" w:color="auto" w:fill="FFFFFF"/>
                  <w:vAlign w:val="center"/>
                </w:tcPr>
                <w:p>
                  <w:pPr>
                    <w:rPr>
                      <w:szCs w:val="21"/>
                    </w:rPr>
                  </w:pPr>
                  <w:r>
                    <w:rPr>
                      <w:szCs w:val="21"/>
                    </w:rPr>
                    <w:t>50</w:t>
                  </w:r>
                </w:p>
              </w:tc>
              <w:tc>
                <w:tcPr>
                  <w:tcW w:w="507" w:type="dxa"/>
                  <w:shd w:val="clear" w:color="auto" w:fill="FFFFFF"/>
                  <w:vAlign w:val="center"/>
                </w:tcPr>
                <w:p>
                  <w:pPr>
                    <w:rPr>
                      <w:szCs w:val="21"/>
                    </w:rPr>
                  </w:pPr>
                  <w:r>
                    <w:rPr>
                      <w:szCs w:val="21"/>
                    </w:rPr>
                    <w:t>40</w:t>
                  </w:r>
                </w:p>
              </w:tc>
              <w:tc>
                <w:tcPr>
                  <w:tcW w:w="507" w:type="dxa"/>
                  <w:shd w:val="clear" w:color="auto" w:fill="FFFFFF"/>
                  <w:vAlign w:val="center"/>
                </w:tcPr>
                <w:p>
                  <w:pPr>
                    <w:rPr>
                      <w:szCs w:val="21"/>
                    </w:rPr>
                  </w:pPr>
                  <w:r>
                    <w:rPr>
                      <w:szCs w:val="21"/>
                    </w:rPr>
                    <w:t>40</w:t>
                  </w:r>
                </w:p>
              </w:tc>
              <w:tc>
                <w:tcPr>
                  <w:tcW w:w="507" w:type="dxa"/>
                  <w:shd w:val="clear" w:color="auto" w:fill="FFFFFF"/>
                  <w:vAlign w:val="center"/>
                </w:tcPr>
                <w:p>
                  <w:pPr>
                    <w:rPr>
                      <w:szCs w:val="21"/>
                    </w:rPr>
                  </w:pPr>
                  <w:r>
                    <w:rPr>
                      <w:szCs w:val="21"/>
                    </w:rPr>
                    <w:t>52</w:t>
                  </w:r>
                </w:p>
              </w:tc>
              <w:tc>
                <w:tcPr>
                  <w:tcW w:w="507" w:type="dxa"/>
                  <w:shd w:val="clear" w:color="auto" w:fill="FFFFFF"/>
                  <w:vAlign w:val="center"/>
                </w:tcPr>
                <w:p>
                  <w:pPr>
                    <w:rPr>
                      <w:szCs w:val="21"/>
                    </w:rPr>
                  </w:pPr>
                  <w:r>
                    <w:rPr>
                      <w:szCs w:val="21"/>
                    </w:rPr>
                    <w:t>44</w:t>
                  </w:r>
                </w:p>
              </w:tc>
              <w:tc>
                <w:tcPr>
                  <w:tcW w:w="491" w:type="dxa"/>
                  <w:shd w:val="clear" w:color="auto" w:fill="FFFFFF"/>
                  <w:vAlign w:val="center"/>
                </w:tcPr>
                <w:p>
                  <w:pPr>
                    <w:rPr>
                      <w:szCs w:val="21"/>
                    </w:rPr>
                  </w:pPr>
                  <w:r>
                    <w:rPr>
                      <w:szCs w:val="21"/>
                    </w:rPr>
                    <w:t>0</w:t>
                  </w:r>
                </w:p>
              </w:tc>
              <w:tc>
                <w:tcPr>
                  <w:tcW w:w="492" w:type="dxa"/>
                  <w:shd w:val="clear" w:color="auto" w:fill="FFFFFF"/>
                  <w:vAlign w:val="center"/>
                </w:tcPr>
                <w:p>
                  <w:pPr>
                    <w:rPr>
                      <w:szCs w:val="21"/>
                    </w:rPr>
                  </w:pPr>
                  <w:r>
                    <w:rPr>
                      <w:szCs w:val="21"/>
                    </w:rPr>
                    <w:t>2</w:t>
                  </w:r>
                </w:p>
              </w:tc>
              <w:tc>
                <w:tcPr>
                  <w:tcW w:w="439" w:type="dxa"/>
                  <w:shd w:val="clear" w:color="auto" w:fill="FFFFFF"/>
                  <w:vAlign w:val="center"/>
                </w:tcPr>
                <w:p>
                  <w:pPr>
                    <w:rPr>
                      <w:szCs w:val="21"/>
                    </w:rPr>
                  </w:pPr>
                  <w:r>
                    <w:rPr>
                      <w:szCs w:val="21"/>
                    </w:rPr>
                    <w:t>达标</w:t>
                  </w:r>
                </w:p>
              </w:tc>
              <w:tc>
                <w:tcPr>
                  <w:tcW w:w="440" w:type="dxa"/>
                  <w:shd w:val="clear" w:color="auto" w:fill="FFFFFF"/>
                  <w:vAlign w:val="center"/>
                </w:tcPr>
                <w:p>
                  <w:pPr>
                    <w:rPr>
                      <w:szCs w:val="21"/>
                    </w:rPr>
                  </w:pPr>
                  <w:r>
                    <w:rPr>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53" w:hRule="atLeast"/>
                <w:jc w:val="center"/>
              </w:trPr>
              <w:tc>
                <w:tcPr>
                  <w:tcW w:w="346" w:type="dxa"/>
                  <w:shd w:val="clear" w:color="auto" w:fill="FFFFFF"/>
                  <w:vAlign w:val="center"/>
                </w:tcPr>
                <w:p>
                  <w:pPr>
                    <w:rPr>
                      <w:szCs w:val="21"/>
                    </w:rPr>
                  </w:pPr>
                  <w:r>
                    <w:rPr>
                      <w:szCs w:val="21"/>
                    </w:rPr>
                    <w:t>2</w:t>
                  </w:r>
                </w:p>
              </w:tc>
              <w:tc>
                <w:tcPr>
                  <w:tcW w:w="1007" w:type="dxa"/>
                  <w:shd w:val="clear" w:color="auto" w:fill="FFFFFF"/>
                  <w:vAlign w:val="center"/>
                </w:tcPr>
                <w:p>
                  <w:pPr>
                    <w:rPr>
                      <w:szCs w:val="21"/>
                    </w:rPr>
                  </w:pPr>
                  <w:r>
                    <w:rPr>
                      <w:szCs w:val="21"/>
                    </w:rPr>
                    <w:t>居民点2</w:t>
                  </w:r>
                </w:p>
              </w:tc>
              <w:tc>
                <w:tcPr>
                  <w:tcW w:w="506" w:type="dxa"/>
                  <w:shd w:val="clear" w:color="auto" w:fill="FFFFFF"/>
                  <w:vAlign w:val="center"/>
                </w:tcPr>
                <w:p>
                  <w:pPr>
                    <w:rPr>
                      <w:szCs w:val="21"/>
                    </w:rPr>
                  </w:pPr>
                  <w:r>
                    <w:rPr>
                      <w:szCs w:val="21"/>
                    </w:rPr>
                    <w:t>52</w:t>
                  </w:r>
                </w:p>
              </w:tc>
              <w:tc>
                <w:tcPr>
                  <w:tcW w:w="507" w:type="dxa"/>
                  <w:shd w:val="clear" w:color="auto" w:fill="FFFFFF"/>
                  <w:vAlign w:val="center"/>
                </w:tcPr>
                <w:p>
                  <w:pPr>
                    <w:rPr>
                      <w:szCs w:val="21"/>
                    </w:rPr>
                  </w:pPr>
                  <w:r>
                    <w:rPr>
                      <w:szCs w:val="21"/>
                    </w:rPr>
                    <w:t>42</w:t>
                  </w:r>
                </w:p>
              </w:tc>
              <w:tc>
                <w:tcPr>
                  <w:tcW w:w="507" w:type="dxa"/>
                  <w:shd w:val="clear" w:color="auto" w:fill="FFFFFF"/>
                  <w:vAlign w:val="center"/>
                </w:tcPr>
                <w:p>
                  <w:pPr>
                    <w:rPr>
                      <w:szCs w:val="21"/>
                    </w:rPr>
                  </w:pPr>
                  <w:r>
                    <w:rPr>
                      <w:szCs w:val="21"/>
                    </w:rPr>
                    <w:t>52</w:t>
                  </w:r>
                </w:p>
              </w:tc>
              <w:tc>
                <w:tcPr>
                  <w:tcW w:w="507" w:type="dxa"/>
                  <w:shd w:val="clear" w:color="auto" w:fill="FFFFFF"/>
                  <w:vAlign w:val="center"/>
                </w:tcPr>
                <w:p>
                  <w:pPr>
                    <w:rPr>
                      <w:szCs w:val="21"/>
                    </w:rPr>
                  </w:pPr>
                  <w:r>
                    <w:rPr>
                      <w:szCs w:val="21"/>
                    </w:rPr>
                    <w:t>42</w:t>
                  </w:r>
                </w:p>
              </w:tc>
              <w:tc>
                <w:tcPr>
                  <w:tcW w:w="436" w:type="dxa"/>
                  <w:shd w:val="clear" w:color="auto" w:fill="FFFFFF"/>
                  <w:vAlign w:val="center"/>
                </w:tcPr>
                <w:p>
                  <w:pPr>
                    <w:rPr>
                      <w:szCs w:val="21"/>
                    </w:rPr>
                  </w:pPr>
                  <w:r>
                    <w:rPr>
                      <w:szCs w:val="21"/>
                    </w:rPr>
                    <w:t>60</w:t>
                  </w:r>
                </w:p>
              </w:tc>
              <w:tc>
                <w:tcPr>
                  <w:tcW w:w="436" w:type="dxa"/>
                  <w:shd w:val="clear" w:color="auto" w:fill="FFFFFF"/>
                  <w:vAlign w:val="center"/>
                </w:tcPr>
                <w:p>
                  <w:pPr>
                    <w:rPr>
                      <w:szCs w:val="21"/>
                    </w:rPr>
                  </w:pPr>
                  <w:r>
                    <w:rPr>
                      <w:szCs w:val="21"/>
                    </w:rPr>
                    <w:t>50</w:t>
                  </w:r>
                </w:p>
              </w:tc>
              <w:tc>
                <w:tcPr>
                  <w:tcW w:w="507" w:type="dxa"/>
                  <w:shd w:val="clear" w:color="auto" w:fill="FFFFFF"/>
                  <w:vAlign w:val="center"/>
                </w:tcPr>
                <w:p>
                  <w:pPr>
                    <w:rPr>
                      <w:szCs w:val="21"/>
                    </w:rPr>
                  </w:pPr>
                  <w:r>
                    <w:rPr>
                      <w:szCs w:val="21"/>
                    </w:rPr>
                    <w:t>24</w:t>
                  </w:r>
                </w:p>
              </w:tc>
              <w:tc>
                <w:tcPr>
                  <w:tcW w:w="507" w:type="dxa"/>
                  <w:shd w:val="clear" w:color="auto" w:fill="FFFFFF"/>
                  <w:vAlign w:val="center"/>
                </w:tcPr>
                <w:p>
                  <w:pPr>
                    <w:rPr>
                      <w:szCs w:val="21"/>
                    </w:rPr>
                  </w:pPr>
                  <w:r>
                    <w:rPr>
                      <w:szCs w:val="21"/>
                    </w:rPr>
                    <w:t>24</w:t>
                  </w:r>
                </w:p>
              </w:tc>
              <w:tc>
                <w:tcPr>
                  <w:tcW w:w="507" w:type="dxa"/>
                  <w:shd w:val="clear" w:color="auto" w:fill="FFFFFF"/>
                  <w:vAlign w:val="center"/>
                </w:tcPr>
                <w:p>
                  <w:pPr>
                    <w:rPr>
                      <w:szCs w:val="21"/>
                    </w:rPr>
                  </w:pPr>
                  <w:r>
                    <w:rPr>
                      <w:szCs w:val="21"/>
                    </w:rPr>
                    <w:t>52</w:t>
                  </w:r>
                </w:p>
              </w:tc>
              <w:tc>
                <w:tcPr>
                  <w:tcW w:w="507" w:type="dxa"/>
                  <w:shd w:val="clear" w:color="auto" w:fill="FFFFFF"/>
                  <w:vAlign w:val="center"/>
                </w:tcPr>
                <w:p>
                  <w:pPr>
                    <w:rPr>
                      <w:szCs w:val="21"/>
                    </w:rPr>
                  </w:pPr>
                  <w:r>
                    <w:rPr>
                      <w:szCs w:val="21"/>
                    </w:rPr>
                    <w:t>42</w:t>
                  </w:r>
                </w:p>
              </w:tc>
              <w:tc>
                <w:tcPr>
                  <w:tcW w:w="491" w:type="dxa"/>
                  <w:shd w:val="clear" w:color="auto" w:fill="FFFFFF"/>
                  <w:vAlign w:val="center"/>
                </w:tcPr>
                <w:p>
                  <w:pPr>
                    <w:rPr>
                      <w:szCs w:val="21"/>
                    </w:rPr>
                  </w:pPr>
                  <w:r>
                    <w:rPr>
                      <w:szCs w:val="21"/>
                    </w:rPr>
                    <w:t>0</w:t>
                  </w:r>
                </w:p>
              </w:tc>
              <w:tc>
                <w:tcPr>
                  <w:tcW w:w="492" w:type="dxa"/>
                  <w:shd w:val="clear" w:color="auto" w:fill="FFFFFF"/>
                  <w:vAlign w:val="center"/>
                </w:tcPr>
                <w:p>
                  <w:pPr>
                    <w:rPr>
                      <w:szCs w:val="21"/>
                    </w:rPr>
                  </w:pPr>
                  <w:r>
                    <w:rPr>
                      <w:szCs w:val="21"/>
                    </w:rPr>
                    <w:t>0</w:t>
                  </w:r>
                </w:p>
              </w:tc>
              <w:tc>
                <w:tcPr>
                  <w:tcW w:w="439" w:type="dxa"/>
                  <w:shd w:val="clear" w:color="auto" w:fill="FFFFFF"/>
                  <w:vAlign w:val="center"/>
                </w:tcPr>
                <w:p>
                  <w:pPr>
                    <w:rPr>
                      <w:szCs w:val="21"/>
                    </w:rPr>
                  </w:pPr>
                  <w:r>
                    <w:rPr>
                      <w:szCs w:val="21"/>
                    </w:rPr>
                    <w:t>达标</w:t>
                  </w:r>
                </w:p>
              </w:tc>
              <w:tc>
                <w:tcPr>
                  <w:tcW w:w="440" w:type="dxa"/>
                  <w:shd w:val="clear" w:color="auto" w:fill="FFFFFF"/>
                  <w:vAlign w:val="center"/>
                </w:tcPr>
                <w:p>
                  <w:pPr>
                    <w:rPr>
                      <w:szCs w:val="21"/>
                    </w:rPr>
                  </w:pPr>
                  <w:r>
                    <w:rPr>
                      <w:szCs w:val="21"/>
                    </w:rPr>
                    <w:t>达标</w:t>
                  </w:r>
                </w:p>
              </w:tc>
            </w:tr>
          </w:tbl>
          <w:p>
            <w:pPr>
              <w:autoSpaceDE w:val="0"/>
              <w:autoSpaceDN w:val="0"/>
              <w:spacing w:line="360" w:lineRule="auto"/>
              <w:contextualSpacing/>
              <w:jc w:val="center"/>
              <w:rPr>
                <w:b/>
                <w:szCs w:val="21"/>
              </w:rPr>
            </w:pPr>
          </w:p>
          <w:p>
            <w:pPr>
              <w:autoSpaceDE w:val="0"/>
              <w:autoSpaceDN w:val="0"/>
              <w:spacing w:line="360" w:lineRule="auto"/>
              <w:contextualSpacing/>
              <w:jc w:val="center"/>
            </w:pPr>
          </w:p>
          <w:p>
            <w:pPr>
              <w:autoSpaceDE w:val="0"/>
              <w:autoSpaceDN w:val="0"/>
              <w:spacing w:line="360" w:lineRule="auto"/>
              <w:contextualSpacing/>
              <w:jc w:val="center"/>
              <w:rPr>
                <w:b/>
                <w:szCs w:val="21"/>
              </w:rPr>
            </w:pPr>
            <w:r>
              <w:drawing>
                <wp:inline distT="0" distB="0" distL="0" distR="0">
                  <wp:extent cx="5173345" cy="4107180"/>
                  <wp:effectExtent l="0" t="0" r="8255" b="762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8"/>
                          <a:srcRect b="6030"/>
                          <a:stretch>
                            <a:fillRect/>
                          </a:stretch>
                        </pic:blipFill>
                        <pic:spPr>
                          <a:xfrm>
                            <a:off x="0" y="0"/>
                            <a:ext cx="5173345" cy="4107180"/>
                          </a:xfrm>
                          <a:prstGeom prst="rect">
                            <a:avLst/>
                          </a:prstGeom>
                          <a:ln>
                            <a:noFill/>
                          </a:ln>
                        </pic:spPr>
                      </pic:pic>
                    </a:graphicData>
                  </a:graphic>
                </wp:inline>
              </w:drawing>
            </w:r>
          </w:p>
          <w:p>
            <w:pPr>
              <w:autoSpaceDE w:val="0"/>
              <w:autoSpaceDN w:val="0"/>
              <w:spacing w:line="360" w:lineRule="auto"/>
              <w:contextualSpacing/>
              <w:jc w:val="center"/>
              <w:rPr>
                <w:b/>
                <w:szCs w:val="21"/>
              </w:rPr>
            </w:pPr>
            <w:r>
              <w:rPr>
                <w:rFonts w:hint="eastAsia"/>
                <w:b/>
                <w:szCs w:val="21"/>
              </w:rPr>
              <w:t>图4-1 钻井</w:t>
            </w:r>
            <w:r>
              <w:rPr>
                <w:b/>
                <w:szCs w:val="21"/>
              </w:rPr>
              <w:t>设备噪声</w:t>
            </w:r>
            <w:r>
              <w:rPr>
                <w:rFonts w:hint="eastAsia"/>
                <w:b/>
                <w:szCs w:val="21"/>
              </w:rPr>
              <w:t>影响</w:t>
            </w:r>
            <w:r>
              <w:rPr>
                <w:b/>
                <w:szCs w:val="21"/>
              </w:rPr>
              <w:t>图</w:t>
            </w:r>
          </w:p>
          <w:p>
            <w:pPr>
              <w:spacing w:line="360" w:lineRule="auto"/>
              <w:ind w:firstLine="420" w:firstLineChars="200"/>
              <w:rPr>
                <w:szCs w:val="21"/>
              </w:rPr>
            </w:pPr>
            <w:r>
              <w:rPr>
                <w:szCs w:val="21"/>
              </w:rPr>
              <w:t>根据以上预测结果，</w:t>
            </w:r>
            <w:r>
              <w:rPr>
                <w:rFonts w:hint="eastAsia"/>
                <w:szCs w:val="21"/>
              </w:rPr>
              <w:t>钻井</w:t>
            </w:r>
            <w:r>
              <w:rPr>
                <w:szCs w:val="21"/>
              </w:rPr>
              <w:t>工程预测结果在</w:t>
            </w:r>
            <w:r>
              <w:rPr>
                <w:rFonts w:hint="eastAsia"/>
                <w:szCs w:val="21"/>
              </w:rPr>
              <w:t>厂界</w:t>
            </w:r>
            <w:r>
              <w:rPr>
                <w:szCs w:val="21"/>
              </w:rPr>
              <w:t>时均不能满足《工业企业厂界环境噪声排放标准》（GB12348-2008）2类标准</w:t>
            </w:r>
            <w:r>
              <w:rPr>
                <w:rFonts w:hint="eastAsia"/>
                <w:szCs w:val="21"/>
              </w:rPr>
              <w:t>，本项目</w:t>
            </w:r>
            <w:r>
              <w:rPr>
                <w:szCs w:val="21"/>
              </w:rPr>
              <w:t>施工时间</w:t>
            </w:r>
            <w:r>
              <w:rPr>
                <w:rFonts w:hint="eastAsia"/>
                <w:szCs w:val="21"/>
              </w:rPr>
              <w:t>短</w:t>
            </w:r>
            <w:r>
              <w:rPr>
                <w:szCs w:val="21"/>
              </w:rPr>
              <w:t>，且同类型项目</w:t>
            </w:r>
            <w:r>
              <w:rPr>
                <w:rFonts w:hint="eastAsia"/>
                <w:szCs w:val="21"/>
              </w:rPr>
              <w:t>均存在</w:t>
            </w:r>
            <w:r>
              <w:rPr>
                <w:szCs w:val="21"/>
              </w:rPr>
              <w:t>此类现象</w:t>
            </w:r>
            <w:r>
              <w:rPr>
                <w:rFonts w:hint="eastAsia"/>
                <w:szCs w:val="21"/>
              </w:rPr>
              <w:t>，</w:t>
            </w:r>
            <w:r>
              <w:rPr>
                <w:szCs w:val="21"/>
              </w:rPr>
              <w:t>随着施工结束噪声影响随之消失，因此不会对当地声环境造成影响</w:t>
            </w:r>
            <w:r>
              <w:rPr>
                <w:rFonts w:hint="eastAsia"/>
                <w:szCs w:val="21"/>
              </w:rPr>
              <w:t>。</w:t>
            </w:r>
            <w:r>
              <w:rPr>
                <w:szCs w:val="21"/>
              </w:rPr>
              <w:t>根据</w:t>
            </w:r>
            <w:r>
              <w:rPr>
                <w:rFonts w:hint="eastAsia"/>
                <w:szCs w:val="21"/>
              </w:rPr>
              <w:t>对</w:t>
            </w:r>
            <w:r>
              <w:rPr>
                <w:szCs w:val="21"/>
              </w:rPr>
              <w:t>周围敏感点预测可知</w:t>
            </w:r>
            <w:r>
              <w:rPr>
                <w:rFonts w:hint="eastAsia"/>
                <w:szCs w:val="21"/>
              </w:rPr>
              <w:t>，</w:t>
            </w:r>
            <w:r>
              <w:rPr>
                <w:szCs w:val="21"/>
              </w:rPr>
              <w:t>周边敏感点出均满足《声环境质量标准》(GB3096-2008)中2类区标准值</w:t>
            </w:r>
            <w:r>
              <w:rPr>
                <w:rFonts w:hint="eastAsia"/>
                <w:szCs w:val="21"/>
              </w:rPr>
              <w:t>，</w:t>
            </w:r>
            <w:r>
              <w:rPr>
                <w:szCs w:val="21"/>
              </w:rPr>
              <w:t>因此对周边敏感点</w:t>
            </w:r>
            <w:r>
              <w:rPr>
                <w:rFonts w:hint="eastAsia"/>
                <w:szCs w:val="21"/>
              </w:rPr>
              <w:t>造成</w:t>
            </w:r>
            <w:r>
              <w:rPr>
                <w:szCs w:val="21"/>
              </w:rPr>
              <w:t>影响较小。</w:t>
            </w:r>
          </w:p>
          <w:p>
            <w:pPr>
              <w:spacing w:line="360" w:lineRule="auto"/>
              <w:rPr>
                <w:b/>
                <w:szCs w:val="21"/>
              </w:rPr>
            </w:pPr>
            <w:r>
              <w:rPr>
                <w:rFonts w:hint="eastAsia"/>
                <w:b/>
                <w:szCs w:val="21"/>
              </w:rPr>
              <w:t>4.2.4固体</w:t>
            </w:r>
            <w:r>
              <w:rPr>
                <w:b/>
                <w:szCs w:val="21"/>
              </w:rPr>
              <w:t>废物环境影响分析</w:t>
            </w:r>
          </w:p>
          <w:p>
            <w:pPr>
              <w:spacing w:line="360" w:lineRule="auto"/>
              <w:ind w:firstLine="420" w:firstLineChars="200"/>
              <w:rPr>
                <w:szCs w:val="21"/>
              </w:rPr>
            </w:pPr>
            <w:r>
              <w:rPr>
                <w:rFonts w:hint="eastAsia"/>
                <w:szCs w:val="21"/>
              </w:rPr>
              <w:t>（1）固体</w:t>
            </w:r>
            <w:r>
              <w:rPr>
                <w:szCs w:val="21"/>
              </w:rPr>
              <w:t>废物产生情况</w:t>
            </w:r>
          </w:p>
          <w:p>
            <w:pPr>
              <w:spacing w:line="360" w:lineRule="auto"/>
              <w:ind w:firstLine="420" w:firstLineChars="200"/>
              <w:rPr>
                <w:szCs w:val="21"/>
              </w:rPr>
            </w:pPr>
            <w:r>
              <w:rPr>
                <w:szCs w:val="21"/>
              </w:rPr>
              <w:t>本项目钻井过程中的固体废物主要有钻井岩屑、废弃泥浆、油类、废弃包装材料等，还有井队员工产生的生活垃圾。</w:t>
            </w:r>
          </w:p>
          <w:p>
            <w:pPr>
              <w:spacing w:line="360" w:lineRule="auto"/>
              <w:ind w:firstLine="420" w:firstLineChars="200"/>
              <w:rPr>
                <w:bCs/>
                <w:szCs w:val="21"/>
              </w:rPr>
            </w:pPr>
            <w:r>
              <w:rPr>
                <w:bCs/>
                <w:szCs w:val="21"/>
              </w:rPr>
              <w:fldChar w:fldCharType="begin"/>
            </w:r>
            <w:r>
              <w:rPr>
                <w:bCs/>
                <w:szCs w:val="21"/>
              </w:rPr>
              <w:instrText xml:space="preserve"> </w:instrText>
            </w:r>
            <w:r>
              <w:rPr>
                <w:rFonts w:hint="eastAsia"/>
                <w:bCs/>
                <w:szCs w:val="21"/>
              </w:rPr>
              <w:instrText xml:space="preserve">= 1 \* GB3</w:instrText>
            </w:r>
            <w:r>
              <w:rPr>
                <w:bCs/>
                <w:szCs w:val="21"/>
              </w:rPr>
              <w:instrText xml:space="preserve"> </w:instrText>
            </w:r>
            <w:r>
              <w:rPr>
                <w:bCs/>
                <w:szCs w:val="21"/>
              </w:rPr>
              <w:fldChar w:fldCharType="separate"/>
            </w:r>
            <w:r>
              <w:rPr>
                <w:rFonts w:hint="eastAsia"/>
                <w:bCs/>
                <w:szCs w:val="21"/>
              </w:rPr>
              <w:t>①</w:t>
            </w:r>
            <w:r>
              <w:rPr>
                <w:bCs/>
                <w:szCs w:val="21"/>
              </w:rPr>
              <w:fldChar w:fldCharType="end"/>
            </w:r>
            <w:r>
              <w:rPr>
                <w:bCs/>
                <w:szCs w:val="21"/>
              </w:rPr>
              <w:t>钻井岩屑</w:t>
            </w:r>
          </w:p>
          <w:p>
            <w:pPr>
              <w:autoSpaceDE w:val="0"/>
              <w:autoSpaceDN w:val="0"/>
              <w:spacing w:line="360" w:lineRule="auto"/>
              <w:ind w:firstLine="420" w:firstLineChars="200"/>
              <w:rPr>
                <w:szCs w:val="21"/>
              </w:rPr>
            </w:pPr>
            <w:r>
              <w:rPr>
                <w:szCs w:val="21"/>
              </w:rPr>
              <w:t>钻井岩屑是在钻井过程中钻头切削地层岩石而产生的碎屑，其产生量与井眼长度、平均井径有关。根据本项目钻井阶段各开次进尺、钻头尺寸，并取一定的容积扩大倍数（清水和水基钻井取2.5倍）。</w:t>
            </w:r>
          </w:p>
          <w:p>
            <w:pPr>
              <w:autoSpaceDE w:val="0"/>
              <w:autoSpaceDN w:val="0"/>
              <w:spacing w:line="360" w:lineRule="auto"/>
              <w:ind w:firstLine="420" w:firstLineChars="200"/>
              <w:rPr>
                <w:szCs w:val="21"/>
              </w:rPr>
            </w:pPr>
            <w:r>
              <w:rPr>
                <w:szCs w:val="21"/>
              </w:rPr>
              <w:t>计算</w:t>
            </w:r>
            <w:r>
              <w:rPr>
                <w:rFonts w:hint="eastAsia"/>
                <w:color w:val="FF0000"/>
                <w:szCs w:val="21"/>
              </w:rPr>
              <w:t>公式</w:t>
            </w:r>
            <w:r>
              <w:rPr>
                <w:szCs w:val="21"/>
              </w:rPr>
              <w:t>如下：</w:t>
            </w:r>
          </w:p>
          <w:p>
            <w:pPr>
              <w:pStyle w:val="251"/>
              <w:ind w:firstLine="420"/>
              <w:jc w:val="center"/>
              <w:rPr>
                <w:sz w:val="21"/>
                <w:szCs w:val="21"/>
              </w:rPr>
            </w:pPr>
            <w:r>
              <w:rPr>
                <w:sz w:val="21"/>
                <w:szCs w:val="21"/>
              </w:rPr>
              <w:t>V</w:t>
            </w:r>
            <w:r>
              <w:rPr>
                <w:sz w:val="21"/>
                <w:szCs w:val="21"/>
                <w:vertAlign w:val="subscript"/>
              </w:rPr>
              <w:t>清水</w:t>
            </w:r>
            <w:r>
              <w:rPr>
                <w:sz w:val="21"/>
                <w:szCs w:val="21"/>
              </w:rPr>
              <w:t>=π×r</w:t>
            </w:r>
            <w:r>
              <w:rPr>
                <w:sz w:val="21"/>
                <w:szCs w:val="21"/>
                <w:vertAlign w:val="subscript"/>
              </w:rPr>
              <w:t>1</w:t>
            </w:r>
            <w:r>
              <w:rPr>
                <w:sz w:val="21"/>
                <w:szCs w:val="21"/>
                <w:vertAlign w:val="superscript"/>
              </w:rPr>
              <w:t>2</w:t>
            </w:r>
            <w:r>
              <w:rPr>
                <w:sz w:val="21"/>
                <w:szCs w:val="21"/>
              </w:rPr>
              <w:t>×d</w:t>
            </w:r>
            <w:r>
              <w:rPr>
                <w:sz w:val="21"/>
                <w:szCs w:val="21"/>
                <w:vertAlign w:val="subscript"/>
              </w:rPr>
              <w:t>1</w:t>
            </w:r>
            <w:r>
              <w:rPr>
                <w:sz w:val="21"/>
                <w:szCs w:val="21"/>
              </w:rPr>
              <w:t>*2.5</w:t>
            </w:r>
          </w:p>
          <w:p>
            <w:pPr>
              <w:pStyle w:val="251"/>
              <w:ind w:firstLine="420"/>
              <w:jc w:val="center"/>
              <w:rPr>
                <w:sz w:val="21"/>
                <w:szCs w:val="21"/>
              </w:rPr>
            </w:pPr>
            <w:r>
              <w:rPr>
                <w:sz w:val="21"/>
                <w:szCs w:val="21"/>
              </w:rPr>
              <w:t>V</w:t>
            </w:r>
            <w:r>
              <w:rPr>
                <w:sz w:val="21"/>
                <w:szCs w:val="21"/>
                <w:vertAlign w:val="subscript"/>
              </w:rPr>
              <w:t>水基=</w:t>
            </w:r>
            <w:r>
              <w:rPr>
                <w:sz w:val="21"/>
                <w:szCs w:val="21"/>
              </w:rPr>
              <w:t>π×r</w:t>
            </w:r>
            <w:r>
              <w:rPr>
                <w:sz w:val="21"/>
                <w:szCs w:val="21"/>
                <w:vertAlign w:val="subscript"/>
              </w:rPr>
              <w:t>2</w:t>
            </w:r>
            <w:r>
              <w:rPr>
                <w:sz w:val="21"/>
                <w:szCs w:val="21"/>
                <w:vertAlign w:val="superscript"/>
              </w:rPr>
              <w:t>2</w:t>
            </w:r>
            <w:r>
              <w:rPr>
                <w:sz w:val="21"/>
                <w:szCs w:val="21"/>
              </w:rPr>
              <w:t>*d</w:t>
            </w:r>
            <w:r>
              <w:rPr>
                <w:sz w:val="21"/>
                <w:szCs w:val="21"/>
                <w:vertAlign w:val="subscript"/>
              </w:rPr>
              <w:t>2</w:t>
            </w:r>
            <w:r>
              <w:rPr>
                <w:sz w:val="21"/>
                <w:szCs w:val="21"/>
              </w:rPr>
              <w:t>×2.5</w:t>
            </w:r>
          </w:p>
          <w:p>
            <w:pPr>
              <w:pStyle w:val="251"/>
              <w:ind w:firstLine="420"/>
              <w:rPr>
                <w:sz w:val="21"/>
                <w:szCs w:val="21"/>
              </w:rPr>
            </w:pPr>
            <w:r>
              <w:rPr>
                <w:sz w:val="21"/>
                <w:szCs w:val="21"/>
              </w:rPr>
              <w:t>式中：</w:t>
            </w:r>
          </w:p>
          <w:p>
            <w:pPr>
              <w:pStyle w:val="251"/>
              <w:ind w:firstLine="1050" w:firstLineChars="500"/>
              <w:rPr>
                <w:sz w:val="21"/>
                <w:szCs w:val="21"/>
              </w:rPr>
            </w:pPr>
            <w:r>
              <w:rPr>
                <w:sz w:val="21"/>
                <w:szCs w:val="21"/>
              </w:rPr>
              <w:t>r—各阶段钻头尺寸半径；</w:t>
            </w:r>
          </w:p>
          <w:p>
            <w:pPr>
              <w:pStyle w:val="251"/>
              <w:ind w:firstLine="1050" w:firstLineChars="500"/>
              <w:rPr>
                <w:sz w:val="21"/>
                <w:szCs w:val="21"/>
              </w:rPr>
            </w:pPr>
            <w:r>
              <w:rPr>
                <w:sz w:val="21"/>
                <w:szCs w:val="21"/>
              </w:rPr>
              <w:t>d—各阶段长度；</w:t>
            </w:r>
          </w:p>
          <w:p>
            <w:pPr>
              <w:spacing w:line="360" w:lineRule="auto"/>
              <w:ind w:firstLine="420" w:firstLineChars="200"/>
              <w:rPr>
                <w:szCs w:val="21"/>
              </w:rPr>
            </w:pPr>
            <w:r>
              <w:rPr>
                <w:szCs w:val="21"/>
              </w:rPr>
              <w:t>本项目钻井岩屑产生量见表4-12。</w:t>
            </w:r>
          </w:p>
          <w:p>
            <w:pPr>
              <w:pStyle w:val="19"/>
              <w:tabs>
                <w:tab w:val="left" w:pos="0"/>
                <w:tab w:val="left" w:pos="833"/>
              </w:tabs>
              <w:spacing w:before="0" w:after="0" w:line="360" w:lineRule="auto"/>
              <w:ind w:left="840" w:right="0"/>
              <w:jc w:val="center"/>
              <w:rPr>
                <w:b/>
                <w:bCs/>
                <w:sz w:val="21"/>
                <w:szCs w:val="21"/>
              </w:rPr>
            </w:pPr>
            <w:r>
              <w:rPr>
                <w:rFonts w:hint="eastAsia"/>
                <w:b/>
                <w:bCs/>
                <w:sz w:val="21"/>
                <w:szCs w:val="21"/>
              </w:rPr>
              <w:t>表4</w:t>
            </w:r>
            <w:r>
              <w:rPr>
                <w:b/>
                <w:bCs/>
                <w:sz w:val="21"/>
                <w:szCs w:val="21"/>
              </w:rPr>
              <w:t>-12 钻井岩屑计算参数一览表</w:t>
            </w:r>
          </w:p>
          <w:tbl>
            <w:tblPr>
              <w:tblStyle w:val="4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9"/>
              <w:gridCol w:w="1134"/>
              <w:gridCol w:w="2692"/>
              <w:gridCol w:w="27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58" w:type="pct"/>
                  <w:vAlign w:val="center"/>
                </w:tcPr>
                <w:p>
                  <w:pPr>
                    <w:pStyle w:val="19"/>
                    <w:spacing w:before="0" w:after="0" w:line="240" w:lineRule="auto"/>
                    <w:ind w:right="0"/>
                    <w:jc w:val="center"/>
                    <w:rPr>
                      <w:sz w:val="21"/>
                      <w:szCs w:val="21"/>
                    </w:rPr>
                  </w:pPr>
                  <w:r>
                    <w:rPr>
                      <w:sz w:val="21"/>
                      <w:szCs w:val="21"/>
                    </w:rPr>
                    <w:t>开次</w:t>
                  </w:r>
                </w:p>
              </w:tc>
              <w:tc>
                <w:tcPr>
                  <w:tcW w:w="697" w:type="pct"/>
                  <w:vAlign w:val="center"/>
                </w:tcPr>
                <w:p>
                  <w:pPr>
                    <w:pStyle w:val="19"/>
                    <w:spacing w:before="0" w:after="0" w:line="240" w:lineRule="auto"/>
                    <w:ind w:right="0"/>
                    <w:jc w:val="center"/>
                    <w:rPr>
                      <w:sz w:val="21"/>
                      <w:szCs w:val="21"/>
                    </w:rPr>
                  </w:pPr>
                  <w:r>
                    <w:rPr>
                      <w:sz w:val="21"/>
                      <w:szCs w:val="21"/>
                    </w:rPr>
                    <w:t>钻头尺寸（mm）</w:t>
                  </w:r>
                </w:p>
              </w:tc>
              <w:tc>
                <w:tcPr>
                  <w:tcW w:w="1654" w:type="pct"/>
                  <w:vAlign w:val="center"/>
                </w:tcPr>
                <w:p>
                  <w:pPr>
                    <w:pStyle w:val="19"/>
                    <w:spacing w:before="0" w:after="0" w:line="240" w:lineRule="auto"/>
                    <w:ind w:right="0"/>
                    <w:jc w:val="center"/>
                    <w:rPr>
                      <w:sz w:val="21"/>
                      <w:szCs w:val="21"/>
                    </w:rPr>
                  </w:pPr>
                  <w:r>
                    <w:rPr>
                      <w:sz w:val="21"/>
                      <w:szCs w:val="21"/>
                    </w:rPr>
                    <w:t>进尺（m）</w:t>
                  </w:r>
                </w:p>
              </w:tc>
              <w:tc>
                <w:tcPr>
                  <w:tcW w:w="1691" w:type="pct"/>
                  <w:vAlign w:val="center"/>
                </w:tcPr>
                <w:p>
                  <w:pPr>
                    <w:pStyle w:val="19"/>
                    <w:spacing w:before="0" w:after="0" w:line="240" w:lineRule="auto"/>
                    <w:ind w:right="0"/>
                    <w:jc w:val="center"/>
                    <w:rPr>
                      <w:sz w:val="21"/>
                      <w:szCs w:val="21"/>
                    </w:rPr>
                  </w:pPr>
                  <w:r>
                    <w:rPr>
                      <w:sz w:val="21"/>
                      <w:szCs w:val="21"/>
                    </w:rPr>
                    <w:t>计算值（m</w:t>
                  </w:r>
                  <w:r>
                    <w:rPr>
                      <w:sz w:val="21"/>
                      <w:szCs w:val="21"/>
                      <w:vertAlign w:val="superscript"/>
                    </w:rPr>
                    <w:t>3</w:t>
                  </w:r>
                  <w:r>
                    <w:rPr>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58" w:type="pct"/>
                  <w:vAlign w:val="center"/>
                </w:tcPr>
                <w:p>
                  <w:pPr>
                    <w:pStyle w:val="19"/>
                    <w:spacing w:before="0" w:after="0" w:line="240" w:lineRule="auto"/>
                    <w:ind w:right="0"/>
                    <w:jc w:val="center"/>
                    <w:rPr>
                      <w:sz w:val="21"/>
                      <w:szCs w:val="21"/>
                    </w:rPr>
                  </w:pPr>
                  <w:r>
                    <w:rPr>
                      <w:sz w:val="21"/>
                      <w:szCs w:val="21"/>
                    </w:rPr>
                    <w:t>导管段</w:t>
                  </w:r>
                </w:p>
              </w:tc>
              <w:tc>
                <w:tcPr>
                  <w:tcW w:w="697" w:type="pct"/>
                  <w:vAlign w:val="center"/>
                </w:tcPr>
                <w:p>
                  <w:pPr>
                    <w:pStyle w:val="19"/>
                    <w:spacing w:before="0" w:after="0" w:line="240" w:lineRule="auto"/>
                    <w:ind w:right="0"/>
                    <w:jc w:val="center"/>
                    <w:rPr>
                      <w:sz w:val="21"/>
                      <w:szCs w:val="21"/>
                    </w:rPr>
                  </w:pPr>
                  <w:r>
                    <w:rPr>
                      <w:rFonts w:hint="eastAsia"/>
                      <w:sz w:val="21"/>
                      <w:szCs w:val="21"/>
                    </w:rPr>
                    <w:t>660.4</w:t>
                  </w:r>
                </w:p>
              </w:tc>
              <w:tc>
                <w:tcPr>
                  <w:tcW w:w="1654" w:type="pct"/>
                  <w:vAlign w:val="center"/>
                </w:tcPr>
                <w:p>
                  <w:pPr>
                    <w:pStyle w:val="19"/>
                    <w:spacing w:before="0" w:after="0" w:line="240" w:lineRule="auto"/>
                    <w:ind w:right="0"/>
                    <w:jc w:val="center"/>
                    <w:rPr>
                      <w:sz w:val="21"/>
                      <w:szCs w:val="21"/>
                    </w:rPr>
                  </w:pPr>
                  <w:r>
                    <w:rPr>
                      <w:sz w:val="21"/>
                      <w:szCs w:val="21"/>
                    </w:rPr>
                    <w:t>30</w:t>
                  </w:r>
                </w:p>
              </w:tc>
              <w:tc>
                <w:tcPr>
                  <w:tcW w:w="1691" w:type="pct"/>
                  <w:vAlign w:val="center"/>
                </w:tcPr>
                <w:p>
                  <w:pPr>
                    <w:widowControl/>
                    <w:jc w:val="center"/>
                    <w:rPr>
                      <w:rFonts w:eastAsia="等线"/>
                      <w:kern w:val="0"/>
                      <w:szCs w:val="21"/>
                    </w:rPr>
                  </w:pPr>
                  <w:r>
                    <w:rPr>
                      <w:rFonts w:eastAsia="等线"/>
                      <w:sz w:val="19"/>
                      <w:szCs w:val="19"/>
                    </w:rPr>
                    <w:t>25.68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58" w:type="pct"/>
                  <w:vAlign w:val="center"/>
                </w:tcPr>
                <w:p>
                  <w:pPr>
                    <w:pStyle w:val="19"/>
                    <w:spacing w:before="0" w:after="0" w:line="240" w:lineRule="auto"/>
                    <w:ind w:right="0"/>
                    <w:jc w:val="center"/>
                    <w:rPr>
                      <w:sz w:val="21"/>
                      <w:szCs w:val="21"/>
                    </w:rPr>
                  </w:pPr>
                  <w:r>
                    <w:rPr>
                      <w:sz w:val="21"/>
                      <w:szCs w:val="21"/>
                    </w:rPr>
                    <w:t>一开</w:t>
                  </w:r>
                </w:p>
              </w:tc>
              <w:tc>
                <w:tcPr>
                  <w:tcW w:w="697" w:type="pct"/>
                  <w:vAlign w:val="center"/>
                </w:tcPr>
                <w:p>
                  <w:pPr>
                    <w:pStyle w:val="19"/>
                    <w:spacing w:before="0" w:after="0" w:line="240" w:lineRule="auto"/>
                    <w:ind w:right="0"/>
                    <w:jc w:val="center"/>
                    <w:rPr>
                      <w:sz w:val="21"/>
                      <w:szCs w:val="21"/>
                    </w:rPr>
                  </w:pPr>
                  <w:r>
                    <w:rPr>
                      <w:rFonts w:hint="eastAsia"/>
                      <w:sz w:val="21"/>
                      <w:szCs w:val="21"/>
                    </w:rPr>
                    <w:t>406.4</w:t>
                  </w:r>
                </w:p>
              </w:tc>
              <w:tc>
                <w:tcPr>
                  <w:tcW w:w="1654" w:type="pct"/>
                  <w:vAlign w:val="center"/>
                </w:tcPr>
                <w:p>
                  <w:pPr>
                    <w:pStyle w:val="19"/>
                    <w:spacing w:before="0" w:after="0" w:line="240" w:lineRule="auto"/>
                    <w:ind w:right="0"/>
                    <w:jc w:val="center"/>
                    <w:rPr>
                      <w:sz w:val="21"/>
                      <w:szCs w:val="21"/>
                    </w:rPr>
                  </w:pPr>
                  <w:r>
                    <w:rPr>
                      <w:rFonts w:eastAsia="等线"/>
                      <w:sz w:val="21"/>
                      <w:szCs w:val="21"/>
                    </w:rPr>
                    <w:t>270</w:t>
                  </w:r>
                </w:p>
              </w:tc>
              <w:tc>
                <w:tcPr>
                  <w:tcW w:w="1691" w:type="pct"/>
                  <w:vAlign w:val="center"/>
                </w:tcPr>
                <w:p>
                  <w:pPr>
                    <w:jc w:val="center"/>
                    <w:rPr>
                      <w:rFonts w:eastAsia="等线"/>
                      <w:szCs w:val="21"/>
                    </w:rPr>
                  </w:pPr>
                  <w:r>
                    <w:rPr>
                      <w:rFonts w:eastAsia="等线"/>
                      <w:sz w:val="19"/>
                      <w:szCs w:val="19"/>
                    </w:rPr>
                    <w:t>87.51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58" w:type="pct"/>
                  <w:vAlign w:val="center"/>
                </w:tcPr>
                <w:p>
                  <w:pPr>
                    <w:pStyle w:val="19"/>
                    <w:spacing w:before="0" w:after="0" w:line="240" w:lineRule="auto"/>
                    <w:ind w:right="0"/>
                    <w:jc w:val="center"/>
                    <w:rPr>
                      <w:sz w:val="21"/>
                      <w:szCs w:val="21"/>
                    </w:rPr>
                  </w:pPr>
                  <w:r>
                    <w:rPr>
                      <w:sz w:val="21"/>
                      <w:szCs w:val="21"/>
                    </w:rPr>
                    <w:t>二开</w:t>
                  </w:r>
                </w:p>
              </w:tc>
              <w:tc>
                <w:tcPr>
                  <w:tcW w:w="697" w:type="pct"/>
                  <w:vAlign w:val="center"/>
                </w:tcPr>
                <w:p>
                  <w:pPr>
                    <w:pStyle w:val="19"/>
                    <w:spacing w:before="0" w:after="0" w:line="240" w:lineRule="auto"/>
                    <w:ind w:right="0"/>
                    <w:jc w:val="center"/>
                    <w:rPr>
                      <w:sz w:val="21"/>
                      <w:szCs w:val="21"/>
                    </w:rPr>
                  </w:pPr>
                  <w:r>
                    <w:rPr>
                      <w:rFonts w:hint="eastAsia"/>
                      <w:sz w:val="21"/>
                      <w:szCs w:val="21"/>
                    </w:rPr>
                    <w:t>311.2</w:t>
                  </w:r>
                </w:p>
              </w:tc>
              <w:tc>
                <w:tcPr>
                  <w:tcW w:w="1654" w:type="pct"/>
                  <w:vAlign w:val="center"/>
                </w:tcPr>
                <w:p>
                  <w:pPr>
                    <w:pStyle w:val="19"/>
                    <w:spacing w:before="0" w:after="0" w:line="240" w:lineRule="auto"/>
                    <w:ind w:right="0"/>
                    <w:jc w:val="center"/>
                    <w:rPr>
                      <w:sz w:val="21"/>
                      <w:szCs w:val="21"/>
                    </w:rPr>
                  </w:pPr>
                  <w:r>
                    <w:rPr>
                      <w:rFonts w:eastAsia="等线"/>
                      <w:sz w:val="21"/>
                      <w:szCs w:val="21"/>
                    </w:rPr>
                    <w:t>2587</w:t>
                  </w:r>
                </w:p>
              </w:tc>
              <w:tc>
                <w:tcPr>
                  <w:tcW w:w="1691" w:type="pct"/>
                  <w:vAlign w:val="center"/>
                </w:tcPr>
                <w:p>
                  <w:pPr>
                    <w:jc w:val="center"/>
                    <w:rPr>
                      <w:rFonts w:eastAsia="等线"/>
                      <w:szCs w:val="21"/>
                    </w:rPr>
                  </w:pPr>
                  <w:r>
                    <w:rPr>
                      <w:rFonts w:eastAsia="等线"/>
                      <w:sz w:val="19"/>
                      <w:szCs w:val="19"/>
                    </w:rPr>
                    <w:t xml:space="preserve">491.68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58" w:type="pct"/>
                  <w:vAlign w:val="center"/>
                </w:tcPr>
                <w:p>
                  <w:pPr>
                    <w:pStyle w:val="19"/>
                    <w:spacing w:before="0" w:after="0" w:line="240" w:lineRule="auto"/>
                    <w:ind w:right="0"/>
                    <w:jc w:val="center"/>
                    <w:rPr>
                      <w:sz w:val="21"/>
                      <w:szCs w:val="21"/>
                    </w:rPr>
                  </w:pPr>
                  <w:r>
                    <w:rPr>
                      <w:sz w:val="21"/>
                      <w:szCs w:val="21"/>
                    </w:rPr>
                    <w:t>三开</w:t>
                  </w:r>
                </w:p>
              </w:tc>
              <w:tc>
                <w:tcPr>
                  <w:tcW w:w="697" w:type="pct"/>
                  <w:vAlign w:val="center"/>
                </w:tcPr>
                <w:p>
                  <w:pPr>
                    <w:pStyle w:val="19"/>
                    <w:spacing w:before="0" w:after="0" w:line="240" w:lineRule="auto"/>
                    <w:ind w:right="0"/>
                    <w:jc w:val="center"/>
                    <w:rPr>
                      <w:sz w:val="21"/>
                      <w:szCs w:val="21"/>
                    </w:rPr>
                  </w:pPr>
                  <w:r>
                    <w:rPr>
                      <w:rFonts w:hint="eastAsia"/>
                      <w:sz w:val="21"/>
                      <w:szCs w:val="21"/>
                    </w:rPr>
                    <w:t>215.9</w:t>
                  </w:r>
                </w:p>
              </w:tc>
              <w:tc>
                <w:tcPr>
                  <w:tcW w:w="1654" w:type="pct"/>
                  <w:vAlign w:val="center"/>
                </w:tcPr>
                <w:p>
                  <w:pPr>
                    <w:pStyle w:val="19"/>
                    <w:spacing w:before="0" w:after="0" w:line="240" w:lineRule="auto"/>
                    <w:ind w:right="0"/>
                    <w:jc w:val="center"/>
                    <w:rPr>
                      <w:sz w:val="21"/>
                      <w:szCs w:val="21"/>
                    </w:rPr>
                  </w:pPr>
                  <w:r>
                    <w:rPr>
                      <w:rFonts w:eastAsia="等线"/>
                      <w:sz w:val="21"/>
                      <w:szCs w:val="21"/>
                    </w:rPr>
                    <w:t>1500</w:t>
                  </w:r>
                </w:p>
              </w:tc>
              <w:tc>
                <w:tcPr>
                  <w:tcW w:w="1691" w:type="pct"/>
                  <w:vAlign w:val="center"/>
                </w:tcPr>
                <w:p>
                  <w:pPr>
                    <w:jc w:val="center"/>
                    <w:rPr>
                      <w:rFonts w:eastAsia="等线"/>
                      <w:szCs w:val="21"/>
                    </w:rPr>
                  </w:pPr>
                  <w:r>
                    <w:rPr>
                      <w:rFonts w:eastAsia="等线"/>
                      <w:sz w:val="19"/>
                      <w:szCs w:val="19"/>
                    </w:rPr>
                    <w:t xml:space="preserve">192.10 </w:t>
                  </w:r>
                </w:p>
              </w:tc>
            </w:tr>
          </w:tbl>
          <w:p>
            <w:pPr>
              <w:pStyle w:val="19"/>
              <w:tabs>
                <w:tab w:val="left" w:pos="0"/>
                <w:tab w:val="left" w:pos="833"/>
              </w:tabs>
              <w:spacing w:before="0" w:after="0" w:line="360" w:lineRule="auto"/>
              <w:ind w:left="840" w:right="0"/>
              <w:rPr>
                <w:b/>
                <w:bCs/>
                <w:sz w:val="21"/>
                <w:szCs w:val="21"/>
              </w:rPr>
            </w:pPr>
          </w:p>
          <w:p>
            <w:pPr>
              <w:pStyle w:val="19"/>
              <w:tabs>
                <w:tab w:val="left" w:pos="0"/>
                <w:tab w:val="left" w:pos="833"/>
              </w:tabs>
              <w:spacing w:before="0" w:after="0" w:line="360" w:lineRule="auto"/>
              <w:ind w:left="840" w:right="0"/>
              <w:jc w:val="center"/>
              <w:rPr>
                <w:b/>
                <w:bCs/>
                <w:sz w:val="21"/>
                <w:szCs w:val="21"/>
              </w:rPr>
            </w:pPr>
            <w:r>
              <w:rPr>
                <w:rFonts w:hint="eastAsia"/>
                <w:b/>
                <w:bCs/>
                <w:sz w:val="21"/>
                <w:szCs w:val="21"/>
              </w:rPr>
              <w:t>表4</w:t>
            </w:r>
            <w:r>
              <w:rPr>
                <w:b/>
                <w:bCs/>
                <w:sz w:val="21"/>
                <w:szCs w:val="21"/>
              </w:rPr>
              <w:t>-13  钻井岩屑产生及处置情况表</w:t>
            </w:r>
          </w:p>
          <w:tbl>
            <w:tblPr>
              <w:tblStyle w:val="4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4"/>
              <w:gridCol w:w="1089"/>
              <w:gridCol w:w="4537"/>
              <w:gridCol w:w="15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605" w:type="pct"/>
                  <w:vAlign w:val="center"/>
                </w:tcPr>
                <w:p>
                  <w:pPr>
                    <w:jc w:val="center"/>
                    <w:rPr>
                      <w:szCs w:val="21"/>
                    </w:rPr>
                  </w:pPr>
                  <w:r>
                    <w:rPr>
                      <w:szCs w:val="21"/>
                    </w:rPr>
                    <w:t>岩屑类别</w:t>
                  </w:r>
                </w:p>
              </w:tc>
              <w:tc>
                <w:tcPr>
                  <w:tcW w:w="669" w:type="pct"/>
                  <w:vAlign w:val="center"/>
                </w:tcPr>
                <w:p>
                  <w:pPr>
                    <w:jc w:val="center"/>
                    <w:rPr>
                      <w:szCs w:val="21"/>
                    </w:rPr>
                  </w:pPr>
                  <w:r>
                    <w:rPr>
                      <w:szCs w:val="21"/>
                    </w:rPr>
                    <w:t>产生量（m</w:t>
                  </w:r>
                  <w:r>
                    <w:rPr>
                      <w:szCs w:val="21"/>
                      <w:vertAlign w:val="superscript"/>
                    </w:rPr>
                    <w:t>3</w:t>
                  </w:r>
                  <w:r>
                    <w:rPr>
                      <w:szCs w:val="21"/>
                    </w:rPr>
                    <w:t>）</w:t>
                  </w:r>
                </w:p>
              </w:tc>
              <w:tc>
                <w:tcPr>
                  <w:tcW w:w="2788" w:type="pct"/>
                  <w:vAlign w:val="center"/>
                </w:tcPr>
                <w:p>
                  <w:pPr>
                    <w:jc w:val="center"/>
                    <w:rPr>
                      <w:szCs w:val="21"/>
                    </w:rPr>
                  </w:pPr>
                  <w:r>
                    <w:rPr>
                      <w:szCs w:val="21"/>
                    </w:rPr>
                    <w:t>处置去向</w:t>
                  </w:r>
                </w:p>
              </w:tc>
              <w:tc>
                <w:tcPr>
                  <w:tcW w:w="939" w:type="pct"/>
                  <w:vAlign w:val="center"/>
                </w:tcPr>
                <w:p>
                  <w:pPr>
                    <w:jc w:val="center"/>
                    <w:rPr>
                      <w:szCs w:val="21"/>
                    </w:rPr>
                  </w:pPr>
                  <w:r>
                    <w:rPr>
                      <w:szCs w:val="21"/>
                    </w:rPr>
                    <w:t>类别及代码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05" w:type="pct"/>
                  <w:vAlign w:val="center"/>
                </w:tcPr>
                <w:p>
                  <w:pPr>
                    <w:jc w:val="center"/>
                    <w:rPr>
                      <w:szCs w:val="21"/>
                    </w:rPr>
                  </w:pPr>
                  <w:r>
                    <w:rPr>
                      <w:szCs w:val="21"/>
                    </w:rPr>
                    <w:t>清水岩屑</w:t>
                  </w:r>
                </w:p>
              </w:tc>
              <w:tc>
                <w:tcPr>
                  <w:tcW w:w="669" w:type="pct"/>
                  <w:vAlign w:val="center"/>
                </w:tcPr>
                <w:p>
                  <w:pPr>
                    <w:widowControl/>
                    <w:jc w:val="center"/>
                    <w:rPr>
                      <w:kern w:val="0"/>
                      <w:szCs w:val="21"/>
                    </w:rPr>
                  </w:pPr>
                  <w:r>
                    <w:rPr>
                      <w:rFonts w:eastAsia="等线"/>
                      <w:szCs w:val="21"/>
                    </w:rPr>
                    <w:t>25.68</w:t>
                  </w:r>
                </w:p>
              </w:tc>
              <w:tc>
                <w:tcPr>
                  <w:tcW w:w="2788" w:type="pct"/>
                  <w:vMerge w:val="restart"/>
                  <w:vAlign w:val="center"/>
                </w:tcPr>
                <w:p>
                  <w:pPr>
                    <w:jc w:val="center"/>
                    <w:rPr>
                      <w:szCs w:val="21"/>
                    </w:rPr>
                  </w:pPr>
                  <w:bookmarkStart w:id="30" w:name="_Hlk78230171"/>
                  <w:r>
                    <w:rPr>
                      <w:szCs w:val="21"/>
                    </w:rPr>
                    <w:t>清水岩屑、水基岩屑经清洁化生产平台收集后</w:t>
                  </w:r>
                  <w:bookmarkEnd w:id="30"/>
                  <w:r>
                    <w:rPr>
                      <w:szCs w:val="21"/>
                    </w:rPr>
                    <w:t>就近交给依法取得生态环境部门关于利用和处置相关工业固体废物项目环评批复、具有处理处置相应固体废物能力并配套建设有废气、废水、固废等污染物治理设施的单位进行资源化利用。</w:t>
                  </w:r>
                </w:p>
              </w:tc>
              <w:tc>
                <w:tcPr>
                  <w:tcW w:w="939" w:type="pct"/>
                  <w:vAlign w:val="center"/>
                </w:tcPr>
                <w:p>
                  <w:pPr>
                    <w:jc w:val="center"/>
                    <w:rPr>
                      <w:szCs w:val="21"/>
                    </w:rPr>
                  </w:pPr>
                  <w:r>
                    <w:rPr>
                      <w:szCs w:val="21"/>
                    </w:rPr>
                    <w:t>其他废物，99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05" w:type="pct"/>
                  <w:vAlign w:val="center"/>
                </w:tcPr>
                <w:p>
                  <w:pPr>
                    <w:jc w:val="center"/>
                    <w:rPr>
                      <w:szCs w:val="21"/>
                    </w:rPr>
                  </w:pPr>
                  <w:r>
                    <w:rPr>
                      <w:szCs w:val="21"/>
                    </w:rPr>
                    <w:t>水基岩屑</w:t>
                  </w:r>
                </w:p>
              </w:tc>
              <w:tc>
                <w:tcPr>
                  <w:tcW w:w="669" w:type="pct"/>
                  <w:vAlign w:val="center"/>
                </w:tcPr>
                <w:p>
                  <w:pPr>
                    <w:jc w:val="center"/>
                    <w:rPr>
                      <w:szCs w:val="21"/>
                    </w:rPr>
                  </w:pPr>
                  <w:r>
                    <w:rPr>
                      <w:rFonts w:hint="eastAsia"/>
                      <w:szCs w:val="21"/>
                    </w:rPr>
                    <w:t>771.30</w:t>
                  </w:r>
                </w:p>
              </w:tc>
              <w:tc>
                <w:tcPr>
                  <w:tcW w:w="2788" w:type="pct"/>
                  <w:vMerge w:val="continue"/>
                  <w:vAlign w:val="center"/>
                </w:tcPr>
                <w:p>
                  <w:pPr>
                    <w:jc w:val="center"/>
                    <w:rPr>
                      <w:szCs w:val="21"/>
                    </w:rPr>
                  </w:pPr>
                </w:p>
              </w:tc>
              <w:tc>
                <w:tcPr>
                  <w:tcW w:w="939" w:type="pct"/>
                  <w:vAlign w:val="center"/>
                </w:tcPr>
                <w:p>
                  <w:pPr>
                    <w:jc w:val="center"/>
                    <w:rPr>
                      <w:szCs w:val="21"/>
                    </w:rPr>
                  </w:pPr>
                  <w:r>
                    <w:rPr>
                      <w:szCs w:val="21"/>
                    </w:rPr>
                    <w:t>其他废物，99</w:t>
                  </w:r>
                </w:p>
              </w:tc>
            </w:tr>
          </w:tbl>
          <w:p>
            <w:pPr>
              <w:autoSpaceDE w:val="0"/>
              <w:autoSpaceDN w:val="0"/>
              <w:spacing w:line="360" w:lineRule="auto"/>
              <w:ind w:firstLine="420" w:firstLineChars="200"/>
              <w:jc w:val="left"/>
              <w:rPr>
                <w:bCs/>
                <w:kern w:val="0"/>
                <w:szCs w:val="21"/>
              </w:rPr>
            </w:pPr>
          </w:p>
          <w:p>
            <w:pPr>
              <w:autoSpaceDE w:val="0"/>
              <w:autoSpaceDN w:val="0"/>
              <w:spacing w:line="360" w:lineRule="auto"/>
              <w:ind w:firstLine="420" w:firstLineChars="200"/>
              <w:jc w:val="left"/>
              <w:rPr>
                <w:bCs/>
                <w:kern w:val="0"/>
                <w:szCs w:val="21"/>
              </w:rPr>
            </w:pPr>
            <w:r>
              <w:rPr>
                <w:bCs/>
                <w:kern w:val="0"/>
                <w:szCs w:val="21"/>
              </w:rPr>
              <w:fldChar w:fldCharType="begin"/>
            </w:r>
            <w:r>
              <w:rPr>
                <w:bCs/>
                <w:kern w:val="0"/>
                <w:szCs w:val="21"/>
              </w:rPr>
              <w:instrText xml:space="preserve"> </w:instrText>
            </w:r>
            <w:r>
              <w:rPr>
                <w:rFonts w:hint="eastAsia"/>
                <w:bCs/>
                <w:kern w:val="0"/>
                <w:szCs w:val="21"/>
              </w:rPr>
              <w:instrText xml:space="preserve">= 2 \* GB3</w:instrText>
            </w:r>
            <w:r>
              <w:rPr>
                <w:bCs/>
                <w:kern w:val="0"/>
                <w:szCs w:val="21"/>
              </w:rPr>
              <w:instrText xml:space="preserve"> </w:instrText>
            </w:r>
            <w:r>
              <w:rPr>
                <w:bCs/>
                <w:kern w:val="0"/>
                <w:szCs w:val="21"/>
              </w:rPr>
              <w:fldChar w:fldCharType="separate"/>
            </w:r>
            <w:r>
              <w:rPr>
                <w:rFonts w:hint="eastAsia"/>
                <w:bCs/>
                <w:kern w:val="0"/>
                <w:szCs w:val="21"/>
              </w:rPr>
              <w:t>②</w:t>
            </w:r>
            <w:r>
              <w:rPr>
                <w:bCs/>
                <w:kern w:val="0"/>
                <w:szCs w:val="21"/>
              </w:rPr>
              <w:fldChar w:fldCharType="end"/>
            </w:r>
            <w:r>
              <w:rPr>
                <w:bCs/>
                <w:kern w:val="0"/>
                <w:szCs w:val="21"/>
              </w:rPr>
              <w:t>废泥浆</w:t>
            </w:r>
          </w:p>
          <w:p>
            <w:pPr>
              <w:autoSpaceDE w:val="0"/>
              <w:autoSpaceDN w:val="0"/>
              <w:spacing w:line="360" w:lineRule="auto"/>
              <w:ind w:firstLine="420" w:firstLineChars="200"/>
              <w:rPr>
                <w:szCs w:val="21"/>
              </w:rPr>
            </w:pPr>
            <w:r>
              <w:rPr>
                <w:szCs w:val="21"/>
              </w:rPr>
              <w:t>废钻井泥浆主要是由黏土、钻屑、加重材料、化学添加剂、无机盐和油等组成的多相稳定悬浮液，pH值较高。导致环境污染的有害成分为油类、盐类、杀菌剂、化学添加剂，高分子有机化合物经生物降解后产生的低分子有机化合物和碱性物质。钻井过程中产生的废钻井泥浆主要来源于：</w:t>
            </w:r>
          </w:p>
          <w:p>
            <w:pPr>
              <w:autoSpaceDE w:val="0"/>
              <w:autoSpaceDN w:val="0"/>
              <w:spacing w:line="360" w:lineRule="auto"/>
              <w:ind w:firstLine="420" w:firstLineChars="200"/>
              <w:rPr>
                <w:szCs w:val="21"/>
              </w:rPr>
            </w:pPr>
            <w:r>
              <w:rPr>
                <w:szCs w:val="21"/>
              </w:rPr>
              <w:t>被更换的不适于钻井工程和地质要求的钻井泥浆；在钻井过程中，因部分性能不合格而被排放的钻井泥浆；完井时井筒内被清水替出的钻井泥浆；由钻井泥浆循环系统跑、冒、滴、漏而排出的钻井泥浆；钻屑与钻井液分离时，钻屑表面粘附的钻井液。</w:t>
            </w:r>
          </w:p>
          <w:p>
            <w:pPr>
              <w:autoSpaceDE w:val="0"/>
              <w:autoSpaceDN w:val="0"/>
              <w:spacing w:line="360" w:lineRule="auto"/>
              <w:ind w:firstLine="420" w:firstLineChars="200"/>
              <w:rPr>
                <w:szCs w:val="21"/>
              </w:rPr>
            </w:pPr>
            <w:r>
              <w:rPr>
                <w:szCs w:val="21"/>
              </w:rPr>
              <w:t>工程钻井过程中排砂管线排出的水基泥浆的回收利用率为90%以上，其余为废水基泥浆，核查《国家危险废物名录》（2021版），废水基泥浆不在该名录中规定的危险废物之列。根据设计，本项目水基钻井液使用量约为915m</w:t>
            </w:r>
            <w:r>
              <w:rPr>
                <w:szCs w:val="21"/>
                <w:vertAlign w:val="superscript"/>
              </w:rPr>
              <w:t>3</w:t>
            </w:r>
            <w:r>
              <w:rPr>
                <w:szCs w:val="21"/>
              </w:rPr>
              <w:t>，因此废水基泥浆量约为91.5m</w:t>
            </w:r>
            <w:r>
              <w:rPr>
                <w:szCs w:val="21"/>
                <w:vertAlign w:val="superscript"/>
              </w:rPr>
              <w:t>3</w:t>
            </w:r>
            <w:r>
              <w:rPr>
                <w:szCs w:val="21"/>
              </w:rPr>
              <w:t>，经循环罐收集后暂存于清洁生产操作平台，清洁生产操作平台已做重点防渗并设置有围堰，因此满足暂存要求，按照《达州市生态环境局办公室关于进一步加强固体废物污染防治工作的通知》（达市环办发〔2021〕24号）要求及时就近交由依法取得态环境部门关于利用和处置相关工业固体废物项目环评批复、具有处理处置相应固体废物能力并配套建设有废气、废水、固废等污染物治理设施的单位进行资源化利用。</w:t>
            </w:r>
          </w:p>
          <w:p>
            <w:pPr>
              <w:spacing w:line="360" w:lineRule="auto"/>
              <w:ind w:firstLine="420" w:firstLineChars="200"/>
              <w:rPr>
                <w:bCs/>
                <w:szCs w:val="21"/>
              </w:rPr>
            </w:pPr>
            <w:r>
              <w:rPr>
                <w:bCs/>
                <w:szCs w:val="21"/>
              </w:rPr>
              <w:fldChar w:fldCharType="begin"/>
            </w:r>
            <w:r>
              <w:rPr>
                <w:bCs/>
                <w:szCs w:val="21"/>
              </w:rPr>
              <w:instrText xml:space="preserve"> </w:instrText>
            </w:r>
            <w:r>
              <w:rPr>
                <w:rFonts w:hint="eastAsia"/>
                <w:bCs/>
                <w:szCs w:val="21"/>
              </w:rPr>
              <w:instrText xml:space="preserve">= 3 \* GB3</w:instrText>
            </w:r>
            <w:r>
              <w:rPr>
                <w:bCs/>
                <w:szCs w:val="21"/>
              </w:rPr>
              <w:instrText xml:space="preserve"> </w:instrText>
            </w:r>
            <w:r>
              <w:rPr>
                <w:bCs/>
                <w:szCs w:val="21"/>
              </w:rPr>
              <w:fldChar w:fldCharType="separate"/>
            </w:r>
            <w:r>
              <w:rPr>
                <w:rFonts w:hint="eastAsia"/>
                <w:bCs/>
                <w:szCs w:val="21"/>
              </w:rPr>
              <w:t>③</w:t>
            </w:r>
            <w:r>
              <w:rPr>
                <w:bCs/>
                <w:szCs w:val="21"/>
              </w:rPr>
              <w:fldChar w:fldCharType="end"/>
            </w:r>
            <w:r>
              <w:rPr>
                <w:bCs/>
                <w:szCs w:val="21"/>
              </w:rPr>
              <w:t>生活垃圾和包装材料</w:t>
            </w:r>
          </w:p>
          <w:p>
            <w:pPr>
              <w:spacing w:line="360" w:lineRule="auto"/>
              <w:ind w:firstLine="420" w:firstLineChars="200"/>
              <w:rPr>
                <w:szCs w:val="21"/>
              </w:rPr>
            </w:pPr>
            <w:r>
              <w:rPr>
                <w:szCs w:val="21"/>
              </w:rPr>
              <w:t>钻井期，生活垃圾按0.5kg/人•d计算，钻井人员40人，产生量约20kg/d（钻井期3个月，共1.8t）。均存放在井场区域和生活区垃圾箱内，定期外运当地环卫部门集中收集处置。废包装材料量较少，收集后全部回收利用。</w:t>
            </w:r>
          </w:p>
          <w:p>
            <w:pPr>
              <w:spacing w:line="360" w:lineRule="auto"/>
              <w:ind w:firstLine="420" w:firstLineChars="200"/>
              <w:rPr>
                <w:bCs/>
                <w:szCs w:val="21"/>
              </w:rPr>
            </w:pPr>
            <w:r>
              <w:rPr>
                <w:bCs/>
                <w:szCs w:val="21"/>
              </w:rPr>
              <w:fldChar w:fldCharType="begin"/>
            </w:r>
            <w:r>
              <w:rPr>
                <w:bCs/>
                <w:szCs w:val="21"/>
              </w:rPr>
              <w:instrText xml:space="preserve"> </w:instrText>
            </w:r>
            <w:r>
              <w:rPr>
                <w:rFonts w:hint="eastAsia"/>
                <w:bCs/>
                <w:szCs w:val="21"/>
              </w:rPr>
              <w:instrText xml:space="preserve">= 4 \* GB3</w:instrText>
            </w:r>
            <w:r>
              <w:rPr>
                <w:bCs/>
                <w:szCs w:val="21"/>
              </w:rPr>
              <w:instrText xml:space="preserve"> </w:instrText>
            </w:r>
            <w:r>
              <w:rPr>
                <w:bCs/>
                <w:szCs w:val="21"/>
              </w:rPr>
              <w:fldChar w:fldCharType="separate"/>
            </w:r>
            <w:r>
              <w:rPr>
                <w:rFonts w:hint="eastAsia"/>
                <w:bCs/>
                <w:szCs w:val="21"/>
              </w:rPr>
              <w:t>④</w:t>
            </w:r>
            <w:r>
              <w:rPr>
                <w:bCs/>
                <w:szCs w:val="21"/>
              </w:rPr>
              <w:fldChar w:fldCharType="end"/>
            </w:r>
            <w:r>
              <w:rPr>
                <w:bCs/>
                <w:szCs w:val="21"/>
              </w:rPr>
              <w:t>废油及废油桶</w:t>
            </w:r>
          </w:p>
          <w:p>
            <w:pPr>
              <w:spacing w:line="360" w:lineRule="auto"/>
              <w:ind w:firstLine="420" w:firstLineChars="200"/>
              <w:rPr>
                <w:szCs w:val="21"/>
              </w:rPr>
            </w:pPr>
            <w:r>
              <w:rPr>
                <w:szCs w:val="21"/>
              </w:rPr>
              <w:t>钻井过程中废油的主要来源有：机械（泥浆泵、转盘、链条等）润滑废油；液压控制管线泄漏的控制液，如液压大钳、封井器及液压表传压管线泄漏的控制液；清洗、保养产生的废油，如更换零部件和</w:t>
            </w:r>
            <w:r>
              <w:rPr>
                <w:rFonts w:hint="eastAsia"/>
                <w:color w:val="auto"/>
                <w:szCs w:val="21"/>
              </w:rPr>
              <w:t>清洗</w:t>
            </w:r>
            <w:r>
              <w:rPr>
                <w:szCs w:val="21"/>
              </w:rPr>
              <w:t>钻具、套管时产生的废油，本项目共产生量约0.5t，废油桶主要来源是废润滑油桶，均属于危险废物（HW08）。现场配备废油回收桶贮存于清洁生产操作平台内，清洁生产操作平台已做重点防渗并设置有围堰，因此满足暂存要求，采取防扬散、防流失、防渗漏或者其他防止污染环境的措施，设置围堰，完钻后交由有资质的单位处置。危险废物汇总表见下表。</w:t>
            </w:r>
          </w:p>
          <w:p>
            <w:pPr>
              <w:pStyle w:val="19"/>
              <w:tabs>
                <w:tab w:val="left" w:pos="0"/>
                <w:tab w:val="left" w:pos="833"/>
              </w:tabs>
              <w:spacing w:before="0" w:after="0" w:line="360" w:lineRule="auto"/>
              <w:ind w:left="840" w:right="0"/>
              <w:jc w:val="center"/>
              <w:rPr>
                <w:b/>
                <w:sz w:val="21"/>
                <w:szCs w:val="21"/>
              </w:rPr>
            </w:pPr>
            <w:r>
              <w:rPr>
                <w:rFonts w:hint="eastAsia"/>
                <w:b/>
                <w:sz w:val="21"/>
                <w:szCs w:val="21"/>
              </w:rPr>
              <w:t>表4</w:t>
            </w:r>
            <w:r>
              <w:rPr>
                <w:b/>
                <w:sz w:val="21"/>
                <w:szCs w:val="21"/>
              </w:rPr>
              <w:t>-14 危险废物统计表</w:t>
            </w:r>
          </w:p>
          <w:tbl>
            <w:tblPr>
              <w:tblStyle w:val="42"/>
              <w:tblW w:w="809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3"/>
              <w:gridCol w:w="738"/>
              <w:gridCol w:w="738"/>
              <w:gridCol w:w="590"/>
              <w:gridCol w:w="885"/>
              <w:gridCol w:w="443"/>
              <w:gridCol w:w="737"/>
              <w:gridCol w:w="738"/>
              <w:gridCol w:w="738"/>
              <w:gridCol w:w="738"/>
              <w:gridCol w:w="10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703" w:type="dxa"/>
                  <w:vAlign w:val="center"/>
                </w:tcPr>
                <w:p>
                  <w:pPr>
                    <w:jc w:val="center"/>
                    <w:rPr>
                      <w:szCs w:val="21"/>
                    </w:rPr>
                  </w:pPr>
                  <w:r>
                    <w:rPr>
                      <w:szCs w:val="21"/>
                    </w:rPr>
                    <w:t>危险废物名称</w:t>
                  </w:r>
                </w:p>
              </w:tc>
              <w:tc>
                <w:tcPr>
                  <w:tcW w:w="738" w:type="dxa"/>
                  <w:vAlign w:val="center"/>
                </w:tcPr>
                <w:p>
                  <w:pPr>
                    <w:jc w:val="center"/>
                    <w:rPr>
                      <w:szCs w:val="21"/>
                    </w:rPr>
                  </w:pPr>
                  <w:r>
                    <w:rPr>
                      <w:szCs w:val="21"/>
                    </w:rPr>
                    <w:t>危险废物类别</w:t>
                  </w:r>
                </w:p>
              </w:tc>
              <w:tc>
                <w:tcPr>
                  <w:tcW w:w="738" w:type="dxa"/>
                  <w:vAlign w:val="center"/>
                </w:tcPr>
                <w:p>
                  <w:pPr>
                    <w:jc w:val="center"/>
                    <w:rPr>
                      <w:szCs w:val="21"/>
                    </w:rPr>
                  </w:pPr>
                  <w:r>
                    <w:rPr>
                      <w:szCs w:val="21"/>
                    </w:rPr>
                    <w:t>危险废物代码</w:t>
                  </w:r>
                </w:p>
              </w:tc>
              <w:tc>
                <w:tcPr>
                  <w:tcW w:w="590" w:type="dxa"/>
                  <w:vAlign w:val="center"/>
                </w:tcPr>
                <w:p>
                  <w:pPr>
                    <w:jc w:val="center"/>
                    <w:rPr>
                      <w:szCs w:val="21"/>
                    </w:rPr>
                  </w:pPr>
                  <w:r>
                    <w:rPr>
                      <w:szCs w:val="21"/>
                    </w:rPr>
                    <w:t>产生量</w:t>
                  </w:r>
                </w:p>
              </w:tc>
              <w:tc>
                <w:tcPr>
                  <w:tcW w:w="885" w:type="dxa"/>
                  <w:vAlign w:val="center"/>
                </w:tcPr>
                <w:p>
                  <w:pPr>
                    <w:jc w:val="center"/>
                    <w:rPr>
                      <w:szCs w:val="21"/>
                    </w:rPr>
                  </w:pPr>
                  <w:r>
                    <w:rPr>
                      <w:szCs w:val="21"/>
                    </w:rPr>
                    <w:t>产生工段及装置</w:t>
                  </w:r>
                </w:p>
              </w:tc>
              <w:tc>
                <w:tcPr>
                  <w:tcW w:w="443" w:type="dxa"/>
                  <w:vAlign w:val="center"/>
                </w:tcPr>
                <w:p>
                  <w:pPr>
                    <w:jc w:val="center"/>
                    <w:rPr>
                      <w:szCs w:val="21"/>
                    </w:rPr>
                  </w:pPr>
                  <w:r>
                    <w:rPr>
                      <w:szCs w:val="21"/>
                    </w:rPr>
                    <w:t>形态</w:t>
                  </w:r>
                </w:p>
              </w:tc>
              <w:tc>
                <w:tcPr>
                  <w:tcW w:w="737" w:type="dxa"/>
                  <w:vAlign w:val="center"/>
                </w:tcPr>
                <w:p>
                  <w:pPr>
                    <w:jc w:val="center"/>
                    <w:rPr>
                      <w:szCs w:val="21"/>
                    </w:rPr>
                  </w:pPr>
                  <w:r>
                    <w:rPr>
                      <w:szCs w:val="21"/>
                    </w:rPr>
                    <w:t>主要成分</w:t>
                  </w:r>
                </w:p>
              </w:tc>
              <w:tc>
                <w:tcPr>
                  <w:tcW w:w="738" w:type="dxa"/>
                  <w:vAlign w:val="center"/>
                </w:tcPr>
                <w:p>
                  <w:pPr>
                    <w:jc w:val="center"/>
                    <w:rPr>
                      <w:szCs w:val="21"/>
                    </w:rPr>
                  </w:pPr>
                  <w:r>
                    <w:rPr>
                      <w:szCs w:val="21"/>
                    </w:rPr>
                    <w:t>有害成分</w:t>
                  </w:r>
                </w:p>
              </w:tc>
              <w:tc>
                <w:tcPr>
                  <w:tcW w:w="738" w:type="dxa"/>
                  <w:vAlign w:val="center"/>
                </w:tcPr>
                <w:p>
                  <w:pPr>
                    <w:jc w:val="center"/>
                    <w:rPr>
                      <w:szCs w:val="21"/>
                    </w:rPr>
                  </w:pPr>
                  <w:r>
                    <w:rPr>
                      <w:szCs w:val="21"/>
                    </w:rPr>
                    <w:t>产废周期</w:t>
                  </w:r>
                </w:p>
              </w:tc>
              <w:tc>
                <w:tcPr>
                  <w:tcW w:w="738" w:type="dxa"/>
                  <w:vAlign w:val="center"/>
                </w:tcPr>
                <w:p>
                  <w:pPr>
                    <w:jc w:val="center"/>
                    <w:rPr>
                      <w:szCs w:val="21"/>
                    </w:rPr>
                  </w:pPr>
                  <w:r>
                    <w:rPr>
                      <w:szCs w:val="21"/>
                    </w:rPr>
                    <w:t>危险特性</w:t>
                  </w:r>
                </w:p>
              </w:tc>
              <w:tc>
                <w:tcPr>
                  <w:tcW w:w="1044" w:type="dxa"/>
                  <w:vAlign w:val="center"/>
                </w:tcPr>
                <w:p>
                  <w:pPr>
                    <w:jc w:val="center"/>
                    <w:rPr>
                      <w:szCs w:val="21"/>
                    </w:rPr>
                  </w:pPr>
                  <w:r>
                    <w:rPr>
                      <w:szCs w:val="21"/>
                    </w:rPr>
                    <w:t>污染防治措施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703" w:type="dxa"/>
                  <w:vAlign w:val="center"/>
                </w:tcPr>
                <w:p>
                  <w:pPr>
                    <w:jc w:val="center"/>
                    <w:rPr>
                      <w:szCs w:val="21"/>
                    </w:rPr>
                  </w:pPr>
                  <w:r>
                    <w:rPr>
                      <w:szCs w:val="21"/>
                    </w:rPr>
                    <w:t>废油</w:t>
                  </w:r>
                </w:p>
              </w:tc>
              <w:tc>
                <w:tcPr>
                  <w:tcW w:w="738" w:type="dxa"/>
                  <w:vAlign w:val="center"/>
                </w:tcPr>
                <w:p>
                  <w:pPr>
                    <w:jc w:val="center"/>
                    <w:rPr>
                      <w:szCs w:val="21"/>
                    </w:rPr>
                  </w:pPr>
                  <w:r>
                    <w:rPr>
                      <w:szCs w:val="21"/>
                    </w:rPr>
                    <w:t>HW08</w:t>
                  </w:r>
                </w:p>
              </w:tc>
              <w:tc>
                <w:tcPr>
                  <w:tcW w:w="738" w:type="dxa"/>
                  <w:vAlign w:val="center"/>
                </w:tcPr>
                <w:p>
                  <w:pPr>
                    <w:jc w:val="center"/>
                    <w:rPr>
                      <w:szCs w:val="21"/>
                    </w:rPr>
                  </w:pPr>
                  <w:r>
                    <w:rPr>
                      <w:szCs w:val="21"/>
                    </w:rPr>
                    <w:t>900-249-08</w:t>
                  </w:r>
                </w:p>
              </w:tc>
              <w:tc>
                <w:tcPr>
                  <w:tcW w:w="590" w:type="dxa"/>
                  <w:vAlign w:val="center"/>
                </w:tcPr>
                <w:p>
                  <w:pPr>
                    <w:jc w:val="center"/>
                    <w:rPr>
                      <w:szCs w:val="21"/>
                    </w:rPr>
                  </w:pPr>
                  <w:r>
                    <w:rPr>
                      <w:szCs w:val="21"/>
                    </w:rPr>
                    <w:t>0.5t</w:t>
                  </w:r>
                </w:p>
              </w:tc>
              <w:tc>
                <w:tcPr>
                  <w:tcW w:w="885" w:type="dxa"/>
                  <w:vAlign w:val="center"/>
                </w:tcPr>
                <w:p>
                  <w:pPr>
                    <w:jc w:val="center"/>
                    <w:rPr>
                      <w:szCs w:val="21"/>
                    </w:rPr>
                  </w:pPr>
                  <w:r>
                    <w:rPr>
                      <w:szCs w:val="21"/>
                    </w:rPr>
                    <w:t>设备维护</w:t>
                  </w:r>
                </w:p>
              </w:tc>
              <w:tc>
                <w:tcPr>
                  <w:tcW w:w="443" w:type="dxa"/>
                  <w:vAlign w:val="center"/>
                </w:tcPr>
                <w:p>
                  <w:pPr>
                    <w:jc w:val="center"/>
                    <w:rPr>
                      <w:szCs w:val="21"/>
                    </w:rPr>
                  </w:pPr>
                  <w:r>
                    <w:rPr>
                      <w:szCs w:val="21"/>
                    </w:rPr>
                    <w:t>液态</w:t>
                  </w:r>
                </w:p>
              </w:tc>
              <w:tc>
                <w:tcPr>
                  <w:tcW w:w="737" w:type="dxa"/>
                  <w:vAlign w:val="center"/>
                </w:tcPr>
                <w:p>
                  <w:pPr>
                    <w:jc w:val="center"/>
                    <w:rPr>
                      <w:szCs w:val="21"/>
                    </w:rPr>
                  </w:pPr>
                  <w:r>
                    <w:rPr>
                      <w:szCs w:val="21"/>
                    </w:rPr>
                    <w:t>矿物油</w:t>
                  </w:r>
                </w:p>
              </w:tc>
              <w:tc>
                <w:tcPr>
                  <w:tcW w:w="738" w:type="dxa"/>
                  <w:vAlign w:val="center"/>
                </w:tcPr>
                <w:p>
                  <w:pPr>
                    <w:jc w:val="center"/>
                    <w:rPr>
                      <w:szCs w:val="21"/>
                    </w:rPr>
                  </w:pPr>
                  <w:r>
                    <w:rPr>
                      <w:szCs w:val="21"/>
                    </w:rPr>
                    <w:t>矿物油</w:t>
                  </w:r>
                </w:p>
              </w:tc>
              <w:tc>
                <w:tcPr>
                  <w:tcW w:w="738" w:type="dxa"/>
                  <w:vAlign w:val="center"/>
                </w:tcPr>
                <w:p>
                  <w:pPr>
                    <w:jc w:val="center"/>
                    <w:rPr>
                      <w:szCs w:val="21"/>
                    </w:rPr>
                  </w:pPr>
                  <w:r>
                    <w:rPr>
                      <w:szCs w:val="21"/>
                    </w:rPr>
                    <w:t>施工期</w:t>
                  </w:r>
                </w:p>
              </w:tc>
              <w:tc>
                <w:tcPr>
                  <w:tcW w:w="738" w:type="dxa"/>
                  <w:vAlign w:val="center"/>
                </w:tcPr>
                <w:p>
                  <w:pPr>
                    <w:jc w:val="center"/>
                    <w:rPr>
                      <w:szCs w:val="21"/>
                    </w:rPr>
                  </w:pPr>
                  <w:r>
                    <w:rPr>
                      <w:szCs w:val="21"/>
                    </w:rPr>
                    <w:t>毒性</w:t>
                  </w:r>
                </w:p>
              </w:tc>
              <w:tc>
                <w:tcPr>
                  <w:tcW w:w="1044" w:type="dxa"/>
                  <w:vAlign w:val="center"/>
                </w:tcPr>
                <w:p>
                  <w:pPr>
                    <w:jc w:val="center"/>
                    <w:rPr>
                      <w:szCs w:val="21"/>
                    </w:rPr>
                  </w:pPr>
                  <w:r>
                    <w:rPr>
                      <w:szCs w:val="21"/>
                    </w:rPr>
                    <w:t>危险废物暂存点暂存，拟交取得相关资质单位进行处置</w:t>
                  </w:r>
                </w:p>
              </w:tc>
            </w:tr>
          </w:tbl>
          <w:p>
            <w:pPr>
              <w:spacing w:line="360" w:lineRule="auto"/>
              <w:ind w:firstLine="420" w:firstLineChars="200"/>
              <w:rPr>
                <w:bCs/>
                <w:szCs w:val="21"/>
              </w:rPr>
            </w:pPr>
          </w:p>
          <w:p>
            <w:pPr>
              <w:spacing w:line="360" w:lineRule="auto"/>
              <w:ind w:firstLine="420" w:firstLineChars="200"/>
              <w:rPr>
                <w:bCs/>
                <w:szCs w:val="21"/>
              </w:rPr>
            </w:pPr>
            <w:r>
              <w:rPr>
                <w:bCs/>
                <w:szCs w:val="21"/>
              </w:rPr>
              <w:fldChar w:fldCharType="begin"/>
            </w:r>
            <w:r>
              <w:rPr>
                <w:bCs/>
                <w:szCs w:val="21"/>
              </w:rPr>
              <w:instrText xml:space="preserve"> </w:instrText>
            </w:r>
            <w:r>
              <w:rPr>
                <w:rFonts w:hint="eastAsia"/>
                <w:bCs/>
                <w:szCs w:val="21"/>
              </w:rPr>
              <w:instrText xml:space="preserve">= 5 \* GB3</w:instrText>
            </w:r>
            <w:r>
              <w:rPr>
                <w:bCs/>
                <w:szCs w:val="21"/>
              </w:rPr>
              <w:instrText xml:space="preserve"> </w:instrText>
            </w:r>
            <w:r>
              <w:rPr>
                <w:bCs/>
                <w:szCs w:val="21"/>
              </w:rPr>
              <w:fldChar w:fldCharType="separate"/>
            </w:r>
            <w:r>
              <w:rPr>
                <w:rFonts w:hint="eastAsia"/>
                <w:bCs/>
                <w:szCs w:val="21"/>
              </w:rPr>
              <w:t>⑤</w:t>
            </w:r>
            <w:r>
              <w:rPr>
                <w:bCs/>
                <w:szCs w:val="21"/>
              </w:rPr>
              <w:fldChar w:fldCharType="end"/>
            </w:r>
            <w:r>
              <w:rPr>
                <w:bCs/>
                <w:szCs w:val="21"/>
              </w:rPr>
              <w:t>沉淀罐污泥</w:t>
            </w:r>
          </w:p>
          <w:p>
            <w:pPr>
              <w:autoSpaceDE w:val="0"/>
              <w:autoSpaceDN w:val="0"/>
              <w:spacing w:line="360" w:lineRule="auto"/>
              <w:ind w:firstLine="420" w:firstLineChars="200"/>
              <w:rPr>
                <w:szCs w:val="21"/>
              </w:rPr>
            </w:pPr>
            <w:r>
              <w:rPr>
                <w:szCs w:val="21"/>
              </w:rPr>
              <w:t>导管段、一开</w:t>
            </w:r>
            <w:r>
              <w:rPr>
                <w:rFonts w:hint="eastAsia"/>
                <w:szCs w:val="21"/>
              </w:rPr>
              <w:t>~</w:t>
            </w:r>
            <w:r>
              <w:rPr>
                <w:szCs w:val="21"/>
              </w:rPr>
              <w:t>三开井段钻井过程中钻井废水被带出地面时，需进入沉淀罐进行沉淀处理，从而产生沉淀污泥。污泥的主要成分为水基钻井液、岩屑，不含重金属及废油，产生量约4t，为一般工业固废。项目固体废物产生量、储存、处置措施表见下表。</w:t>
            </w:r>
          </w:p>
          <w:p>
            <w:pPr>
              <w:pStyle w:val="19"/>
              <w:tabs>
                <w:tab w:val="left" w:pos="0"/>
                <w:tab w:val="left" w:pos="833"/>
              </w:tabs>
              <w:spacing w:before="0" w:after="0" w:line="360" w:lineRule="auto"/>
              <w:ind w:left="840" w:right="0"/>
              <w:jc w:val="center"/>
              <w:rPr>
                <w:b/>
                <w:sz w:val="21"/>
                <w:szCs w:val="21"/>
              </w:rPr>
            </w:pPr>
            <w:r>
              <w:rPr>
                <w:rFonts w:hint="eastAsia"/>
                <w:b/>
                <w:sz w:val="21"/>
                <w:szCs w:val="21"/>
              </w:rPr>
              <w:t>表4</w:t>
            </w:r>
            <w:r>
              <w:rPr>
                <w:b/>
                <w:sz w:val="21"/>
                <w:szCs w:val="21"/>
              </w:rPr>
              <w:t>-15 项目固体废物产生量、储存、处置措施表</w:t>
            </w:r>
          </w:p>
          <w:tbl>
            <w:tblPr>
              <w:tblStyle w:val="42"/>
              <w:tblW w:w="79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9"/>
              <w:gridCol w:w="800"/>
              <w:gridCol w:w="708"/>
              <w:gridCol w:w="709"/>
              <w:gridCol w:w="709"/>
              <w:gridCol w:w="1134"/>
              <w:gridCol w:w="1559"/>
              <w:gridCol w:w="13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jc w:val="center"/>
              </w:trPr>
              <w:tc>
                <w:tcPr>
                  <w:tcW w:w="969" w:type="dxa"/>
                  <w:vAlign w:val="center"/>
                </w:tcPr>
                <w:p>
                  <w:pPr>
                    <w:autoSpaceDE w:val="0"/>
                    <w:autoSpaceDN w:val="0"/>
                    <w:adjustRightInd w:val="0"/>
                    <w:jc w:val="center"/>
                    <w:rPr>
                      <w:bCs/>
                      <w:szCs w:val="21"/>
                    </w:rPr>
                  </w:pPr>
                  <w:r>
                    <w:rPr>
                      <w:bCs/>
                      <w:szCs w:val="21"/>
                    </w:rPr>
                    <w:t>固废类型</w:t>
                  </w:r>
                </w:p>
              </w:tc>
              <w:tc>
                <w:tcPr>
                  <w:tcW w:w="800" w:type="dxa"/>
                  <w:vAlign w:val="center"/>
                </w:tcPr>
                <w:p>
                  <w:pPr>
                    <w:autoSpaceDE w:val="0"/>
                    <w:autoSpaceDN w:val="0"/>
                    <w:adjustRightInd w:val="0"/>
                    <w:jc w:val="center"/>
                    <w:rPr>
                      <w:bCs/>
                      <w:szCs w:val="21"/>
                    </w:rPr>
                  </w:pPr>
                  <w:r>
                    <w:rPr>
                      <w:bCs/>
                      <w:szCs w:val="21"/>
                    </w:rPr>
                    <w:t>废水基泥浆</w:t>
                  </w:r>
                  <w:r>
                    <w:rPr>
                      <w:szCs w:val="21"/>
                    </w:rPr>
                    <w:t>m</w:t>
                  </w:r>
                  <w:r>
                    <w:rPr>
                      <w:szCs w:val="21"/>
                      <w:vertAlign w:val="superscript"/>
                    </w:rPr>
                    <w:t>3</w:t>
                  </w:r>
                </w:p>
              </w:tc>
              <w:tc>
                <w:tcPr>
                  <w:tcW w:w="708" w:type="dxa"/>
                  <w:vAlign w:val="center"/>
                </w:tcPr>
                <w:p>
                  <w:pPr>
                    <w:autoSpaceDE w:val="0"/>
                    <w:autoSpaceDN w:val="0"/>
                    <w:adjustRightInd w:val="0"/>
                    <w:jc w:val="center"/>
                    <w:rPr>
                      <w:bCs/>
                      <w:szCs w:val="21"/>
                    </w:rPr>
                  </w:pPr>
                  <w:r>
                    <w:rPr>
                      <w:bCs/>
                      <w:szCs w:val="21"/>
                    </w:rPr>
                    <w:t>清水钻屑</w:t>
                  </w:r>
                  <w:r>
                    <w:rPr>
                      <w:szCs w:val="21"/>
                    </w:rPr>
                    <w:t>m</w:t>
                  </w:r>
                  <w:r>
                    <w:rPr>
                      <w:szCs w:val="21"/>
                      <w:vertAlign w:val="superscript"/>
                    </w:rPr>
                    <w:t>3</w:t>
                  </w:r>
                </w:p>
              </w:tc>
              <w:tc>
                <w:tcPr>
                  <w:tcW w:w="709" w:type="dxa"/>
                  <w:vAlign w:val="center"/>
                </w:tcPr>
                <w:p>
                  <w:pPr>
                    <w:widowControl/>
                    <w:jc w:val="center"/>
                    <w:rPr>
                      <w:bCs/>
                      <w:szCs w:val="21"/>
                    </w:rPr>
                  </w:pPr>
                  <w:r>
                    <w:rPr>
                      <w:bCs/>
                      <w:szCs w:val="21"/>
                    </w:rPr>
                    <w:t>水基钻屑</w:t>
                  </w:r>
                  <w:r>
                    <w:rPr>
                      <w:szCs w:val="21"/>
                    </w:rPr>
                    <w:t>m</w:t>
                  </w:r>
                  <w:r>
                    <w:rPr>
                      <w:szCs w:val="21"/>
                      <w:vertAlign w:val="superscript"/>
                    </w:rPr>
                    <w:t>3</w:t>
                  </w:r>
                </w:p>
              </w:tc>
              <w:tc>
                <w:tcPr>
                  <w:tcW w:w="709" w:type="dxa"/>
                  <w:vAlign w:val="center"/>
                </w:tcPr>
                <w:p>
                  <w:pPr>
                    <w:widowControl/>
                    <w:jc w:val="center"/>
                    <w:rPr>
                      <w:bCs/>
                      <w:szCs w:val="21"/>
                    </w:rPr>
                  </w:pPr>
                  <w:r>
                    <w:rPr>
                      <w:bCs/>
                      <w:szCs w:val="21"/>
                    </w:rPr>
                    <w:t>沉淀罐污泥（t）</w:t>
                  </w:r>
                </w:p>
              </w:tc>
              <w:tc>
                <w:tcPr>
                  <w:tcW w:w="1134" w:type="dxa"/>
                  <w:vAlign w:val="center"/>
                </w:tcPr>
                <w:p>
                  <w:pPr>
                    <w:autoSpaceDE w:val="0"/>
                    <w:autoSpaceDN w:val="0"/>
                    <w:adjustRightInd w:val="0"/>
                    <w:jc w:val="center"/>
                    <w:rPr>
                      <w:bCs/>
                      <w:szCs w:val="21"/>
                    </w:rPr>
                  </w:pPr>
                  <w:r>
                    <w:rPr>
                      <w:bCs/>
                      <w:szCs w:val="21"/>
                    </w:rPr>
                    <w:t>生活垃圾（t）</w:t>
                  </w:r>
                </w:p>
              </w:tc>
              <w:tc>
                <w:tcPr>
                  <w:tcW w:w="1559" w:type="dxa"/>
                  <w:vAlign w:val="center"/>
                </w:tcPr>
                <w:p>
                  <w:pPr>
                    <w:autoSpaceDE w:val="0"/>
                    <w:autoSpaceDN w:val="0"/>
                    <w:adjustRightInd w:val="0"/>
                    <w:jc w:val="center"/>
                    <w:rPr>
                      <w:bCs/>
                      <w:szCs w:val="21"/>
                    </w:rPr>
                  </w:pPr>
                  <w:r>
                    <w:rPr>
                      <w:bCs/>
                      <w:szCs w:val="21"/>
                    </w:rPr>
                    <w:t>废油t</w:t>
                  </w:r>
                </w:p>
              </w:tc>
              <w:tc>
                <w:tcPr>
                  <w:tcW w:w="1344" w:type="dxa"/>
                  <w:vAlign w:val="center"/>
                </w:tcPr>
                <w:p>
                  <w:pPr>
                    <w:autoSpaceDE w:val="0"/>
                    <w:autoSpaceDN w:val="0"/>
                    <w:adjustRightInd w:val="0"/>
                    <w:jc w:val="center"/>
                    <w:rPr>
                      <w:bCs/>
                      <w:szCs w:val="21"/>
                    </w:rPr>
                  </w:pPr>
                  <w:r>
                    <w:rPr>
                      <w:bCs/>
                      <w:szCs w:val="21"/>
                    </w:rPr>
                    <w:t>废油桶t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jc w:val="center"/>
              </w:trPr>
              <w:tc>
                <w:tcPr>
                  <w:tcW w:w="969" w:type="dxa"/>
                  <w:vAlign w:val="center"/>
                </w:tcPr>
                <w:p>
                  <w:pPr>
                    <w:autoSpaceDE w:val="0"/>
                    <w:autoSpaceDN w:val="0"/>
                    <w:adjustRightInd w:val="0"/>
                    <w:jc w:val="center"/>
                    <w:rPr>
                      <w:szCs w:val="21"/>
                    </w:rPr>
                  </w:pPr>
                  <w:r>
                    <w:rPr>
                      <w:szCs w:val="21"/>
                    </w:rPr>
                    <w:t>产生量</w:t>
                  </w:r>
                </w:p>
              </w:tc>
              <w:tc>
                <w:tcPr>
                  <w:tcW w:w="800" w:type="dxa"/>
                  <w:vAlign w:val="center"/>
                </w:tcPr>
                <w:p>
                  <w:pPr>
                    <w:autoSpaceDE w:val="0"/>
                    <w:autoSpaceDN w:val="0"/>
                    <w:adjustRightInd w:val="0"/>
                    <w:jc w:val="center"/>
                    <w:rPr>
                      <w:szCs w:val="21"/>
                    </w:rPr>
                  </w:pPr>
                  <w:r>
                    <w:rPr>
                      <w:szCs w:val="21"/>
                    </w:rPr>
                    <w:t>91.5</w:t>
                  </w:r>
                </w:p>
              </w:tc>
              <w:tc>
                <w:tcPr>
                  <w:tcW w:w="708" w:type="dxa"/>
                  <w:vAlign w:val="center"/>
                </w:tcPr>
                <w:p>
                  <w:pPr>
                    <w:autoSpaceDE w:val="0"/>
                    <w:autoSpaceDN w:val="0"/>
                    <w:adjustRightInd w:val="0"/>
                    <w:jc w:val="center"/>
                    <w:rPr>
                      <w:szCs w:val="21"/>
                    </w:rPr>
                  </w:pPr>
                  <w:r>
                    <w:rPr>
                      <w:rFonts w:hint="eastAsia"/>
                      <w:szCs w:val="21"/>
                    </w:rPr>
                    <w:t>25.68</w:t>
                  </w:r>
                </w:p>
              </w:tc>
              <w:tc>
                <w:tcPr>
                  <w:tcW w:w="709" w:type="dxa"/>
                  <w:vAlign w:val="center"/>
                </w:tcPr>
                <w:p>
                  <w:pPr>
                    <w:autoSpaceDE w:val="0"/>
                    <w:autoSpaceDN w:val="0"/>
                    <w:adjustRightInd w:val="0"/>
                    <w:jc w:val="center"/>
                    <w:rPr>
                      <w:szCs w:val="21"/>
                    </w:rPr>
                  </w:pPr>
                  <w:r>
                    <w:rPr>
                      <w:rFonts w:hint="eastAsia"/>
                      <w:szCs w:val="21"/>
                    </w:rPr>
                    <w:t>771.30</w:t>
                  </w:r>
                </w:p>
              </w:tc>
              <w:tc>
                <w:tcPr>
                  <w:tcW w:w="709" w:type="dxa"/>
                  <w:vAlign w:val="center"/>
                </w:tcPr>
                <w:p>
                  <w:pPr>
                    <w:autoSpaceDE w:val="0"/>
                    <w:autoSpaceDN w:val="0"/>
                    <w:adjustRightInd w:val="0"/>
                    <w:jc w:val="center"/>
                    <w:rPr>
                      <w:szCs w:val="21"/>
                    </w:rPr>
                  </w:pPr>
                  <w:r>
                    <w:rPr>
                      <w:szCs w:val="21"/>
                    </w:rPr>
                    <w:t>4</w:t>
                  </w:r>
                </w:p>
              </w:tc>
              <w:tc>
                <w:tcPr>
                  <w:tcW w:w="1134" w:type="dxa"/>
                  <w:vAlign w:val="center"/>
                </w:tcPr>
                <w:p>
                  <w:pPr>
                    <w:autoSpaceDE w:val="0"/>
                    <w:autoSpaceDN w:val="0"/>
                    <w:adjustRightInd w:val="0"/>
                    <w:jc w:val="center"/>
                    <w:rPr>
                      <w:szCs w:val="21"/>
                    </w:rPr>
                  </w:pPr>
                  <w:r>
                    <w:rPr>
                      <w:szCs w:val="21"/>
                    </w:rPr>
                    <w:t>1.8</w:t>
                  </w:r>
                </w:p>
              </w:tc>
              <w:tc>
                <w:tcPr>
                  <w:tcW w:w="1559" w:type="dxa"/>
                  <w:vAlign w:val="center"/>
                </w:tcPr>
                <w:p>
                  <w:pPr>
                    <w:autoSpaceDE w:val="0"/>
                    <w:autoSpaceDN w:val="0"/>
                    <w:adjustRightInd w:val="0"/>
                    <w:jc w:val="center"/>
                    <w:rPr>
                      <w:szCs w:val="21"/>
                    </w:rPr>
                  </w:pPr>
                  <w:r>
                    <w:rPr>
                      <w:szCs w:val="21"/>
                    </w:rPr>
                    <w:t>0.5</w:t>
                  </w:r>
                </w:p>
              </w:tc>
              <w:tc>
                <w:tcPr>
                  <w:tcW w:w="1344" w:type="dxa"/>
                  <w:vAlign w:val="center"/>
                </w:tcPr>
                <w:p>
                  <w:pPr>
                    <w:autoSpaceDE w:val="0"/>
                    <w:autoSpaceDN w:val="0"/>
                    <w:adjustRightInd w:val="0"/>
                    <w:jc w:val="center"/>
                    <w:rPr>
                      <w:szCs w:val="21"/>
                    </w:rPr>
                  </w:pPr>
                  <w:r>
                    <w:rPr>
                      <w:szCs w:val="21"/>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jc w:val="center"/>
              </w:trPr>
              <w:tc>
                <w:tcPr>
                  <w:tcW w:w="969" w:type="dxa"/>
                  <w:vAlign w:val="center"/>
                </w:tcPr>
                <w:p>
                  <w:pPr>
                    <w:autoSpaceDE w:val="0"/>
                    <w:autoSpaceDN w:val="0"/>
                    <w:adjustRightInd w:val="0"/>
                    <w:jc w:val="center"/>
                    <w:rPr>
                      <w:szCs w:val="21"/>
                    </w:rPr>
                  </w:pPr>
                  <w:r>
                    <w:rPr>
                      <w:szCs w:val="21"/>
                    </w:rPr>
                    <w:t>固废性质</w:t>
                  </w:r>
                </w:p>
              </w:tc>
              <w:tc>
                <w:tcPr>
                  <w:tcW w:w="2926" w:type="dxa"/>
                  <w:gridSpan w:val="4"/>
                  <w:vAlign w:val="center"/>
                </w:tcPr>
                <w:p>
                  <w:pPr>
                    <w:autoSpaceDE w:val="0"/>
                    <w:autoSpaceDN w:val="0"/>
                    <w:adjustRightInd w:val="0"/>
                    <w:jc w:val="center"/>
                    <w:rPr>
                      <w:szCs w:val="21"/>
                    </w:rPr>
                  </w:pPr>
                  <w:r>
                    <w:rPr>
                      <w:szCs w:val="21"/>
                    </w:rPr>
                    <w:t>一般固体废物</w:t>
                  </w:r>
                </w:p>
              </w:tc>
              <w:tc>
                <w:tcPr>
                  <w:tcW w:w="1134" w:type="dxa"/>
                  <w:vAlign w:val="center"/>
                </w:tcPr>
                <w:p>
                  <w:pPr>
                    <w:autoSpaceDE w:val="0"/>
                    <w:autoSpaceDN w:val="0"/>
                    <w:adjustRightInd w:val="0"/>
                    <w:jc w:val="center"/>
                    <w:rPr>
                      <w:szCs w:val="21"/>
                    </w:rPr>
                  </w:pPr>
                  <w:r>
                    <w:rPr>
                      <w:szCs w:val="21"/>
                    </w:rPr>
                    <w:t>生活垃圾</w:t>
                  </w:r>
                </w:p>
              </w:tc>
              <w:tc>
                <w:tcPr>
                  <w:tcW w:w="2903" w:type="dxa"/>
                  <w:gridSpan w:val="2"/>
                  <w:vAlign w:val="center"/>
                </w:tcPr>
                <w:p>
                  <w:pPr>
                    <w:autoSpaceDE w:val="0"/>
                    <w:autoSpaceDN w:val="0"/>
                    <w:adjustRightInd w:val="0"/>
                    <w:jc w:val="center"/>
                    <w:rPr>
                      <w:szCs w:val="21"/>
                    </w:rPr>
                  </w:pPr>
                  <w:r>
                    <w:rPr>
                      <w:szCs w:val="21"/>
                    </w:rPr>
                    <w:t>危险废物（HW08）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jc w:val="center"/>
              </w:trPr>
              <w:tc>
                <w:tcPr>
                  <w:tcW w:w="969" w:type="dxa"/>
                  <w:vAlign w:val="center"/>
                </w:tcPr>
                <w:p>
                  <w:pPr>
                    <w:autoSpaceDE w:val="0"/>
                    <w:autoSpaceDN w:val="0"/>
                    <w:adjustRightInd w:val="0"/>
                    <w:jc w:val="center"/>
                    <w:rPr>
                      <w:szCs w:val="21"/>
                    </w:rPr>
                  </w:pPr>
                  <w:r>
                    <w:rPr>
                      <w:szCs w:val="21"/>
                    </w:rPr>
                    <w:t>固废代码</w:t>
                  </w:r>
                </w:p>
              </w:tc>
              <w:tc>
                <w:tcPr>
                  <w:tcW w:w="2926" w:type="dxa"/>
                  <w:gridSpan w:val="4"/>
                  <w:vAlign w:val="center"/>
                </w:tcPr>
                <w:p>
                  <w:pPr>
                    <w:autoSpaceDE w:val="0"/>
                    <w:autoSpaceDN w:val="0"/>
                    <w:adjustRightInd w:val="0"/>
                    <w:jc w:val="center"/>
                    <w:rPr>
                      <w:szCs w:val="21"/>
                    </w:rPr>
                  </w:pPr>
                  <w:r>
                    <w:rPr>
                      <w:szCs w:val="21"/>
                    </w:rPr>
                    <w:t>一般固废代码（900-999-99）</w:t>
                  </w:r>
                </w:p>
              </w:tc>
              <w:tc>
                <w:tcPr>
                  <w:tcW w:w="1134" w:type="dxa"/>
                  <w:vAlign w:val="center"/>
                </w:tcPr>
                <w:p>
                  <w:pPr>
                    <w:autoSpaceDE w:val="0"/>
                    <w:autoSpaceDN w:val="0"/>
                    <w:adjustRightInd w:val="0"/>
                    <w:jc w:val="center"/>
                    <w:rPr>
                      <w:szCs w:val="21"/>
                    </w:rPr>
                  </w:pPr>
                  <w:r>
                    <w:rPr>
                      <w:szCs w:val="21"/>
                    </w:rPr>
                    <w:t>/</w:t>
                  </w:r>
                </w:p>
              </w:tc>
              <w:tc>
                <w:tcPr>
                  <w:tcW w:w="1559" w:type="dxa"/>
                  <w:vAlign w:val="center"/>
                </w:tcPr>
                <w:p>
                  <w:pPr>
                    <w:autoSpaceDE w:val="0"/>
                    <w:autoSpaceDN w:val="0"/>
                    <w:adjustRightInd w:val="0"/>
                    <w:jc w:val="center"/>
                    <w:rPr>
                      <w:szCs w:val="21"/>
                    </w:rPr>
                  </w:pPr>
                  <w:r>
                    <w:rPr>
                      <w:szCs w:val="21"/>
                    </w:rPr>
                    <w:t>900-217-08</w:t>
                  </w:r>
                </w:p>
              </w:tc>
              <w:tc>
                <w:tcPr>
                  <w:tcW w:w="1344" w:type="dxa"/>
                  <w:vAlign w:val="center"/>
                </w:tcPr>
                <w:p>
                  <w:pPr>
                    <w:autoSpaceDE w:val="0"/>
                    <w:autoSpaceDN w:val="0"/>
                    <w:adjustRightInd w:val="0"/>
                    <w:jc w:val="center"/>
                    <w:rPr>
                      <w:szCs w:val="21"/>
                    </w:rPr>
                  </w:pPr>
                  <w:r>
                    <w:rPr>
                      <w:szCs w:val="21"/>
                    </w:rPr>
                    <w:t>900-041-09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jc w:val="center"/>
              </w:trPr>
              <w:tc>
                <w:tcPr>
                  <w:tcW w:w="969" w:type="dxa"/>
                  <w:vAlign w:val="center"/>
                </w:tcPr>
                <w:p>
                  <w:pPr>
                    <w:autoSpaceDE w:val="0"/>
                    <w:autoSpaceDN w:val="0"/>
                    <w:adjustRightInd w:val="0"/>
                    <w:jc w:val="center"/>
                    <w:rPr>
                      <w:szCs w:val="21"/>
                    </w:rPr>
                  </w:pPr>
                  <w:r>
                    <w:rPr>
                      <w:szCs w:val="21"/>
                    </w:rPr>
                    <w:t>预处理方式</w:t>
                  </w:r>
                </w:p>
              </w:tc>
              <w:tc>
                <w:tcPr>
                  <w:tcW w:w="2926" w:type="dxa"/>
                  <w:gridSpan w:val="4"/>
                  <w:vAlign w:val="center"/>
                </w:tcPr>
                <w:p>
                  <w:pPr>
                    <w:autoSpaceDE w:val="0"/>
                    <w:autoSpaceDN w:val="0"/>
                    <w:adjustRightInd w:val="0"/>
                    <w:jc w:val="center"/>
                    <w:rPr>
                      <w:szCs w:val="21"/>
                    </w:rPr>
                  </w:pPr>
                  <w:r>
                    <w:rPr>
                      <w:szCs w:val="21"/>
                    </w:rPr>
                    <w:t>清洁生产操作平台暂存</w:t>
                  </w:r>
                </w:p>
              </w:tc>
              <w:tc>
                <w:tcPr>
                  <w:tcW w:w="1134" w:type="dxa"/>
                  <w:vAlign w:val="center"/>
                </w:tcPr>
                <w:p>
                  <w:pPr>
                    <w:autoSpaceDE w:val="0"/>
                    <w:autoSpaceDN w:val="0"/>
                    <w:adjustRightInd w:val="0"/>
                    <w:jc w:val="center"/>
                    <w:rPr>
                      <w:szCs w:val="21"/>
                    </w:rPr>
                  </w:pPr>
                  <w:r>
                    <w:rPr>
                      <w:szCs w:val="21"/>
                    </w:rPr>
                    <w:t>/</w:t>
                  </w:r>
                </w:p>
              </w:tc>
              <w:tc>
                <w:tcPr>
                  <w:tcW w:w="2903" w:type="dxa"/>
                  <w:gridSpan w:val="2"/>
                  <w:vAlign w:val="center"/>
                </w:tcPr>
                <w:p>
                  <w:pPr>
                    <w:autoSpaceDE w:val="0"/>
                    <w:autoSpaceDN w:val="0"/>
                    <w:adjustRightInd w:val="0"/>
                    <w:jc w:val="center"/>
                    <w:rPr>
                      <w:szCs w:val="21"/>
                    </w:rPr>
                  </w:pPr>
                  <w:r>
                    <w:rPr>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jc w:val="center"/>
              </w:trPr>
              <w:tc>
                <w:tcPr>
                  <w:tcW w:w="969" w:type="dxa"/>
                  <w:vAlign w:val="center"/>
                </w:tcPr>
                <w:p>
                  <w:pPr>
                    <w:autoSpaceDE w:val="0"/>
                    <w:autoSpaceDN w:val="0"/>
                    <w:adjustRightInd w:val="0"/>
                    <w:jc w:val="center"/>
                    <w:rPr>
                      <w:szCs w:val="21"/>
                    </w:rPr>
                  </w:pPr>
                  <w:r>
                    <w:rPr>
                      <w:szCs w:val="21"/>
                    </w:rPr>
                    <w:t>暂存方式</w:t>
                  </w:r>
                </w:p>
              </w:tc>
              <w:tc>
                <w:tcPr>
                  <w:tcW w:w="2926" w:type="dxa"/>
                  <w:gridSpan w:val="4"/>
                  <w:vAlign w:val="center"/>
                </w:tcPr>
                <w:p>
                  <w:pPr>
                    <w:autoSpaceDE w:val="0"/>
                    <w:autoSpaceDN w:val="0"/>
                    <w:adjustRightInd w:val="0"/>
                    <w:jc w:val="center"/>
                    <w:rPr>
                      <w:szCs w:val="21"/>
                    </w:rPr>
                  </w:pPr>
                  <w:r>
                    <w:rPr>
                      <w:szCs w:val="21"/>
                    </w:rPr>
                    <w:t>岩屑临时堆放区，已做重点防渗、并设置围堰及雨棚，储存期不超过10天。</w:t>
                  </w:r>
                </w:p>
              </w:tc>
              <w:tc>
                <w:tcPr>
                  <w:tcW w:w="1134" w:type="dxa"/>
                  <w:vAlign w:val="center"/>
                </w:tcPr>
                <w:p>
                  <w:pPr>
                    <w:autoSpaceDE w:val="0"/>
                    <w:autoSpaceDN w:val="0"/>
                    <w:adjustRightInd w:val="0"/>
                    <w:jc w:val="center"/>
                    <w:rPr>
                      <w:szCs w:val="21"/>
                    </w:rPr>
                  </w:pPr>
                  <w:r>
                    <w:rPr>
                      <w:szCs w:val="21"/>
                    </w:rPr>
                    <w:t>垃圾箱收集</w:t>
                  </w:r>
                </w:p>
              </w:tc>
              <w:tc>
                <w:tcPr>
                  <w:tcW w:w="2903" w:type="dxa"/>
                  <w:gridSpan w:val="2"/>
                  <w:vAlign w:val="center"/>
                </w:tcPr>
                <w:p>
                  <w:pPr>
                    <w:autoSpaceDE w:val="0"/>
                    <w:autoSpaceDN w:val="0"/>
                    <w:adjustRightInd w:val="0"/>
                    <w:jc w:val="center"/>
                    <w:rPr>
                      <w:szCs w:val="21"/>
                    </w:rPr>
                  </w:pPr>
                  <w:r>
                    <w:rPr>
                      <w:szCs w:val="21"/>
                    </w:rPr>
                    <w:t>废油由废油桶收集，采取防扬散、防流失、防渗漏或者其他防止污染环境的措施，设置围堰。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jc w:val="center"/>
              </w:trPr>
              <w:tc>
                <w:tcPr>
                  <w:tcW w:w="969" w:type="dxa"/>
                  <w:vAlign w:val="center"/>
                </w:tcPr>
                <w:p>
                  <w:pPr>
                    <w:autoSpaceDE w:val="0"/>
                    <w:autoSpaceDN w:val="0"/>
                    <w:jc w:val="center"/>
                    <w:rPr>
                      <w:szCs w:val="21"/>
                    </w:rPr>
                  </w:pPr>
                  <w:r>
                    <w:rPr>
                      <w:szCs w:val="21"/>
                    </w:rPr>
                    <w:t>最终处置去向</w:t>
                  </w:r>
                </w:p>
              </w:tc>
              <w:tc>
                <w:tcPr>
                  <w:tcW w:w="2926" w:type="dxa"/>
                  <w:gridSpan w:val="4"/>
                  <w:vAlign w:val="center"/>
                </w:tcPr>
                <w:p>
                  <w:pPr>
                    <w:autoSpaceDE w:val="0"/>
                    <w:autoSpaceDN w:val="0"/>
                    <w:adjustRightInd w:val="0"/>
                    <w:jc w:val="center"/>
                    <w:rPr>
                      <w:szCs w:val="21"/>
                    </w:rPr>
                  </w:pPr>
                  <w:r>
                    <w:rPr>
                      <w:szCs w:val="21"/>
                    </w:rPr>
                    <w:t>储存期不超过10天，钻井中外运有资质单位进行综合利用处置。</w:t>
                  </w:r>
                </w:p>
              </w:tc>
              <w:tc>
                <w:tcPr>
                  <w:tcW w:w="1134" w:type="dxa"/>
                  <w:vAlign w:val="center"/>
                </w:tcPr>
                <w:p>
                  <w:pPr>
                    <w:autoSpaceDE w:val="0"/>
                    <w:autoSpaceDN w:val="0"/>
                    <w:adjustRightInd w:val="0"/>
                    <w:jc w:val="center"/>
                    <w:rPr>
                      <w:szCs w:val="21"/>
                    </w:rPr>
                  </w:pPr>
                  <w:r>
                    <w:rPr>
                      <w:szCs w:val="21"/>
                    </w:rPr>
                    <w:t>完钻后外运环卫部门集中处置</w:t>
                  </w:r>
                </w:p>
              </w:tc>
              <w:tc>
                <w:tcPr>
                  <w:tcW w:w="2903" w:type="dxa"/>
                  <w:gridSpan w:val="2"/>
                  <w:vAlign w:val="center"/>
                </w:tcPr>
                <w:p>
                  <w:pPr>
                    <w:autoSpaceDE w:val="0"/>
                    <w:autoSpaceDN w:val="0"/>
                    <w:adjustRightInd w:val="0"/>
                    <w:jc w:val="center"/>
                    <w:rPr>
                      <w:szCs w:val="21"/>
                    </w:rPr>
                  </w:pPr>
                  <w:r>
                    <w:rPr>
                      <w:szCs w:val="21"/>
                    </w:rPr>
                    <w:t>完钻后拟就近交由有取得相关资质单位进行处置</w:t>
                  </w:r>
                </w:p>
              </w:tc>
            </w:tr>
          </w:tbl>
          <w:p>
            <w:pPr>
              <w:spacing w:line="360" w:lineRule="auto"/>
              <w:ind w:firstLine="420" w:firstLineChars="200"/>
              <w:rPr>
                <w:szCs w:val="21"/>
              </w:rPr>
            </w:pPr>
          </w:p>
          <w:p>
            <w:pPr>
              <w:spacing w:line="360" w:lineRule="auto"/>
              <w:ind w:firstLine="420" w:firstLineChars="200"/>
              <w:rPr>
                <w:szCs w:val="21"/>
              </w:rPr>
            </w:pPr>
            <w:r>
              <w:rPr>
                <w:rFonts w:hint="eastAsia"/>
                <w:szCs w:val="21"/>
              </w:rPr>
              <w:t>（2）环境</w:t>
            </w:r>
            <w:r>
              <w:rPr>
                <w:szCs w:val="21"/>
              </w:rPr>
              <w:t>影响分析</w:t>
            </w:r>
          </w:p>
          <w:p>
            <w:pPr>
              <w:spacing w:line="360" w:lineRule="auto"/>
              <w:ind w:firstLine="420" w:firstLineChars="200"/>
              <w:rPr>
                <w:szCs w:val="21"/>
              </w:rPr>
            </w:pPr>
            <w:r>
              <w:rPr>
                <w:szCs w:val="21"/>
              </w:rPr>
              <w:t>钻井工程产生的固体废物主要有钻井岩屑、废泥浆、沉淀罐污泥、废油及生活垃圾。</w:t>
            </w:r>
          </w:p>
          <w:p>
            <w:pPr>
              <w:spacing w:line="360" w:lineRule="auto"/>
              <w:ind w:firstLine="420" w:firstLineChars="200"/>
              <w:rPr>
                <w:szCs w:val="21"/>
              </w:rPr>
            </w:pPr>
            <w:r>
              <w:rPr>
                <w:szCs w:val="21"/>
              </w:rPr>
              <w:t>根据《国家危险废物名录》（2021版），本项目钻井过程</w:t>
            </w:r>
            <w:r>
              <w:rPr>
                <w:rFonts w:hint="eastAsia"/>
                <w:szCs w:val="21"/>
              </w:rPr>
              <w:t>产生的</w:t>
            </w:r>
            <w:r>
              <w:rPr>
                <w:szCs w:val="21"/>
              </w:rPr>
              <w:t>水基岩屑不属于名录中的固体废物，同时根据生态环境部关于发布《危险废物排除管理清单（2021年版）》的公告（公告2021年 第66号），废弃水基钻井泥浆及岩屑不属于危险废物之列，因此项目产生的</w:t>
            </w:r>
            <w:r>
              <w:rPr>
                <w:rFonts w:hint="eastAsia"/>
                <w:szCs w:val="21"/>
              </w:rPr>
              <w:t>清水岩屑、</w:t>
            </w:r>
            <w:r>
              <w:rPr>
                <w:szCs w:val="21"/>
              </w:rPr>
              <w:t>水基泥浆及水基钻井岩屑按照一般固废处置。</w:t>
            </w:r>
          </w:p>
          <w:p>
            <w:pPr>
              <w:spacing w:line="360" w:lineRule="auto"/>
              <w:ind w:firstLine="420" w:firstLineChars="200"/>
              <w:rPr>
                <w:szCs w:val="21"/>
              </w:rPr>
            </w:pPr>
            <w:r>
              <w:rPr>
                <w:szCs w:val="21"/>
              </w:rPr>
              <w:fldChar w:fldCharType="begin"/>
            </w:r>
            <w:r>
              <w:rPr>
                <w:szCs w:val="21"/>
              </w:rPr>
              <w:instrText xml:space="preserve"> </w:instrText>
            </w:r>
            <w:r>
              <w:rPr>
                <w:rFonts w:hint="eastAsia"/>
                <w:szCs w:val="21"/>
              </w:rPr>
              <w:instrText xml:space="preserve">= 1 \* GB3</w:instrText>
            </w:r>
            <w:r>
              <w:rPr>
                <w:szCs w:val="21"/>
              </w:rPr>
              <w:instrText xml:space="preserve"> </w:instrText>
            </w:r>
            <w:r>
              <w:rPr>
                <w:szCs w:val="21"/>
              </w:rPr>
              <w:fldChar w:fldCharType="separate"/>
            </w:r>
            <w:r>
              <w:rPr>
                <w:rFonts w:hint="eastAsia"/>
                <w:szCs w:val="21"/>
              </w:rPr>
              <w:t>①</w:t>
            </w:r>
            <w:r>
              <w:rPr>
                <w:szCs w:val="21"/>
              </w:rPr>
              <w:fldChar w:fldCharType="end"/>
            </w:r>
            <w:r>
              <w:rPr>
                <w:szCs w:val="21"/>
              </w:rPr>
              <w:t>钻井岩屑</w:t>
            </w:r>
          </w:p>
          <w:p>
            <w:pPr>
              <w:spacing w:line="360" w:lineRule="auto"/>
              <w:ind w:firstLine="420" w:firstLineChars="200"/>
              <w:rPr>
                <w:bCs/>
                <w:szCs w:val="21"/>
              </w:rPr>
            </w:pPr>
            <w:r>
              <w:rPr>
                <w:szCs w:val="21"/>
              </w:rPr>
              <w:t>钻井岩屑是在钻井过程中钻头切削地层岩石而产生的碎屑，其产生量与井眼长度、平均井径有关，导管段、一开</w:t>
            </w:r>
            <w:r>
              <w:rPr>
                <w:rFonts w:hint="eastAsia"/>
                <w:szCs w:val="21"/>
              </w:rPr>
              <w:t>~三开</w:t>
            </w:r>
            <w:r>
              <w:rPr>
                <w:szCs w:val="21"/>
              </w:rPr>
              <w:t>井段产生的钻井岩屑为一般工业固体废物。由岩屑收集罐进行收集，导管段产生清水钻屑量为25.68m</w:t>
            </w:r>
            <w:r>
              <w:rPr>
                <w:szCs w:val="21"/>
                <w:vertAlign w:val="superscript"/>
              </w:rPr>
              <w:t>3</w:t>
            </w:r>
            <w:r>
              <w:rPr>
                <w:szCs w:val="21"/>
              </w:rPr>
              <w:t>，一开</w:t>
            </w:r>
            <w:r>
              <w:rPr>
                <w:rFonts w:hint="eastAsia"/>
                <w:szCs w:val="21"/>
              </w:rPr>
              <w:t>~三开井段</w:t>
            </w:r>
            <w:r>
              <w:rPr>
                <w:szCs w:val="21"/>
              </w:rPr>
              <w:t>产生水基岩屑量为771.30m</w:t>
            </w:r>
            <w:r>
              <w:rPr>
                <w:szCs w:val="21"/>
                <w:vertAlign w:val="superscript"/>
              </w:rPr>
              <w:t>3</w:t>
            </w:r>
            <w:r>
              <w:rPr>
                <w:szCs w:val="21"/>
              </w:rPr>
              <w:t>，暂存岩屑堆放区</w:t>
            </w:r>
            <w:r>
              <w:rPr>
                <w:rFonts w:hint="eastAsia"/>
                <w:szCs w:val="21"/>
              </w:rPr>
              <w:t>，</w:t>
            </w:r>
            <w:r>
              <w:rPr>
                <w:rFonts w:hint="eastAsia"/>
                <w:bCs/>
                <w:szCs w:val="21"/>
              </w:rPr>
              <w:t>岩屑堆放区已做重点防渗处置，并设置有围堰，符合暂存要求</w:t>
            </w:r>
            <w:r>
              <w:rPr>
                <w:szCs w:val="21"/>
              </w:rPr>
              <w:t>，外运有资质单位等综合利用处置</w:t>
            </w:r>
            <w:r>
              <w:rPr>
                <w:bCs/>
                <w:szCs w:val="21"/>
              </w:rPr>
              <w:t>。</w:t>
            </w:r>
          </w:p>
          <w:p>
            <w:pPr>
              <w:spacing w:line="360" w:lineRule="auto"/>
              <w:ind w:firstLine="420" w:firstLineChars="200"/>
              <w:rPr>
                <w:szCs w:val="21"/>
              </w:rPr>
            </w:pPr>
            <w:r>
              <w:rPr>
                <w:rFonts w:ascii="宋体" w:hAnsi="宋体" w:cs="宋体"/>
                <w:szCs w:val="21"/>
              </w:rPr>
              <w:fldChar w:fldCharType="begin"/>
            </w:r>
            <w:r>
              <w:rPr>
                <w:rFonts w:ascii="宋体" w:hAnsi="宋体" w:cs="宋体"/>
                <w:szCs w:val="21"/>
              </w:rPr>
              <w:instrText xml:space="preserve"> </w:instrText>
            </w:r>
            <w:r>
              <w:rPr>
                <w:rFonts w:hint="eastAsia" w:ascii="宋体" w:hAnsi="宋体" w:cs="宋体"/>
                <w:szCs w:val="21"/>
              </w:rPr>
              <w:instrText xml:space="preserve">= 2 \* GB3</w:instrText>
            </w:r>
            <w:r>
              <w:rPr>
                <w:rFonts w:ascii="宋体" w:hAnsi="宋体" w:cs="宋体"/>
                <w:szCs w:val="21"/>
              </w:rPr>
              <w:instrText xml:space="preserve"> </w:instrText>
            </w:r>
            <w:r>
              <w:rPr>
                <w:rFonts w:ascii="宋体" w:hAnsi="宋体" w:cs="宋体"/>
                <w:szCs w:val="21"/>
              </w:rPr>
              <w:fldChar w:fldCharType="separate"/>
            </w:r>
            <w:r>
              <w:rPr>
                <w:rFonts w:hint="eastAsia" w:ascii="宋体" w:hAnsi="宋体" w:cs="宋体"/>
                <w:szCs w:val="21"/>
              </w:rPr>
              <w:t>②</w:t>
            </w:r>
            <w:r>
              <w:rPr>
                <w:rFonts w:ascii="宋体" w:hAnsi="宋体" w:cs="宋体"/>
                <w:szCs w:val="21"/>
              </w:rPr>
              <w:fldChar w:fldCharType="end"/>
            </w:r>
            <w:r>
              <w:rPr>
                <w:szCs w:val="21"/>
              </w:rPr>
              <w:t>废泥浆</w:t>
            </w:r>
          </w:p>
          <w:p>
            <w:pPr>
              <w:spacing w:line="360" w:lineRule="auto"/>
              <w:ind w:firstLine="420" w:firstLineChars="200"/>
              <w:rPr>
                <w:szCs w:val="21"/>
              </w:rPr>
            </w:pPr>
            <w:r>
              <w:rPr>
                <w:szCs w:val="21"/>
              </w:rPr>
              <w:t>项目一开、</w:t>
            </w:r>
            <w:r>
              <w:rPr>
                <w:rFonts w:hint="eastAsia"/>
                <w:szCs w:val="21"/>
              </w:rPr>
              <w:t>三开</w:t>
            </w:r>
            <w:r>
              <w:rPr>
                <w:szCs w:val="21"/>
              </w:rPr>
              <w:t>段产生的废水基泥浆不在该名录中规定的危险废物之列。本项目一开、</w:t>
            </w:r>
            <w:r>
              <w:rPr>
                <w:rFonts w:hint="eastAsia"/>
                <w:szCs w:val="21"/>
              </w:rPr>
              <w:t>三开井段</w:t>
            </w:r>
            <w:r>
              <w:rPr>
                <w:szCs w:val="21"/>
              </w:rPr>
              <w:t>钻井液使用量约为915m</w:t>
            </w:r>
            <w:r>
              <w:rPr>
                <w:szCs w:val="21"/>
                <w:vertAlign w:val="superscript"/>
              </w:rPr>
              <w:t>3</w:t>
            </w:r>
            <w:r>
              <w:rPr>
                <w:szCs w:val="21"/>
              </w:rPr>
              <w:t>，因此废水基泥浆量约为91.5m</w:t>
            </w:r>
            <w:r>
              <w:rPr>
                <w:szCs w:val="21"/>
                <w:vertAlign w:val="superscript"/>
              </w:rPr>
              <w:t>3</w:t>
            </w:r>
            <w:r>
              <w:rPr>
                <w:szCs w:val="21"/>
              </w:rPr>
              <w:t>，</w:t>
            </w:r>
            <w:r>
              <w:rPr>
                <w:rFonts w:hint="eastAsia"/>
                <w:szCs w:val="21"/>
              </w:rPr>
              <w:t>经循环罐收集后暂存于清洁生产操作平台，清洁生产操作平台已做重点防渗，并设置有围堰，符合暂存要求，最终就近交给依法取得生态环境部门关于利用和处置相关工业固体废物项目环评批复、具有处理处置相应固体废物能力并配套建设有废气、废水、固废等污染物治理设施的单位进行资源化利用</w:t>
            </w:r>
            <w:r>
              <w:rPr>
                <w:szCs w:val="21"/>
              </w:rPr>
              <w:t>。</w:t>
            </w:r>
          </w:p>
          <w:p>
            <w:pPr>
              <w:spacing w:line="360" w:lineRule="auto"/>
              <w:ind w:firstLine="420" w:firstLineChars="200"/>
              <w:rPr>
                <w:rFonts w:ascii="宋体" w:hAnsi="宋体" w:cs="宋体"/>
                <w:szCs w:val="21"/>
              </w:rPr>
            </w:pPr>
            <w:r>
              <w:rPr>
                <w:rFonts w:ascii="宋体" w:hAnsi="宋体" w:cs="宋体"/>
                <w:szCs w:val="21"/>
              </w:rPr>
              <w:fldChar w:fldCharType="begin"/>
            </w:r>
            <w:r>
              <w:rPr>
                <w:rFonts w:ascii="宋体" w:hAnsi="宋体" w:cs="宋体"/>
                <w:szCs w:val="21"/>
              </w:rPr>
              <w:instrText xml:space="preserve"> </w:instrText>
            </w:r>
            <w:r>
              <w:rPr>
                <w:rFonts w:hint="eastAsia" w:ascii="宋体" w:hAnsi="宋体" w:cs="宋体"/>
                <w:szCs w:val="21"/>
              </w:rPr>
              <w:instrText xml:space="preserve">= 3 \* GB3</w:instrText>
            </w:r>
            <w:r>
              <w:rPr>
                <w:rFonts w:ascii="宋体" w:hAnsi="宋体" w:cs="宋体"/>
                <w:szCs w:val="21"/>
              </w:rPr>
              <w:instrText xml:space="preserve"> </w:instrText>
            </w:r>
            <w:r>
              <w:rPr>
                <w:rFonts w:ascii="宋体" w:hAnsi="宋体" w:cs="宋体"/>
                <w:szCs w:val="21"/>
              </w:rPr>
              <w:fldChar w:fldCharType="separate"/>
            </w:r>
            <w:r>
              <w:rPr>
                <w:rFonts w:hint="eastAsia" w:ascii="宋体" w:hAnsi="宋体" w:cs="宋体"/>
                <w:szCs w:val="21"/>
              </w:rPr>
              <w:t>③</w:t>
            </w:r>
            <w:r>
              <w:rPr>
                <w:rFonts w:ascii="宋体" w:hAnsi="宋体" w:cs="宋体"/>
                <w:szCs w:val="21"/>
              </w:rPr>
              <w:fldChar w:fldCharType="end"/>
            </w:r>
            <w:r>
              <w:rPr>
                <w:rFonts w:hint="eastAsia" w:ascii="宋体" w:hAnsi="宋体" w:cs="宋体"/>
                <w:szCs w:val="21"/>
              </w:rPr>
              <w:t>生活垃圾及包装材料</w:t>
            </w:r>
          </w:p>
          <w:p>
            <w:pPr>
              <w:spacing w:line="360" w:lineRule="auto"/>
              <w:ind w:firstLine="420" w:firstLineChars="200"/>
              <w:rPr>
                <w:szCs w:val="21"/>
              </w:rPr>
            </w:pPr>
            <w:r>
              <w:rPr>
                <w:szCs w:val="21"/>
              </w:rPr>
              <w:t>钻井期间生活垃圾按0.5kg/人·d计算，施工人员40人，则产生量约为20kg/d，钻井工程施工期平均为90天，垃圾产生量共计1.8t。生活垃圾交环卫部门处置。</w:t>
            </w:r>
            <w:r>
              <w:rPr>
                <w:rFonts w:hint="eastAsia"/>
                <w:szCs w:val="21"/>
              </w:rPr>
              <w:t>废包装材料量较少，收集后全部回收利用。</w:t>
            </w:r>
          </w:p>
          <w:p>
            <w:pPr>
              <w:spacing w:line="360" w:lineRule="auto"/>
              <w:ind w:firstLine="420" w:firstLineChars="200"/>
              <w:rPr>
                <w:szCs w:val="21"/>
              </w:rPr>
            </w:pPr>
            <w:r>
              <w:rPr>
                <w:rFonts w:ascii="宋体" w:hAnsi="宋体" w:cs="宋体"/>
                <w:szCs w:val="21"/>
              </w:rPr>
              <w:fldChar w:fldCharType="begin"/>
            </w:r>
            <w:r>
              <w:rPr>
                <w:rFonts w:ascii="宋体" w:hAnsi="宋体" w:cs="宋体"/>
                <w:szCs w:val="21"/>
              </w:rPr>
              <w:instrText xml:space="preserve"> </w:instrText>
            </w:r>
            <w:r>
              <w:rPr>
                <w:rFonts w:hint="eastAsia" w:ascii="宋体" w:hAnsi="宋体" w:cs="宋体"/>
                <w:szCs w:val="21"/>
              </w:rPr>
              <w:instrText xml:space="preserve">= 4 \* GB3</w:instrText>
            </w:r>
            <w:r>
              <w:rPr>
                <w:rFonts w:ascii="宋体" w:hAnsi="宋体" w:cs="宋体"/>
                <w:szCs w:val="21"/>
              </w:rPr>
              <w:instrText xml:space="preserve"> </w:instrText>
            </w:r>
            <w:r>
              <w:rPr>
                <w:rFonts w:ascii="宋体" w:hAnsi="宋体" w:cs="宋体"/>
                <w:szCs w:val="21"/>
              </w:rPr>
              <w:fldChar w:fldCharType="separate"/>
            </w:r>
            <w:r>
              <w:rPr>
                <w:rFonts w:hint="eastAsia" w:ascii="宋体" w:hAnsi="宋体" w:cs="宋体"/>
                <w:szCs w:val="21"/>
              </w:rPr>
              <w:t>④</w:t>
            </w:r>
            <w:r>
              <w:rPr>
                <w:rFonts w:ascii="宋体" w:hAnsi="宋体" w:cs="宋体"/>
                <w:szCs w:val="21"/>
              </w:rPr>
              <w:fldChar w:fldCharType="end"/>
            </w:r>
            <w:r>
              <w:rPr>
                <w:szCs w:val="21"/>
              </w:rPr>
              <w:t>废油</w:t>
            </w:r>
            <w:r>
              <w:rPr>
                <w:rFonts w:hint="eastAsia"/>
                <w:szCs w:val="21"/>
              </w:rPr>
              <w:t>及废油桶</w:t>
            </w:r>
          </w:p>
          <w:p>
            <w:pPr>
              <w:spacing w:line="360" w:lineRule="auto"/>
              <w:ind w:firstLine="420" w:firstLineChars="200"/>
              <w:rPr>
                <w:szCs w:val="21"/>
              </w:rPr>
            </w:pPr>
            <w:r>
              <w:rPr>
                <w:szCs w:val="21"/>
              </w:rPr>
              <w:t>钻井过程中废油的主要来源是：钻井阶段产生的机械（泥浆泵、转盘、链条等）润滑废油；清洗、保养产生的废油，如更换柴油机、发电机零部件和</w:t>
            </w:r>
            <w:r>
              <w:rPr>
                <w:rFonts w:hint="eastAsia"/>
                <w:color w:val="FF0000"/>
                <w:szCs w:val="21"/>
              </w:rPr>
              <w:t>清洗</w:t>
            </w:r>
            <w:r>
              <w:rPr>
                <w:szCs w:val="21"/>
              </w:rPr>
              <w:t>钻具、套管时产生的废油；拟建工程共产生废油约0.5t。</w:t>
            </w:r>
            <w:r>
              <w:rPr>
                <w:rFonts w:hint="eastAsia"/>
                <w:szCs w:val="21"/>
              </w:rPr>
              <w:t>废油桶主要来源是废润滑油桶，均</w:t>
            </w:r>
            <w:r>
              <w:rPr>
                <w:szCs w:val="21"/>
              </w:rPr>
              <w:t>属于危险废物（HW08），废油去向：现场配备废油回收桶，放置于</w:t>
            </w:r>
            <w:r>
              <w:rPr>
                <w:rFonts w:hint="eastAsia"/>
                <w:szCs w:val="21"/>
              </w:rPr>
              <w:t>清洁生产操作平台</w:t>
            </w:r>
            <w:r>
              <w:rPr>
                <w:szCs w:val="21"/>
              </w:rPr>
              <w:t>，并采取防渗、防雨、防风、防晒，设置围堰保护措施，完钻后交由有资质单位处置。</w:t>
            </w:r>
          </w:p>
          <w:p>
            <w:pPr>
              <w:spacing w:line="360" w:lineRule="auto"/>
              <w:ind w:firstLine="420" w:firstLineChars="200"/>
              <w:rPr>
                <w:szCs w:val="21"/>
              </w:rPr>
            </w:pPr>
            <w:r>
              <w:rPr>
                <w:szCs w:val="21"/>
              </w:rPr>
              <w:t>本环评要求建设单位严格按照《危险废物收集、贮存、运输技术规范》（HJ2025-2012）、《建设项目危险废物环境影响评价指南》及《废矿物油回收利用污染控制技术规范》（HJ607-2011）中相关规定做好收集、暂存和转运工作。现场设置危险废物暂存场所并做好</w:t>
            </w:r>
            <w:r>
              <w:rPr>
                <w:rFonts w:ascii="宋体" w:hAnsi="宋体"/>
                <w:szCs w:val="21"/>
              </w:rPr>
              <w:t>“</w:t>
            </w:r>
            <w:r>
              <w:rPr>
                <w:szCs w:val="21"/>
              </w:rPr>
              <w:t>四防</w:t>
            </w:r>
            <w:r>
              <w:rPr>
                <w:rFonts w:ascii="宋体" w:hAnsi="宋体"/>
                <w:szCs w:val="21"/>
              </w:rPr>
              <w:t>”</w:t>
            </w:r>
            <w:r>
              <w:rPr>
                <w:szCs w:val="21"/>
              </w:rPr>
              <w:t>（防风、防雨、防晒、防渗漏）措施，危废暂存场所做好重点防渗。</w:t>
            </w:r>
          </w:p>
          <w:p>
            <w:pPr>
              <w:spacing w:line="360" w:lineRule="auto"/>
              <w:ind w:firstLine="420" w:firstLineChars="200"/>
              <w:rPr>
                <w:szCs w:val="21"/>
              </w:rPr>
            </w:pPr>
            <w:r>
              <w:rPr>
                <w:rFonts w:ascii="宋体" w:hAnsi="宋体" w:cs="宋体"/>
                <w:szCs w:val="21"/>
              </w:rPr>
              <w:fldChar w:fldCharType="begin"/>
            </w:r>
            <w:r>
              <w:rPr>
                <w:rFonts w:ascii="宋体" w:hAnsi="宋体" w:cs="宋体"/>
                <w:szCs w:val="21"/>
              </w:rPr>
              <w:instrText xml:space="preserve"> </w:instrText>
            </w:r>
            <w:r>
              <w:rPr>
                <w:rFonts w:hint="eastAsia" w:ascii="宋体" w:hAnsi="宋体" w:cs="宋体"/>
                <w:szCs w:val="21"/>
              </w:rPr>
              <w:instrText xml:space="preserve">= 5 \* GB3</w:instrText>
            </w:r>
            <w:r>
              <w:rPr>
                <w:rFonts w:ascii="宋体" w:hAnsi="宋体" w:cs="宋体"/>
                <w:szCs w:val="21"/>
              </w:rPr>
              <w:instrText xml:space="preserve"> </w:instrText>
            </w:r>
            <w:r>
              <w:rPr>
                <w:rFonts w:ascii="宋体" w:hAnsi="宋体" w:cs="宋体"/>
                <w:szCs w:val="21"/>
              </w:rPr>
              <w:fldChar w:fldCharType="separate"/>
            </w:r>
            <w:r>
              <w:rPr>
                <w:rFonts w:hint="eastAsia" w:ascii="宋体" w:hAnsi="宋体" w:cs="宋体"/>
                <w:szCs w:val="21"/>
              </w:rPr>
              <w:t>⑤</w:t>
            </w:r>
            <w:r>
              <w:rPr>
                <w:rFonts w:ascii="宋体" w:hAnsi="宋体" w:cs="宋体"/>
                <w:szCs w:val="21"/>
              </w:rPr>
              <w:fldChar w:fldCharType="end"/>
            </w:r>
            <w:r>
              <w:rPr>
                <w:szCs w:val="21"/>
              </w:rPr>
              <w:t>沉淀罐污泥</w:t>
            </w:r>
          </w:p>
          <w:p>
            <w:pPr>
              <w:spacing w:line="360" w:lineRule="auto"/>
              <w:ind w:firstLine="420" w:firstLineChars="200"/>
              <w:rPr>
                <w:szCs w:val="21"/>
              </w:rPr>
            </w:pPr>
            <w:r>
              <w:rPr>
                <w:szCs w:val="21"/>
              </w:rPr>
              <w:t>钻井废水在</w:t>
            </w:r>
            <w:r>
              <w:rPr>
                <w:rFonts w:hint="eastAsia"/>
                <w:szCs w:val="21"/>
              </w:rPr>
              <w:t>罐内</w:t>
            </w:r>
            <w:r>
              <w:rPr>
                <w:szCs w:val="21"/>
              </w:rPr>
              <w:t>絮凝沉淀时会产生沉淀污泥。污泥的主要成分为钻井液、岩屑，</w:t>
            </w:r>
            <w:r>
              <w:rPr>
                <w:rFonts w:hint="eastAsia"/>
                <w:szCs w:val="21"/>
              </w:rPr>
              <w:t>沉淀罐位于清洁生产操作平台内，清洁生产操作平台已做重点防渗，并设置围堰，符合暂存要求，沉淀罐污泥最终就近交给依法取得生态环境部门关于利用和处置相关工业固体废物项目环评批复、具有处理处置相应固体废物能力并配套建设有废气、废水、固废等污染物治理设施的单位进行资源化利用</w:t>
            </w:r>
            <w:r>
              <w:rPr>
                <w:szCs w:val="21"/>
              </w:rPr>
              <w:t>。</w:t>
            </w:r>
          </w:p>
          <w:p>
            <w:pPr>
              <w:spacing w:line="360" w:lineRule="auto"/>
              <w:ind w:firstLine="420" w:firstLineChars="200"/>
              <w:rPr>
                <w:szCs w:val="21"/>
              </w:rPr>
            </w:pPr>
            <w:r>
              <w:rPr>
                <w:szCs w:val="21"/>
              </w:rPr>
              <w:t>采取上述措施后，固体废物均得到妥善处置，对周边环境影响较小。</w:t>
            </w:r>
          </w:p>
          <w:p>
            <w:pPr>
              <w:spacing w:line="360" w:lineRule="auto"/>
              <w:rPr>
                <w:b/>
                <w:szCs w:val="21"/>
              </w:rPr>
            </w:pPr>
            <w:r>
              <w:rPr>
                <w:rFonts w:hint="eastAsia"/>
                <w:b/>
                <w:szCs w:val="21"/>
              </w:rPr>
              <w:t>4</w:t>
            </w:r>
            <w:r>
              <w:rPr>
                <w:b/>
                <w:szCs w:val="21"/>
              </w:rPr>
              <w:t>.3</w:t>
            </w:r>
            <w:r>
              <w:rPr>
                <w:rFonts w:hint="eastAsia"/>
                <w:b/>
                <w:szCs w:val="21"/>
              </w:rPr>
              <w:t>压裂试气工程源强核算及环境影响分析</w:t>
            </w:r>
          </w:p>
          <w:p>
            <w:pPr>
              <w:spacing w:line="360" w:lineRule="auto"/>
              <w:rPr>
                <w:b/>
                <w:szCs w:val="21"/>
              </w:rPr>
            </w:pPr>
            <w:r>
              <w:rPr>
                <w:rFonts w:hint="eastAsia"/>
                <w:b/>
                <w:szCs w:val="21"/>
              </w:rPr>
              <w:t>4</w:t>
            </w:r>
            <w:r>
              <w:rPr>
                <w:b/>
                <w:szCs w:val="21"/>
              </w:rPr>
              <w:t>.3.1</w:t>
            </w:r>
            <w:r>
              <w:rPr>
                <w:rFonts w:hint="eastAsia"/>
                <w:b/>
                <w:szCs w:val="21"/>
              </w:rPr>
              <w:t>废气环境影响分析</w:t>
            </w:r>
          </w:p>
          <w:p>
            <w:pPr>
              <w:spacing w:line="360" w:lineRule="auto"/>
              <w:ind w:firstLine="420" w:firstLineChars="200"/>
              <w:rPr>
                <w:bCs/>
                <w:szCs w:val="21"/>
              </w:rPr>
            </w:pPr>
            <w:r>
              <w:rPr>
                <w:rFonts w:hint="eastAsia"/>
                <w:bCs/>
                <w:szCs w:val="21"/>
              </w:rPr>
              <w:t>（1）废气源强</w:t>
            </w:r>
          </w:p>
          <w:p>
            <w:pPr>
              <w:spacing w:line="360" w:lineRule="auto"/>
              <w:ind w:firstLine="420" w:firstLineChars="200"/>
              <w:rPr>
                <w:szCs w:val="21"/>
              </w:rPr>
            </w:pPr>
            <w:r>
              <w:rPr>
                <w:bCs/>
                <w:szCs w:val="21"/>
              </w:rPr>
              <w:t>测试放喷的天然气经专用放喷管线引至放喷池后点火燃烧，单井测试放喷时间约3天，持续放喷时间约4~6h，废气排放属不连续排放。其燃烧主要产物为NOx、CO</w:t>
            </w:r>
            <w:r>
              <w:rPr>
                <w:bCs/>
                <w:szCs w:val="21"/>
                <w:vertAlign w:val="subscript"/>
              </w:rPr>
              <w:t>2</w:t>
            </w:r>
            <w:r>
              <w:rPr>
                <w:bCs/>
                <w:szCs w:val="21"/>
              </w:rPr>
              <w:t>，项目目的层测试放喷天然气在放喷池内，经排气筒高度为1m的对空短火焰燃烧器点火燃烧后排放。</w:t>
            </w:r>
          </w:p>
          <w:p>
            <w:pPr>
              <w:spacing w:line="360" w:lineRule="auto"/>
              <w:ind w:firstLine="420" w:firstLineChars="200"/>
              <w:rPr>
                <w:szCs w:val="21"/>
              </w:rPr>
            </w:pPr>
            <w:r>
              <w:rPr>
                <w:rFonts w:hint="eastAsia"/>
                <w:szCs w:val="21"/>
              </w:rPr>
              <w:t>（2）环境影响分析</w:t>
            </w:r>
          </w:p>
          <w:p>
            <w:pPr>
              <w:spacing w:line="360" w:lineRule="auto"/>
              <w:ind w:firstLine="420" w:firstLineChars="200"/>
              <w:rPr>
                <w:szCs w:val="21"/>
              </w:rPr>
            </w:pPr>
            <w:r>
              <w:rPr>
                <w:szCs w:val="21"/>
              </w:rPr>
              <w:t>根据设计</w:t>
            </w:r>
            <w:r>
              <w:rPr>
                <w:rFonts w:hint="eastAsia"/>
                <w:szCs w:val="21"/>
              </w:rPr>
              <w:t>并</w:t>
            </w:r>
            <w:r>
              <w:rPr>
                <w:szCs w:val="21"/>
              </w:rPr>
              <w:t>参考</w:t>
            </w:r>
            <w:r>
              <w:rPr>
                <w:rFonts w:hint="eastAsia"/>
                <w:szCs w:val="21"/>
              </w:rPr>
              <w:t>平安1</w:t>
            </w:r>
            <w:r>
              <w:rPr>
                <w:szCs w:val="21"/>
              </w:rPr>
              <w:t>井测试结果，测试流量11.46×10</w:t>
            </w:r>
            <w:r>
              <w:rPr>
                <w:szCs w:val="21"/>
                <w:vertAlign w:val="superscript"/>
              </w:rPr>
              <w:t>4</w:t>
            </w:r>
            <w:r>
              <w:rPr>
                <w:szCs w:val="21"/>
              </w:rPr>
              <w:t>m</w:t>
            </w:r>
            <w:r>
              <w:rPr>
                <w:szCs w:val="21"/>
                <w:vertAlign w:val="superscript"/>
              </w:rPr>
              <w:t>3</w:t>
            </w:r>
            <w:r>
              <w:rPr>
                <w:szCs w:val="21"/>
              </w:rPr>
              <w:t>/d，测试放喷的天然气经点火燃烧，其主要污染物为NO</w:t>
            </w:r>
            <w:r>
              <w:rPr>
                <w:szCs w:val="21"/>
                <w:vertAlign w:val="subscript"/>
              </w:rPr>
              <w:t>X</w:t>
            </w:r>
            <w:r>
              <w:rPr>
                <w:szCs w:val="21"/>
              </w:rPr>
              <w:t>、CO</w:t>
            </w:r>
            <w:r>
              <w:rPr>
                <w:szCs w:val="21"/>
                <w:vertAlign w:val="subscript"/>
              </w:rPr>
              <w:t>2</w:t>
            </w:r>
            <w:r>
              <w:rPr>
                <w:szCs w:val="21"/>
              </w:rPr>
              <w:t>。对周边环境造成影响较小</w:t>
            </w:r>
          </w:p>
          <w:p>
            <w:pPr>
              <w:spacing w:line="360" w:lineRule="auto"/>
              <w:rPr>
                <w:b/>
                <w:szCs w:val="21"/>
              </w:rPr>
            </w:pPr>
            <w:r>
              <w:rPr>
                <w:rFonts w:hint="eastAsia"/>
                <w:b/>
                <w:szCs w:val="21"/>
              </w:rPr>
              <w:t>4</w:t>
            </w:r>
            <w:r>
              <w:rPr>
                <w:b/>
                <w:szCs w:val="21"/>
              </w:rPr>
              <w:t>.3.2</w:t>
            </w:r>
            <w:r>
              <w:rPr>
                <w:rFonts w:hint="eastAsia"/>
                <w:b/>
                <w:szCs w:val="21"/>
              </w:rPr>
              <w:t>废水环境影响分析</w:t>
            </w:r>
          </w:p>
          <w:p>
            <w:pPr>
              <w:spacing w:line="360" w:lineRule="auto"/>
              <w:ind w:firstLine="420" w:firstLineChars="200"/>
              <w:rPr>
                <w:szCs w:val="21"/>
              </w:rPr>
            </w:pPr>
            <w:r>
              <w:rPr>
                <w:rFonts w:hint="eastAsia"/>
                <w:szCs w:val="21"/>
              </w:rPr>
              <w:t>（1）废水源强</w:t>
            </w:r>
          </w:p>
          <w:p>
            <w:pPr>
              <w:spacing w:line="360" w:lineRule="auto"/>
              <w:ind w:firstLine="420" w:firstLineChars="200"/>
              <w:rPr>
                <w:bCs/>
                <w:szCs w:val="21"/>
              </w:rPr>
            </w:pPr>
            <w:r>
              <w:rPr>
                <w:bCs/>
                <w:szCs w:val="21"/>
              </w:rPr>
              <w:fldChar w:fldCharType="begin"/>
            </w:r>
            <w:r>
              <w:rPr>
                <w:bCs/>
                <w:szCs w:val="21"/>
              </w:rPr>
              <w:instrText xml:space="preserve"> </w:instrText>
            </w:r>
            <w:r>
              <w:rPr>
                <w:rFonts w:hint="eastAsia"/>
                <w:bCs/>
                <w:szCs w:val="21"/>
              </w:rPr>
              <w:instrText xml:space="preserve">= 3 \* GB3</w:instrText>
            </w:r>
            <w:r>
              <w:rPr>
                <w:bCs/>
                <w:szCs w:val="21"/>
              </w:rPr>
              <w:instrText xml:space="preserve"> </w:instrText>
            </w:r>
            <w:r>
              <w:rPr>
                <w:bCs/>
                <w:szCs w:val="21"/>
              </w:rPr>
              <w:fldChar w:fldCharType="separate"/>
            </w:r>
            <w:r>
              <w:rPr>
                <w:rFonts w:hint="eastAsia"/>
                <w:bCs/>
                <w:szCs w:val="21"/>
              </w:rPr>
              <w:t>③</w:t>
            </w:r>
            <w:r>
              <w:rPr>
                <w:bCs/>
                <w:szCs w:val="21"/>
              </w:rPr>
              <w:fldChar w:fldCharType="end"/>
            </w:r>
            <w:r>
              <w:rPr>
                <w:bCs/>
                <w:szCs w:val="21"/>
              </w:rPr>
              <w:t>洗井废水</w:t>
            </w:r>
          </w:p>
          <w:p>
            <w:pPr>
              <w:spacing w:line="360" w:lineRule="auto"/>
              <w:ind w:firstLine="420" w:firstLineChars="200"/>
              <w:rPr>
                <w:bCs/>
                <w:szCs w:val="21"/>
              </w:rPr>
            </w:pPr>
            <w:r>
              <w:rPr>
                <w:bCs/>
                <w:szCs w:val="21"/>
              </w:rPr>
              <w:t>进行洗井时，采用清水对套管进行清洗；参照生态环境部发布《排放源统计调查产排污核算方法和系数手册》中1120《石油和天然气开采专业及辅助性活动行业系数手册》产污系数，洗井液产生量为25.29m</w:t>
            </w:r>
            <w:r>
              <w:rPr>
                <w:bCs/>
                <w:szCs w:val="21"/>
                <w:vertAlign w:val="superscript"/>
              </w:rPr>
              <w:t>3</w:t>
            </w:r>
            <w:r>
              <w:rPr>
                <w:bCs/>
                <w:szCs w:val="21"/>
              </w:rPr>
              <w:t>/井。类比同类型项目。洗井损耗约占10%，因此本项目洗井总用水量为28.1 m</w:t>
            </w:r>
            <w:r>
              <w:rPr>
                <w:bCs/>
                <w:szCs w:val="21"/>
                <w:vertAlign w:val="superscript"/>
              </w:rPr>
              <w:t>3</w:t>
            </w:r>
            <w:r>
              <w:rPr>
                <w:bCs/>
                <w:szCs w:val="21"/>
              </w:rPr>
              <w:t>，洗井废水总产生量为25.29 m</w:t>
            </w:r>
            <w:r>
              <w:rPr>
                <w:bCs/>
                <w:szCs w:val="21"/>
                <w:vertAlign w:val="superscript"/>
              </w:rPr>
              <w:t>3</w:t>
            </w:r>
            <w:r>
              <w:rPr>
                <w:bCs/>
                <w:szCs w:val="21"/>
              </w:rPr>
              <w:t>。从井底返排出来的洗井废水经排砂管道直接进入清洁生产操作平台的废水罐中采用沉淀预处理工艺后临时储存应急池，用于配制压裂液，不能回用时拟交由四川瑞利生物科技有限公司污水处理厂处理达标排放。经类比调查，洗井作业废水水质情况见下表。</w:t>
            </w:r>
          </w:p>
          <w:p>
            <w:pPr>
              <w:pStyle w:val="19"/>
              <w:tabs>
                <w:tab w:val="left" w:pos="0"/>
                <w:tab w:val="left" w:pos="833"/>
              </w:tabs>
              <w:spacing w:before="0" w:after="0" w:line="360" w:lineRule="auto"/>
              <w:ind w:left="420" w:right="0"/>
              <w:jc w:val="center"/>
              <w:rPr>
                <w:b/>
                <w:bCs/>
                <w:sz w:val="21"/>
                <w:szCs w:val="21"/>
              </w:rPr>
            </w:pPr>
            <w:r>
              <w:rPr>
                <w:rFonts w:hint="eastAsia"/>
                <w:b/>
                <w:sz w:val="21"/>
                <w:szCs w:val="21"/>
              </w:rPr>
              <w:t>表4-</w:t>
            </w:r>
            <w:r>
              <w:rPr>
                <w:b/>
                <w:sz w:val="21"/>
                <w:szCs w:val="21"/>
              </w:rPr>
              <w:t>1</w:t>
            </w:r>
            <w:r>
              <w:rPr>
                <w:rFonts w:hint="eastAsia"/>
                <w:b/>
                <w:sz w:val="21"/>
                <w:szCs w:val="21"/>
              </w:rPr>
              <w:t xml:space="preserve">6 </w:t>
            </w:r>
            <w:r>
              <w:rPr>
                <w:b/>
                <w:sz w:val="21"/>
                <w:szCs w:val="21"/>
              </w:rPr>
              <w:t>洗井</w:t>
            </w:r>
            <w:r>
              <w:rPr>
                <w:b/>
                <w:bCs/>
                <w:sz w:val="21"/>
                <w:szCs w:val="21"/>
              </w:rPr>
              <w:t>废水中污染物浓度类比预测  单位：mg/L，pH无量纲</w:t>
            </w:r>
          </w:p>
          <w:tbl>
            <w:tblPr>
              <w:tblStyle w:val="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0"/>
              <w:gridCol w:w="1428"/>
              <w:gridCol w:w="1264"/>
              <w:gridCol w:w="1265"/>
              <w:gridCol w:w="1265"/>
              <w:gridCol w:w="1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668" w:type="dxa"/>
                  <w:gridSpan w:val="2"/>
                  <w:vAlign w:val="center"/>
                </w:tcPr>
                <w:p>
                  <w:pPr>
                    <w:pStyle w:val="25"/>
                    <w:tabs>
                      <w:tab w:val="left" w:pos="2321"/>
                    </w:tabs>
                    <w:spacing w:after="0" w:line="240" w:lineRule="auto"/>
                    <w:ind w:left="-88" w:leftChars="-42" w:right="-6"/>
                    <w:jc w:val="center"/>
                    <w:rPr>
                      <w:szCs w:val="21"/>
                    </w:rPr>
                  </w:pPr>
                  <w:r>
                    <w:rPr>
                      <w:szCs w:val="21"/>
                    </w:rPr>
                    <w:t>污染物</w:t>
                  </w:r>
                </w:p>
              </w:tc>
              <w:tc>
                <w:tcPr>
                  <w:tcW w:w="1264" w:type="dxa"/>
                  <w:vAlign w:val="center"/>
                </w:tcPr>
                <w:p>
                  <w:pPr>
                    <w:pStyle w:val="25"/>
                    <w:tabs>
                      <w:tab w:val="left" w:pos="2321"/>
                    </w:tabs>
                    <w:spacing w:after="0" w:line="240" w:lineRule="auto"/>
                    <w:ind w:left="0" w:leftChars="0"/>
                    <w:jc w:val="center"/>
                    <w:rPr>
                      <w:szCs w:val="21"/>
                    </w:rPr>
                  </w:pPr>
                  <w:r>
                    <w:rPr>
                      <w:szCs w:val="21"/>
                    </w:rPr>
                    <w:t>pH</w:t>
                  </w:r>
                </w:p>
              </w:tc>
              <w:tc>
                <w:tcPr>
                  <w:tcW w:w="1265" w:type="dxa"/>
                  <w:vAlign w:val="center"/>
                </w:tcPr>
                <w:p>
                  <w:pPr>
                    <w:pStyle w:val="25"/>
                    <w:tabs>
                      <w:tab w:val="left" w:pos="2321"/>
                    </w:tabs>
                    <w:spacing w:after="0" w:line="240" w:lineRule="auto"/>
                    <w:ind w:left="0" w:leftChars="0"/>
                    <w:jc w:val="center"/>
                    <w:rPr>
                      <w:szCs w:val="21"/>
                    </w:rPr>
                  </w:pPr>
                  <w:r>
                    <w:rPr>
                      <w:szCs w:val="21"/>
                    </w:rPr>
                    <w:t>SS</w:t>
                  </w:r>
                </w:p>
              </w:tc>
              <w:tc>
                <w:tcPr>
                  <w:tcW w:w="1265" w:type="dxa"/>
                  <w:vAlign w:val="center"/>
                </w:tcPr>
                <w:p>
                  <w:pPr>
                    <w:pStyle w:val="25"/>
                    <w:tabs>
                      <w:tab w:val="left" w:pos="2321"/>
                    </w:tabs>
                    <w:spacing w:after="0" w:line="240" w:lineRule="auto"/>
                    <w:ind w:left="0" w:leftChars="0"/>
                    <w:jc w:val="center"/>
                    <w:rPr>
                      <w:szCs w:val="21"/>
                    </w:rPr>
                  </w:pPr>
                  <w:r>
                    <w:rPr>
                      <w:szCs w:val="21"/>
                    </w:rPr>
                    <w:t>石油类</w:t>
                  </w:r>
                </w:p>
              </w:tc>
              <w:tc>
                <w:tcPr>
                  <w:tcW w:w="1265" w:type="dxa"/>
                  <w:vAlign w:val="center"/>
                </w:tcPr>
                <w:p>
                  <w:pPr>
                    <w:pStyle w:val="25"/>
                    <w:tabs>
                      <w:tab w:val="left" w:pos="2321"/>
                    </w:tabs>
                    <w:spacing w:after="0" w:line="240" w:lineRule="auto"/>
                    <w:ind w:left="0" w:leftChars="0"/>
                    <w:jc w:val="center"/>
                    <w:rPr>
                      <w:szCs w:val="21"/>
                    </w:rPr>
                  </w:pPr>
                  <w:r>
                    <w:rPr>
                      <w:szCs w:val="21"/>
                    </w:rPr>
                    <w:t>COD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40" w:type="dxa"/>
                  <w:vAlign w:val="center"/>
                </w:tcPr>
                <w:p>
                  <w:pPr>
                    <w:pStyle w:val="25"/>
                    <w:tabs>
                      <w:tab w:val="left" w:pos="2321"/>
                    </w:tabs>
                    <w:spacing w:after="0" w:line="240" w:lineRule="auto"/>
                    <w:ind w:left="-88" w:leftChars="-42" w:right="-6"/>
                    <w:jc w:val="center"/>
                    <w:rPr>
                      <w:szCs w:val="21"/>
                    </w:rPr>
                  </w:pPr>
                  <w:r>
                    <w:rPr>
                      <w:szCs w:val="21"/>
                    </w:rPr>
                    <w:t>洗井废水浓度</w:t>
                  </w:r>
                </w:p>
              </w:tc>
              <w:tc>
                <w:tcPr>
                  <w:tcW w:w="1428" w:type="dxa"/>
                  <w:vAlign w:val="center"/>
                </w:tcPr>
                <w:p>
                  <w:pPr>
                    <w:jc w:val="center"/>
                    <w:rPr>
                      <w:szCs w:val="21"/>
                    </w:rPr>
                  </w:pPr>
                  <w:r>
                    <w:rPr>
                      <w:szCs w:val="21"/>
                    </w:rPr>
                    <w:t>平安101井</w:t>
                  </w:r>
                </w:p>
              </w:tc>
              <w:tc>
                <w:tcPr>
                  <w:tcW w:w="1264" w:type="dxa"/>
                  <w:vAlign w:val="center"/>
                </w:tcPr>
                <w:p>
                  <w:pPr>
                    <w:pStyle w:val="25"/>
                    <w:tabs>
                      <w:tab w:val="left" w:pos="2321"/>
                    </w:tabs>
                    <w:spacing w:after="0" w:line="240" w:lineRule="auto"/>
                    <w:ind w:left="0" w:leftChars="0"/>
                    <w:jc w:val="center"/>
                    <w:rPr>
                      <w:szCs w:val="21"/>
                    </w:rPr>
                  </w:pPr>
                  <w:r>
                    <w:rPr>
                      <w:szCs w:val="21"/>
                    </w:rPr>
                    <w:t>6～9</w:t>
                  </w:r>
                </w:p>
              </w:tc>
              <w:tc>
                <w:tcPr>
                  <w:tcW w:w="1265" w:type="dxa"/>
                  <w:vAlign w:val="center"/>
                </w:tcPr>
                <w:p>
                  <w:pPr>
                    <w:pStyle w:val="25"/>
                    <w:tabs>
                      <w:tab w:val="left" w:pos="2321"/>
                    </w:tabs>
                    <w:spacing w:after="0" w:line="240" w:lineRule="auto"/>
                    <w:ind w:left="0" w:leftChars="0"/>
                    <w:jc w:val="center"/>
                    <w:rPr>
                      <w:szCs w:val="21"/>
                    </w:rPr>
                  </w:pPr>
                  <w:r>
                    <w:rPr>
                      <w:szCs w:val="21"/>
                    </w:rPr>
                    <w:t>≤4500</w:t>
                  </w:r>
                </w:p>
              </w:tc>
              <w:tc>
                <w:tcPr>
                  <w:tcW w:w="1265" w:type="dxa"/>
                  <w:vAlign w:val="center"/>
                </w:tcPr>
                <w:p>
                  <w:pPr>
                    <w:pStyle w:val="25"/>
                    <w:tabs>
                      <w:tab w:val="left" w:pos="2321"/>
                    </w:tabs>
                    <w:spacing w:after="0" w:line="240" w:lineRule="auto"/>
                    <w:ind w:left="0" w:leftChars="0"/>
                    <w:jc w:val="center"/>
                    <w:rPr>
                      <w:szCs w:val="21"/>
                    </w:rPr>
                  </w:pPr>
                  <w:r>
                    <w:rPr>
                      <w:szCs w:val="21"/>
                    </w:rPr>
                    <w:t>≤50</w:t>
                  </w:r>
                </w:p>
              </w:tc>
              <w:tc>
                <w:tcPr>
                  <w:tcW w:w="1265" w:type="dxa"/>
                  <w:vAlign w:val="center"/>
                </w:tcPr>
                <w:p>
                  <w:pPr>
                    <w:pStyle w:val="25"/>
                    <w:tabs>
                      <w:tab w:val="left" w:pos="2321"/>
                    </w:tabs>
                    <w:spacing w:after="0" w:line="240" w:lineRule="auto"/>
                    <w:ind w:left="0" w:leftChars="0"/>
                    <w:jc w:val="center"/>
                    <w:rPr>
                      <w:szCs w:val="21"/>
                    </w:rPr>
                  </w:pPr>
                  <w:r>
                    <w:rPr>
                      <w:szCs w:val="21"/>
                    </w:rPr>
                    <w:t>≤2500</w:t>
                  </w:r>
                </w:p>
              </w:tc>
            </w:tr>
          </w:tbl>
          <w:p>
            <w:pPr>
              <w:spacing w:line="360" w:lineRule="auto"/>
              <w:ind w:firstLine="420" w:firstLineChars="200"/>
              <w:rPr>
                <w:bCs/>
                <w:szCs w:val="21"/>
              </w:rPr>
            </w:pPr>
          </w:p>
          <w:p>
            <w:pPr>
              <w:spacing w:line="360" w:lineRule="auto"/>
              <w:ind w:firstLine="420" w:firstLineChars="200"/>
              <w:rPr>
                <w:bCs/>
                <w:szCs w:val="21"/>
              </w:rPr>
            </w:pPr>
            <w:r>
              <w:rPr>
                <w:bCs/>
                <w:szCs w:val="21"/>
              </w:rPr>
              <w:fldChar w:fldCharType="begin"/>
            </w:r>
            <w:r>
              <w:rPr>
                <w:bCs/>
                <w:szCs w:val="21"/>
              </w:rPr>
              <w:instrText xml:space="preserve"> </w:instrText>
            </w:r>
            <w:r>
              <w:rPr>
                <w:rFonts w:hint="eastAsia"/>
                <w:bCs/>
                <w:szCs w:val="21"/>
              </w:rPr>
              <w:instrText xml:space="preserve">= 2 \* GB3</w:instrText>
            </w:r>
            <w:r>
              <w:rPr>
                <w:bCs/>
                <w:szCs w:val="21"/>
              </w:rPr>
              <w:instrText xml:space="preserve"> </w:instrText>
            </w:r>
            <w:r>
              <w:rPr>
                <w:bCs/>
                <w:szCs w:val="21"/>
              </w:rPr>
              <w:fldChar w:fldCharType="separate"/>
            </w:r>
            <w:r>
              <w:rPr>
                <w:rFonts w:hint="eastAsia"/>
                <w:bCs/>
                <w:szCs w:val="21"/>
              </w:rPr>
              <w:t>②</w:t>
            </w:r>
            <w:r>
              <w:rPr>
                <w:bCs/>
                <w:szCs w:val="21"/>
              </w:rPr>
              <w:fldChar w:fldCharType="end"/>
            </w:r>
            <w:r>
              <w:rPr>
                <w:bCs/>
                <w:szCs w:val="21"/>
              </w:rPr>
              <w:t>压裂废水</w:t>
            </w:r>
          </w:p>
          <w:p>
            <w:pPr>
              <w:spacing w:line="360" w:lineRule="auto"/>
              <w:ind w:firstLine="420" w:firstLineChars="200"/>
              <w:rPr>
                <w:bCs/>
                <w:szCs w:val="21"/>
              </w:rPr>
            </w:pPr>
            <w:r>
              <w:rPr>
                <w:bCs/>
                <w:szCs w:val="21"/>
              </w:rPr>
              <w:t>按照本项目钻井设计、射孔完毕后，需对其进行压裂作业，参照生态环境部发布《排放源统计调查产排污核算方法和系数手册》中1120《石油和天然气开采专业及辅助性活动行业系数手册》产污系数，本项目废压裂液产污系数为82.3m</w:t>
            </w:r>
            <w:r>
              <w:rPr>
                <w:bCs/>
                <w:szCs w:val="21"/>
                <w:vertAlign w:val="superscript"/>
              </w:rPr>
              <w:t>3</w:t>
            </w:r>
            <w:r>
              <w:rPr>
                <w:bCs/>
                <w:szCs w:val="21"/>
              </w:rPr>
              <w:t>/井。进入废水罐中预处理（隔油、絮凝沉淀、中和处理）后临时储存于应急池，最终拟交由四川瑞利生物科技有限公司污水处理厂处理达标排放。经类比调查，压裂作业产生的废水水质情况见下表。</w:t>
            </w:r>
          </w:p>
          <w:p>
            <w:pPr>
              <w:pStyle w:val="19"/>
              <w:tabs>
                <w:tab w:val="left" w:pos="0"/>
                <w:tab w:val="left" w:pos="833"/>
              </w:tabs>
              <w:spacing w:before="0" w:after="0" w:line="360" w:lineRule="auto"/>
              <w:ind w:left="420" w:right="0"/>
              <w:jc w:val="center"/>
              <w:rPr>
                <w:b/>
                <w:bCs/>
                <w:sz w:val="21"/>
                <w:szCs w:val="21"/>
              </w:rPr>
            </w:pPr>
            <w:r>
              <w:rPr>
                <w:rFonts w:hint="eastAsia"/>
                <w:b/>
                <w:sz w:val="21"/>
                <w:szCs w:val="21"/>
              </w:rPr>
              <w:t>表4-</w:t>
            </w:r>
            <w:r>
              <w:rPr>
                <w:b/>
                <w:sz w:val="21"/>
                <w:szCs w:val="21"/>
              </w:rPr>
              <w:t>1</w:t>
            </w:r>
            <w:r>
              <w:rPr>
                <w:rFonts w:hint="eastAsia"/>
                <w:b/>
                <w:sz w:val="21"/>
                <w:szCs w:val="21"/>
              </w:rPr>
              <w:t xml:space="preserve">7 </w:t>
            </w:r>
            <w:r>
              <w:rPr>
                <w:b/>
                <w:sz w:val="21"/>
                <w:szCs w:val="21"/>
              </w:rPr>
              <w:t>压裂</w:t>
            </w:r>
            <w:r>
              <w:rPr>
                <w:b/>
                <w:bCs/>
                <w:sz w:val="21"/>
                <w:szCs w:val="21"/>
              </w:rPr>
              <w:t>废水中污染物浓度类比预测 单位：mg/L，pH无量纲</w:t>
            </w:r>
          </w:p>
          <w:tbl>
            <w:tblPr>
              <w:tblStyle w:val="42"/>
              <w:tblW w:w="778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7"/>
              <w:gridCol w:w="819"/>
              <w:gridCol w:w="1178"/>
              <w:gridCol w:w="1178"/>
              <w:gridCol w:w="1178"/>
              <w:gridCol w:w="1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2247" w:type="dxa"/>
                  <w:vAlign w:val="center"/>
                </w:tcPr>
                <w:p>
                  <w:pPr>
                    <w:pStyle w:val="25"/>
                    <w:tabs>
                      <w:tab w:val="left" w:pos="2321"/>
                    </w:tabs>
                    <w:spacing w:after="0" w:line="240" w:lineRule="auto"/>
                    <w:ind w:left="-88" w:leftChars="-42" w:right="-6"/>
                    <w:jc w:val="center"/>
                    <w:rPr>
                      <w:szCs w:val="21"/>
                    </w:rPr>
                  </w:pPr>
                  <w:r>
                    <w:rPr>
                      <w:szCs w:val="21"/>
                    </w:rPr>
                    <w:t>污染物</w:t>
                  </w:r>
                </w:p>
              </w:tc>
              <w:tc>
                <w:tcPr>
                  <w:tcW w:w="819" w:type="dxa"/>
                  <w:vAlign w:val="center"/>
                </w:tcPr>
                <w:p>
                  <w:pPr>
                    <w:pStyle w:val="25"/>
                    <w:tabs>
                      <w:tab w:val="left" w:pos="2321"/>
                    </w:tabs>
                    <w:spacing w:after="0" w:line="240" w:lineRule="auto"/>
                    <w:ind w:left="-88" w:leftChars="-42" w:right="-6"/>
                    <w:jc w:val="center"/>
                    <w:rPr>
                      <w:szCs w:val="21"/>
                    </w:rPr>
                  </w:pPr>
                  <w:r>
                    <w:rPr>
                      <w:szCs w:val="21"/>
                    </w:rPr>
                    <w:t>pH</w:t>
                  </w:r>
                </w:p>
              </w:tc>
              <w:tc>
                <w:tcPr>
                  <w:tcW w:w="1178" w:type="dxa"/>
                  <w:vAlign w:val="center"/>
                </w:tcPr>
                <w:p>
                  <w:pPr>
                    <w:pStyle w:val="25"/>
                    <w:tabs>
                      <w:tab w:val="left" w:pos="2321"/>
                    </w:tabs>
                    <w:spacing w:after="0" w:line="240" w:lineRule="auto"/>
                    <w:ind w:left="-88" w:leftChars="-42" w:right="-6"/>
                    <w:jc w:val="center"/>
                    <w:rPr>
                      <w:szCs w:val="21"/>
                    </w:rPr>
                  </w:pPr>
                  <w:r>
                    <w:rPr>
                      <w:szCs w:val="21"/>
                    </w:rPr>
                    <w:t>SS</w:t>
                  </w:r>
                </w:p>
              </w:tc>
              <w:tc>
                <w:tcPr>
                  <w:tcW w:w="1178" w:type="dxa"/>
                  <w:vAlign w:val="center"/>
                </w:tcPr>
                <w:p>
                  <w:pPr>
                    <w:pStyle w:val="25"/>
                    <w:tabs>
                      <w:tab w:val="left" w:pos="2321"/>
                    </w:tabs>
                    <w:spacing w:after="0" w:line="240" w:lineRule="auto"/>
                    <w:ind w:left="-88" w:leftChars="-42" w:right="-6"/>
                    <w:jc w:val="center"/>
                    <w:rPr>
                      <w:szCs w:val="21"/>
                    </w:rPr>
                  </w:pPr>
                  <w:r>
                    <w:rPr>
                      <w:szCs w:val="21"/>
                    </w:rPr>
                    <w:t>石油类</w:t>
                  </w:r>
                </w:p>
              </w:tc>
              <w:tc>
                <w:tcPr>
                  <w:tcW w:w="1178" w:type="dxa"/>
                  <w:vAlign w:val="center"/>
                </w:tcPr>
                <w:p>
                  <w:pPr>
                    <w:pStyle w:val="25"/>
                    <w:tabs>
                      <w:tab w:val="left" w:pos="2321"/>
                    </w:tabs>
                    <w:spacing w:after="0" w:line="240" w:lineRule="auto"/>
                    <w:ind w:left="-88" w:leftChars="-42" w:right="-6"/>
                    <w:jc w:val="center"/>
                    <w:rPr>
                      <w:szCs w:val="21"/>
                    </w:rPr>
                  </w:pPr>
                  <w:r>
                    <w:rPr>
                      <w:szCs w:val="21"/>
                    </w:rPr>
                    <w:t>COD</w:t>
                  </w:r>
                </w:p>
              </w:tc>
              <w:tc>
                <w:tcPr>
                  <w:tcW w:w="1182" w:type="dxa"/>
                  <w:vAlign w:val="center"/>
                </w:tcPr>
                <w:p>
                  <w:pPr>
                    <w:pStyle w:val="25"/>
                    <w:tabs>
                      <w:tab w:val="left" w:pos="2321"/>
                    </w:tabs>
                    <w:spacing w:after="0" w:line="240" w:lineRule="auto"/>
                    <w:ind w:left="-88" w:leftChars="-42" w:right="-6"/>
                    <w:jc w:val="center"/>
                    <w:rPr>
                      <w:szCs w:val="21"/>
                    </w:rPr>
                  </w:pPr>
                  <w:r>
                    <w:rPr>
                      <w:szCs w:val="21"/>
                    </w:rPr>
                    <w:t>CI-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2247" w:type="dxa"/>
                  <w:vAlign w:val="center"/>
                </w:tcPr>
                <w:p>
                  <w:pPr>
                    <w:jc w:val="center"/>
                    <w:rPr>
                      <w:szCs w:val="21"/>
                    </w:rPr>
                  </w:pPr>
                  <w:r>
                    <w:rPr>
                      <w:szCs w:val="21"/>
                    </w:rPr>
                    <w:t>酸化废水浓度</w:t>
                  </w:r>
                </w:p>
              </w:tc>
              <w:tc>
                <w:tcPr>
                  <w:tcW w:w="819" w:type="dxa"/>
                  <w:vAlign w:val="center"/>
                </w:tcPr>
                <w:p>
                  <w:pPr>
                    <w:pStyle w:val="25"/>
                    <w:tabs>
                      <w:tab w:val="left" w:pos="2321"/>
                    </w:tabs>
                    <w:spacing w:after="0" w:line="240" w:lineRule="auto"/>
                    <w:ind w:left="-88" w:leftChars="-42" w:right="-6"/>
                    <w:jc w:val="center"/>
                    <w:rPr>
                      <w:szCs w:val="21"/>
                    </w:rPr>
                  </w:pPr>
                  <w:r>
                    <w:rPr>
                      <w:szCs w:val="21"/>
                    </w:rPr>
                    <w:t>3.0</w:t>
                  </w:r>
                </w:p>
              </w:tc>
              <w:tc>
                <w:tcPr>
                  <w:tcW w:w="1178" w:type="dxa"/>
                  <w:vAlign w:val="center"/>
                </w:tcPr>
                <w:p>
                  <w:pPr>
                    <w:pStyle w:val="25"/>
                    <w:tabs>
                      <w:tab w:val="left" w:pos="2321"/>
                    </w:tabs>
                    <w:spacing w:after="0" w:line="240" w:lineRule="auto"/>
                    <w:ind w:left="-88" w:leftChars="-42" w:right="-6"/>
                    <w:jc w:val="center"/>
                    <w:rPr>
                      <w:szCs w:val="21"/>
                    </w:rPr>
                  </w:pPr>
                  <w:r>
                    <w:rPr>
                      <w:szCs w:val="21"/>
                    </w:rPr>
                    <w:t>≤2000</w:t>
                  </w:r>
                </w:p>
              </w:tc>
              <w:tc>
                <w:tcPr>
                  <w:tcW w:w="1178" w:type="dxa"/>
                  <w:vAlign w:val="center"/>
                </w:tcPr>
                <w:p>
                  <w:pPr>
                    <w:pStyle w:val="25"/>
                    <w:tabs>
                      <w:tab w:val="left" w:pos="2321"/>
                    </w:tabs>
                    <w:spacing w:after="0" w:line="240" w:lineRule="auto"/>
                    <w:ind w:left="-88" w:leftChars="-42" w:right="-6"/>
                    <w:jc w:val="center"/>
                    <w:rPr>
                      <w:szCs w:val="21"/>
                    </w:rPr>
                  </w:pPr>
                  <w:r>
                    <w:rPr>
                      <w:szCs w:val="21"/>
                    </w:rPr>
                    <w:t>≤100</w:t>
                  </w:r>
                </w:p>
              </w:tc>
              <w:tc>
                <w:tcPr>
                  <w:tcW w:w="1178" w:type="dxa"/>
                  <w:vAlign w:val="center"/>
                </w:tcPr>
                <w:p>
                  <w:pPr>
                    <w:pStyle w:val="25"/>
                    <w:tabs>
                      <w:tab w:val="left" w:pos="2321"/>
                    </w:tabs>
                    <w:spacing w:after="0" w:line="240" w:lineRule="auto"/>
                    <w:ind w:left="-88" w:leftChars="-42" w:right="-6"/>
                    <w:jc w:val="center"/>
                    <w:rPr>
                      <w:szCs w:val="21"/>
                    </w:rPr>
                  </w:pPr>
                  <w:r>
                    <w:rPr>
                      <w:szCs w:val="21"/>
                    </w:rPr>
                    <w:t>≤3000</w:t>
                  </w:r>
                </w:p>
              </w:tc>
              <w:tc>
                <w:tcPr>
                  <w:tcW w:w="1182" w:type="dxa"/>
                  <w:vAlign w:val="center"/>
                </w:tcPr>
                <w:p>
                  <w:pPr>
                    <w:pStyle w:val="25"/>
                    <w:tabs>
                      <w:tab w:val="left" w:pos="2321"/>
                    </w:tabs>
                    <w:spacing w:after="0" w:line="240" w:lineRule="auto"/>
                    <w:ind w:left="-88" w:leftChars="-42" w:right="-6"/>
                    <w:jc w:val="center"/>
                    <w:rPr>
                      <w:szCs w:val="21"/>
                    </w:rPr>
                  </w:pPr>
                  <w:r>
                    <w:rPr>
                      <w:szCs w:val="21"/>
                    </w:rPr>
                    <w:t>≤7000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2247" w:type="dxa"/>
                  <w:vAlign w:val="center"/>
                </w:tcPr>
                <w:p>
                  <w:pPr>
                    <w:pStyle w:val="25"/>
                    <w:tabs>
                      <w:tab w:val="left" w:pos="2321"/>
                    </w:tabs>
                    <w:spacing w:after="0" w:line="240" w:lineRule="auto"/>
                    <w:ind w:left="-88" w:leftChars="-42" w:right="-6"/>
                    <w:jc w:val="center"/>
                    <w:rPr>
                      <w:szCs w:val="21"/>
                    </w:rPr>
                  </w:pPr>
                  <w:r>
                    <w:rPr>
                      <w:szCs w:val="21"/>
                    </w:rPr>
                    <w:t>隔油、沉淀、中和处理</w:t>
                  </w:r>
                </w:p>
              </w:tc>
              <w:tc>
                <w:tcPr>
                  <w:tcW w:w="819" w:type="dxa"/>
                  <w:vAlign w:val="center"/>
                </w:tcPr>
                <w:p>
                  <w:pPr>
                    <w:pStyle w:val="25"/>
                    <w:tabs>
                      <w:tab w:val="left" w:pos="2321"/>
                    </w:tabs>
                    <w:spacing w:after="0" w:line="240" w:lineRule="auto"/>
                    <w:ind w:left="-88" w:leftChars="-42" w:right="-6"/>
                    <w:jc w:val="center"/>
                    <w:rPr>
                      <w:szCs w:val="21"/>
                    </w:rPr>
                  </w:pPr>
                  <w:r>
                    <w:rPr>
                      <w:szCs w:val="21"/>
                    </w:rPr>
                    <w:t>6-9</w:t>
                  </w:r>
                </w:p>
              </w:tc>
              <w:tc>
                <w:tcPr>
                  <w:tcW w:w="1178" w:type="dxa"/>
                  <w:vAlign w:val="center"/>
                </w:tcPr>
                <w:p>
                  <w:pPr>
                    <w:pStyle w:val="25"/>
                    <w:tabs>
                      <w:tab w:val="left" w:pos="2321"/>
                    </w:tabs>
                    <w:spacing w:after="0" w:line="240" w:lineRule="auto"/>
                    <w:ind w:left="-88" w:leftChars="-42" w:right="-6"/>
                    <w:jc w:val="center"/>
                    <w:rPr>
                      <w:szCs w:val="21"/>
                    </w:rPr>
                  </w:pPr>
                  <w:r>
                    <w:rPr>
                      <w:szCs w:val="21"/>
                    </w:rPr>
                    <w:t>≤500</w:t>
                  </w:r>
                </w:p>
              </w:tc>
              <w:tc>
                <w:tcPr>
                  <w:tcW w:w="1178" w:type="dxa"/>
                  <w:vAlign w:val="center"/>
                </w:tcPr>
                <w:p>
                  <w:pPr>
                    <w:pStyle w:val="25"/>
                    <w:tabs>
                      <w:tab w:val="left" w:pos="2321"/>
                    </w:tabs>
                    <w:spacing w:after="0" w:line="240" w:lineRule="auto"/>
                    <w:ind w:left="-88" w:leftChars="-42" w:right="-6"/>
                    <w:jc w:val="center"/>
                    <w:rPr>
                      <w:szCs w:val="21"/>
                    </w:rPr>
                  </w:pPr>
                  <w:r>
                    <w:rPr>
                      <w:szCs w:val="21"/>
                    </w:rPr>
                    <w:t>≤20</w:t>
                  </w:r>
                </w:p>
              </w:tc>
              <w:tc>
                <w:tcPr>
                  <w:tcW w:w="1178" w:type="dxa"/>
                  <w:vAlign w:val="center"/>
                </w:tcPr>
                <w:p>
                  <w:pPr>
                    <w:pStyle w:val="25"/>
                    <w:tabs>
                      <w:tab w:val="left" w:pos="2321"/>
                    </w:tabs>
                    <w:spacing w:after="0" w:line="240" w:lineRule="auto"/>
                    <w:ind w:left="-88" w:leftChars="-42" w:right="-6"/>
                    <w:jc w:val="center"/>
                    <w:rPr>
                      <w:szCs w:val="21"/>
                    </w:rPr>
                  </w:pPr>
                  <w:r>
                    <w:rPr>
                      <w:szCs w:val="21"/>
                    </w:rPr>
                    <w:t>≤1000</w:t>
                  </w:r>
                </w:p>
              </w:tc>
              <w:tc>
                <w:tcPr>
                  <w:tcW w:w="1182" w:type="dxa"/>
                  <w:vAlign w:val="center"/>
                </w:tcPr>
                <w:p>
                  <w:pPr>
                    <w:pStyle w:val="25"/>
                    <w:tabs>
                      <w:tab w:val="left" w:pos="2321"/>
                    </w:tabs>
                    <w:spacing w:after="0" w:line="240" w:lineRule="auto"/>
                    <w:ind w:left="-88" w:leftChars="-42" w:right="-6"/>
                    <w:jc w:val="center"/>
                    <w:rPr>
                      <w:szCs w:val="21"/>
                    </w:rPr>
                  </w:pPr>
                  <w:r>
                    <w:rPr>
                      <w:szCs w:val="21"/>
                    </w:rPr>
                    <w:t>≤2000</w:t>
                  </w:r>
                </w:p>
              </w:tc>
            </w:tr>
          </w:tbl>
          <w:p>
            <w:pPr>
              <w:spacing w:line="360" w:lineRule="auto"/>
              <w:ind w:firstLine="420" w:firstLineChars="200"/>
              <w:rPr>
                <w:bCs/>
                <w:szCs w:val="21"/>
              </w:rPr>
            </w:pPr>
          </w:p>
          <w:p>
            <w:pPr>
              <w:spacing w:line="360" w:lineRule="auto"/>
              <w:ind w:firstLine="420" w:firstLineChars="200"/>
              <w:rPr>
                <w:szCs w:val="21"/>
              </w:rPr>
            </w:pPr>
            <w:r>
              <w:rPr>
                <w:szCs w:val="21"/>
              </w:rPr>
              <w:fldChar w:fldCharType="begin"/>
            </w:r>
            <w:r>
              <w:rPr>
                <w:szCs w:val="21"/>
              </w:rPr>
              <w:instrText xml:space="preserve"> </w:instrText>
            </w:r>
            <w:r>
              <w:rPr>
                <w:rFonts w:hint="eastAsia"/>
                <w:szCs w:val="21"/>
              </w:rPr>
              <w:instrText xml:space="preserve">= 3 \* GB3</w:instrText>
            </w:r>
            <w:r>
              <w:rPr>
                <w:szCs w:val="21"/>
              </w:rPr>
              <w:instrText xml:space="preserve"> </w:instrText>
            </w:r>
            <w:r>
              <w:rPr>
                <w:szCs w:val="21"/>
              </w:rPr>
              <w:fldChar w:fldCharType="separate"/>
            </w:r>
            <w:r>
              <w:rPr>
                <w:rFonts w:hint="eastAsia"/>
                <w:szCs w:val="21"/>
              </w:rPr>
              <w:t>③</w:t>
            </w:r>
            <w:r>
              <w:rPr>
                <w:szCs w:val="21"/>
              </w:rPr>
              <w:fldChar w:fldCharType="end"/>
            </w:r>
            <w:r>
              <w:rPr>
                <w:rFonts w:hint="eastAsia"/>
                <w:szCs w:val="21"/>
              </w:rPr>
              <w:t>生活污水</w:t>
            </w:r>
          </w:p>
          <w:p>
            <w:pPr>
              <w:spacing w:line="360" w:lineRule="auto"/>
              <w:ind w:firstLine="420" w:firstLineChars="200"/>
              <w:rPr>
                <w:bCs/>
                <w:szCs w:val="21"/>
              </w:rPr>
            </w:pPr>
            <w:r>
              <w:rPr>
                <w:rFonts w:hint="eastAsia"/>
                <w:szCs w:val="21"/>
              </w:rPr>
              <w:t>压裂试气</w:t>
            </w:r>
            <w:r>
              <w:rPr>
                <w:bCs/>
                <w:szCs w:val="21"/>
              </w:rPr>
              <w:t>人员为40人，类比其他井</w:t>
            </w:r>
            <w:r>
              <w:rPr>
                <w:rFonts w:hint="eastAsia"/>
                <w:bCs/>
                <w:szCs w:val="21"/>
              </w:rPr>
              <w:t>压裂</w:t>
            </w:r>
            <w:r>
              <w:rPr>
                <w:bCs/>
                <w:szCs w:val="21"/>
              </w:rPr>
              <w:t>情况，</w:t>
            </w:r>
            <w:r>
              <w:rPr>
                <w:rFonts w:hint="eastAsia"/>
                <w:bCs/>
                <w:szCs w:val="21"/>
              </w:rPr>
              <w:t>压裂</w:t>
            </w:r>
            <w:r>
              <w:rPr>
                <w:bCs/>
                <w:szCs w:val="21"/>
              </w:rPr>
              <w:t>期间施工人员生活用水按200L/d*人计，整个</w:t>
            </w:r>
            <w:r>
              <w:rPr>
                <w:rFonts w:hint="eastAsia"/>
                <w:bCs/>
                <w:szCs w:val="21"/>
              </w:rPr>
              <w:t>压裂</w:t>
            </w:r>
            <w:r>
              <w:rPr>
                <w:bCs/>
                <w:szCs w:val="21"/>
              </w:rPr>
              <w:t>周期（1个月）内生活用水量约为240m</w:t>
            </w:r>
            <w:r>
              <w:rPr>
                <w:bCs/>
                <w:szCs w:val="21"/>
                <w:vertAlign w:val="superscript"/>
              </w:rPr>
              <w:t>3</w:t>
            </w:r>
            <w:r>
              <w:rPr>
                <w:bCs/>
                <w:szCs w:val="21"/>
              </w:rPr>
              <w:t>，污水按用水量的90%计，则整个</w:t>
            </w:r>
            <w:r>
              <w:rPr>
                <w:rFonts w:hint="eastAsia"/>
                <w:bCs/>
                <w:szCs w:val="21"/>
              </w:rPr>
              <w:t>压裂</w:t>
            </w:r>
            <w:r>
              <w:rPr>
                <w:bCs/>
                <w:szCs w:val="21"/>
              </w:rPr>
              <w:t>工程期间生活污水产生量共计216m</w:t>
            </w:r>
            <w:r>
              <w:rPr>
                <w:bCs/>
                <w:szCs w:val="21"/>
                <w:vertAlign w:val="superscript"/>
              </w:rPr>
              <w:t>3</w:t>
            </w:r>
            <w:r>
              <w:rPr>
                <w:bCs/>
                <w:szCs w:val="21"/>
              </w:rPr>
              <w:t>（约7.2m</w:t>
            </w:r>
            <w:r>
              <w:rPr>
                <w:bCs/>
                <w:szCs w:val="21"/>
                <w:vertAlign w:val="superscript"/>
              </w:rPr>
              <w:t>3</w:t>
            </w:r>
            <w:r>
              <w:rPr>
                <w:bCs/>
                <w:szCs w:val="21"/>
              </w:rPr>
              <w:t>/d），生活污水产生量较少，主要污染物为：SS、COD、BOD</w:t>
            </w:r>
            <w:r>
              <w:rPr>
                <w:bCs/>
                <w:szCs w:val="21"/>
                <w:vertAlign w:val="subscript"/>
              </w:rPr>
              <w:t>5</w:t>
            </w:r>
            <w:r>
              <w:rPr>
                <w:bCs/>
                <w:szCs w:val="21"/>
              </w:rPr>
              <w:t>、NH</w:t>
            </w:r>
            <w:r>
              <w:rPr>
                <w:bCs/>
                <w:szCs w:val="21"/>
                <w:vertAlign w:val="subscript"/>
              </w:rPr>
              <w:t>3</w:t>
            </w:r>
            <w:r>
              <w:rPr>
                <w:bCs/>
                <w:szCs w:val="21"/>
              </w:rPr>
              <w:t>-N。主要污染物COD约为400mg/L，BOD</w:t>
            </w:r>
            <w:r>
              <w:rPr>
                <w:bCs/>
                <w:szCs w:val="21"/>
                <w:vertAlign w:val="subscript"/>
              </w:rPr>
              <w:t>5</w:t>
            </w:r>
            <w:r>
              <w:rPr>
                <w:bCs/>
                <w:szCs w:val="21"/>
              </w:rPr>
              <w:t>约为200mg/L，SS约为250mg/L、NH</w:t>
            </w:r>
            <w:r>
              <w:rPr>
                <w:bCs/>
                <w:szCs w:val="21"/>
                <w:vertAlign w:val="subscript"/>
              </w:rPr>
              <w:t>3</w:t>
            </w:r>
            <w:r>
              <w:rPr>
                <w:bCs/>
                <w:szCs w:val="21"/>
              </w:rPr>
              <w:t>-N约为25mg/L。</w:t>
            </w:r>
          </w:p>
          <w:p>
            <w:pPr>
              <w:spacing w:line="360" w:lineRule="auto"/>
              <w:ind w:firstLine="420" w:firstLineChars="200"/>
              <w:rPr>
                <w:bCs/>
                <w:szCs w:val="21"/>
              </w:rPr>
            </w:pPr>
            <w:r>
              <w:rPr>
                <w:bCs/>
                <w:szCs w:val="21"/>
              </w:rPr>
              <w:t>井场旁已建厕所1座，生活污水经旱厕收集后由吸污车转运至北山镇污水处理厂处理，现场不外排；食堂、浴室各设1座10m</w:t>
            </w:r>
            <w:r>
              <w:rPr>
                <w:bCs/>
                <w:szCs w:val="21"/>
                <w:vertAlign w:val="superscript"/>
              </w:rPr>
              <w:t>3</w:t>
            </w:r>
            <w:r>
              <w:rPr>
                <w:bCs/>
                <w:szCs w:val="21"/>
              </w:rPr>
              <w:t>的污水隔油池处理后同生活污水处理，不外排</w:t>
            </w:r>
            <w:r>
              <w:rPr>
                <w:rFonts w:hint="eastAsia"/>
                <w:bCs/>
                <w:szCs w:val="21"/>
              </w:rPr>
              <w:t>。</w:t>
            </w:r>
          </w:p>
          <w:p>
            <w:pPr>
              <w:spacing w:line="360" w:lineRule="auto"/>
              <w:ind w:firstLine="420" w:firstLineChars="200"/>
              <w:rPr>
                <w:bCs/>
                <w:szCs w:val="21"/>
              </w:rPr>
            </w:pPr>
            <w:r>
              <w:rPr>
                <w:rFonts w:hint="eastAsia"/>
                <w:bCs/>
                <w:szCs w:val="21"/>
              </w:rPr>
              <w:t>（2）环境影响分析</w:t>
            </w:r>
          </w:p>
          <w:p>
            <w:pPr>
              <w:tabs>
                <w:tab w:val="left" w:pos="2321"/>
              </w:tabs>
              <w:overflowPunct w:val="0"/>
              <w:autoSpaceDE w:val="0"/>
              <w:spacing w:line="360" w:lineRule="auto"/>
              <w:ind w:firstLine="420" w:firstLineChars="200"/>
              <w:rPr>
                <w:szCs w:val="21"/>
              </w:rPr>
            </w:pPr>
            <w:r>
              <w:rPr>
                <w:szCs w:val="21"/>
              </w:rPr>
              <w:t>本项目使用清水洗井，压入井内的清水会在洗井结束后从井底返排出来，</w:t>
            </w:r>
            <w:r>
              <w:rPr>
                <w:rFonts w:hint="eastAsia"/>
                <w:szCs w:val="21"/>
              </w:rPr>
              <w:t>洗井废水约2</w:t>
            </w:r>
            <w:r>
              <w:rPr>
                <w:szCs w:val="21"/>
              </w:rPr>
              <w:t>5.29</w:t>
            </w:r>
            <w:r>
              <w:rPr>
                <w:rFonts w:hint="eastAsia"/>
                <w:bCs/>
                <w:szCs w:val="21"/>
              </w:rPr>
              <w:t>m</w:t>
            </w:r>
            <w:r>
              <w:rPr>
                <w:bCs/>
                <w:szCs w:val="21"/>
                <w:vertAlign w:val="superscript"/>
              </w:rPr>
              <w:t>3</w:t>
            </w:r>
            <w:r>
              <w:rPr>
                <w:rFonts w:hint="eastAsia"/>
                <w:bCs/>
                <w:szCs w:val="21"/>
              </w:rPr>
              <w:t>，经排砂管道进入</w:t>
            </w:r>
            <w:r>
              <w:rPr>
                <w:rFonts w:hint="eastAsia"/>
                <w:szCs w:val="21"/>
              </w:rPr>
              <w:t>清洁生产操作平台的废水罐采用沉淀预处理工艺后临时储存应急池</w:t>
            </w:r>
            <w:r>
              <w:rPr>
                <w:szCs w:val="21"/>
              </w:rPr>
              <w:t>暂存，用于配制压裂液，</w:t>
            </w:r>
            <w:r>
              <w:rPr>
                <w:rFonts w:hint="eastAsia"/>
                <w:szCs w:val="21"/>
              </w:rPr>
              <w:t>不能回用时经应急池暂存后及时外运四川瑞利生物科技有限公司污水处理厂作达标处理，</w:t>
            </w:r>
            <w:r>
              <w:rPr>
                <w:szCs w:val="21"/>
              </w:rPr>
              <w:t>不外排，本项目压裂返排液产生总量共约82.3m</w:t>
            </w:r>
            <w:r>
              <w:rPr>
                <w:szCs w:val="21"/>
                <w:vertAlign w:val="superscript"/>
              </w:rPr>
              <w:t>3</w:t>
            </w:r>
            <w:r>
              <w:rPr>
                <w:szCs w:val="21"/>
              </w:rPr>
              <w:t>，经</w:t>
            </w:r>
            <w:r>
              <w:rPr>
                <w:rFonts w:hint="eastAsia"/>
                <w:szCs w:val="21"/>
              </w:rPr>
              <w:t>废水罐中预处理（隔油、絮凝沉淀、中和处理）后临时储存于应急池</w:t>
            </w:r>
            <w:r>
              <w:rPr>
                <w:szCs w:val="21"/>
              </w:rPr>
              <w:t>，通过罐车拉运至四川瑞利生物科技有限公司污水处理厂处理达标后排放。</w:t>
            </w:r>
          </w:p>
          <w:p>
            <w:pPr>
              <w:tabs>
                <w:tab w:val="left" w:pos="2321"/>
              </w:tabs>
              <w:overflowPunct w:val="0"/>
              <w:autoSpaceDE w:val="0"/>
              <w:spacing w:line="360" w:lineRule="auto"/>
              <w:ind w:firstLine="420" w:firstLineChars="200"/>
              <w:rPr>
                <w:szCs w:val="21"/>
              </w:rPr>
            </w:pPr>
            <w:r>
              <w:rPr>
                <w:rFonts w:hint="eastAsia"/>
                <w:szCs w:val="21"/>
              </w:rPr>
              <w:t>综上所述，采取以上措施后</w:t>
            </w:r>
            <w:r>
              <w:rPr>
                <w:szCs w:val="21"/>
              </w:rPr>
              <w:t>不会对周边地表水环境造成不利影响。</w:t>
            </w:r>
          </w:p>
          <w:p>
            <w:pPr>
              <w:spacing w:line="360" w:lineRule="auto"/>
              <w:rPr>
                <w:b/>
                <w:szCs w:val="21"/>
              </w:rPr>
            </w:pPr>
            <w:r>
              <w:rPr>
                <w:rFonts w:hint="eastAsia"/>
                <w:b/>
                <w:szCs w:val="21"/>
              </w:rPr>
              <w:t>4</w:t>
            </w:r>
            <w:r>
              <w:rPr>
                <w:b/>
                <w:szCs w:val="21"/>
              </w:rPr>
              <w:t>.3.3</w:t>
            </w:r>
            <w:r>
              <w:rPr>
                <w:rFonts w:hint="eastAsia"/>
                <w:b/>
                <w:szCs w:val="21"/>
              </w:rPr>
              <w:t>噪声环境影响分析</w:t>
            </w:r>
          </w:p>
          <w:p>
            <w:pPr>
              <w:spacing w:line="360" w:lineRule="auto"/>
              <w:ind w:firstLine="420" w:firstLineChars="200"/>
              <w:rPr>
                <w:szCs w:val="21"/>
              </w:rPr>
            </w:pPr>
            <w:r>
              <w:rPr>
                <w:rFonts w:hint="eastAsia"/>
                <w:szCs w:val="21"/>
              </w:rPr>
              <w:t>（1）源强分析</w:t>
            </w:r>
          </w:p>
          <w:p>
            <w:pPr>
              <w:spacing w:line="360" w:lineRule="auto"/>
              <w:ind w:firstLine="420" w:firstLineChars="200"/>
              <w:rPr>
                <w:szCs w:val="21"/>
              </w:rPr>
            </w:pPr>
            <w:r>
              <w:rPr>
                <w:szCs w:val="21"/>
              </w:rPr>
              <w:t>由于本项目</w:t>
            </w:r>
            <w:r>
              <w:rPr>
                <w:rFonts w:hint="eastAsia"/>
                <w:szCs w:val="21"/>
              </w:rPr>
              <w:t>压裂</w:t>
            </w:r>
            <w:r>
              <w:rPr>
                <w:szCs w:val="21"/>
              </w:rPr>
              <w:t>过程</w:t>
            </w:r>
            <w:r>
              <w:rPr>
                <w:rFonts w:hint="eastAsia"/>
                <w:szCs w:val="21"/>
              </w:rPr>
              <w:t>均在昼间进行</w:t>
            </w:r>
            <w:r>
              <w:rPr>
                <w:szCs w:val="21"/>
              </w:rPr>
              <w:t>，</w:t>
            </w:r>
            <w:r>
              <w:rPr>
                <w:rFonts w:hint="eastAsia"/>
                <w:szCs w:val="21"/>
              </w:rPr>
              <w:t>压裂</w:t>
            </w:r>
            <w:r>
              <w:rPr>
                <w:szCs w:val="21"/>
              </w:rPr>
              <w:t>工程主要噪声源设备噪声值见下表。</w:t>
            </w:r>
          </w:p>
          <w:p>
            <w:pPr>
              <w:pStyle w:val="19"/>
              <w:tabs>
                <w:tab w:val="left" w:pos="0"/>
                <w:tab w:val="left" w:pos="833"/>
              </w:tabs>
              <w:spacing w:before="0" w:after="0" w:line="360" w:lineRule="auto"/>
              <w:ind w:left="420" w:right="0"/>
              <w:jc w:val="center"/>
              <w:rPr>
                <w:b/>
                <w:sz w:val="21"/>
                <w:szCs w:val="21"/>
              </w:rPr>
            </w:pPr>
            <w:r>
              <w:rPr>
                <w:rFonts w:hint="eastAsia"/>
                <w:b/>
                <w:sz w:val="21"/>
                <w:szCs w:val="21"/>
              </w:rPr>
              <w:t>表4-</w:t>
            </w:r>
            <w:r>
              <w:rPr>
                <w:b/>
                <w:sz w:val="21"/>
                <w:szCs w:val="21"/>
              </w:rPr>
              <w:t>18</w:t>
            </w:r>
            <w:r>
              <w:rPr>
                <w:rFonts w:hint="eastAsia"/>
                <w:b/>
                <w:sz w:val="21"/>
                <w:szCs w:val="21"/>
              </w:rPr>
              <w:t xml:space="preserve"> 压裂</w:t>
            </w:r>
            <w:r>
              <w:rPr>
                <w:b/>
                <w:sz w:val="21"/>
                <w:szCs w:val="21"/>
              </w:rPr>
              <w:t>工程主要噪声源特性</w:t>
            </w:r>
          </w:p>
          <w:tbl>
            <w:tblPr>
              <w:tblStyle w:val="42"/>
              <w:tblW w:w="83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1"/>
              <w:gridCol w:w="747"/>
              <w:gridCol w:w="851"/>
              <w:gridCol w:w="708"/>
              <w:gridCol w:w="709"/>
              <w:gridCol w:w="786"/>
              <w:gridCol w:w="709"/>
              <w:gridCol w:w="1624"/>
              <w:gridCol w:w="708"/>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tblHeader/>
                <w:jc w:val="center"/>
              </w:trPr>
              <w:tc>
                <w:tcPr>
                  <w:tcW w:w="681" w:type="dxa"/>
                  <w:vMerge w:val="restart"/>
                  <w:vAlign w:val="center"/>
                </w:tcPr>
                <w:p>
                  <w:pPr>
                    <w:contextualSpacing/>
                    <w:jc w:val="center"/>
                  </w:pPr>
                  <w:r>
                    <w:rPr>
                      <w:kern w:val="0"/>
                    </w:rPr>
                    <w:t>序号</w:t>
                  </w:r>
                </w:p>
              </w:tc>
              <w:tc>
                <w:tcPr>
                  <w:tcW w:w="1598" w:type="dxa"/>
                  <w:gridSpan w:val="2"/>
                  <w:vMerge w:val="restart"/>
                  <w:vAlign w:val="center"/>
                </w:tcPr>
                <w:p>
                  <w:pPr>
                    <w:contextualSpacing/>
                    <w:jc w:val="center"/>
                  </w:pPr>
                  <w:r>
                    <w:rPr>
                      <w:kern w:val="0"/>
                    </w:rPr>
                    <w:t>声源名称</w:t>
                  </w:r>
                </w:p>
              </w:tc>
              <w:tc>
                <w:tcPr>
                  <w:tcW w:w="708" w:type="dxa"/>
                  <w:vMerge w:val="restart"/>
                  <w:vAlign w:val="center"/>
                </w:tcPr>
                <w:p>
                  <w:pPr>
                    <w:contextualSpacing/>
                    <w:jc w:val="center"/>
                    <w:rPr>
                      <w:kern w:val="0"/>
                    </w:rPr>
                  </w:pPr>
                  <w:r>
                    <w:rPr>
                      <w:kern w:val="0"/>
                    </w:rPr>
                    <w:t>型号</w:t>
                  </w:r>
                </w:p>
              </w:tc>
              <w:tc>
                <w:tcPr>
                  <w:tcW w:w="2204" w:type="dxa"/>
                  <w:gridSpan w:val="3"/>
                  <w:vAlign w:val="center"/>
                </w:tcPr>
                <w:p>
                  <w:pPr>
                    <w:contextualSpacing/>
                    <w:jc w:val="center"/>
                    <w:rPr>
                      <w:kern w:val="0"/>
                    </w:rPr>
                  </w:pPr>
                  <w:r>
                    <w:rPr>
                      <w:kern w:val="0"/>
                    </w:rPr>
                    <w:t>空间相对位置/m</w:t>
                  </w:r>
                </w:p>
              </w:tc>
              <w:tc>
                <w:tcPr>
                  <w:tcW w:w="1624" w:type="dxa"/>
                  <w:vMerge w:val="restart"/>
                  <w:vAlign w:val="center"/>
                </w:tcPr>
                <w:p>
                  <w:pPr>
                    <w:contextualSpacing/>
                    <w:jc w:val="center"/>
                    <w:rPr>
                      <w:kern w:val="0"/>
                    </w:rPr>
                  </w:pPr>
                  <w:r>
                    <w:rPr>
                      <w:kern w:val="0"/>
                    </w:rPr>
                    <w:t>声源源强</w:t>
                  </w:r>
                </w:p>
                <w:p>
                  <w:pPr>
                    <w:contextualSpacing/>
                    <w:jc w:val="center"/>
                  </w:pPr>
                  <w:r>
                    <w:rPr>
                      <w:kern w:val="0"/>
                    </w:rPr>
                    <w:t>（声压级/距声源距离）/（dB(A)/m）</w:t>
                  </w:r>
                </w:p>
              </w:tc>
              <w:tc>
                <w:tcPr>
                  <w:tcW w:w="708" w:type="dxa"/>
                  <w:vMerge w:val="restart"/>
                  <w:vAlign w:val="center"/>
                </w:tcPr>
                <w:p>
                  <w:pPr>
                    <w:contextualSpacing/>
                    <w:jc w:val="center"/>
                  </w:pPr>
                  <w:r>
                    <w:t>声源控制措施</w:t>
                  </w:r>
                </w:p>
              </w:tc>
              <w:tc>
                <w:tcPr>
                  <w:tcW w:w="814" w:type="dxa"/>
                  <w:vMerge w:val="restart"/>
                  <w:vAlign w:val="center"/>
                </w:tcPr>
                <w:p>
                  <w:pPr>
                    <w:contextualSpacing/>
                    <w:jc w:val="center"/>
                  </w:pPr>
                  <w:r>
                    <w:rPr>
                      <w:kern w:val="0"/>
                    </w:rPr>
                    <w:t>运行时间(h)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tblHeader/>
                <w:jc w:val="center"/>
              </w:trPr>
              <w:tc>
                <w:tcPr>
                  <w:tcW w:w="681" w:type="dxa"/>
                  <w:vMerge w:val="continue"/>
                  <w:vAlign w:val="center"/>
                </w:tcPr>
                <w:p>
                  <w:pPr>
                    <w:contextualSpacing/>
                    <w:jc w:val="center"/>
                    <w:rPr>
                      <w:kern w:val="0"/>
                    </w:rPr>
                  </w:pPr>
                </w:p>
              </w:tc>
              <w:tc>
                <w:tcPr>
                  <w:tcW w:w="1598" w:type="dxa"/>
                  <w:gridSpan w:val="2"/>
                  <w:vMerge w:val="continue"/>
                  <w:vAlign w:val="center"/>
                </w:tcPr>
                <w:p>
                  <w:pPr>
                    <w:contextualSpacing/>
                    <w:jc w:val="center"/>
                    <w:rPr>
                      <w:kern w:val="0"/>
                    </w:rPr>
                  </w:pPr>
                </w:p>
              </w:tc>
              <w:tc>
                <w:tcPr>
                  <w:tcW w:w="708" w:type="dxa"/>
                  <w:vMerge w:val="continue"/>
                  <w:vAlign w:val="center"/>
                </w:tcPr>
                <w:p>
                  <w:pPr>
                    <w:contextualSpacing/>
                    <w:jc w:val="center"/>
                    <w:rPr>
                      <w:kern w:val="0"/>
                    </w:rPr>
                  </w:pPr>
                </w:p>
              </w:tc>
              <w:tc>
                <w:tcPr>
                  <w:tcW w:w="709" w:type="dxa"/>
                  <w:vAlign w:val="center"/>
                </w:tcPr>
                <w:p>
                  <w:pPr>
                    <w:contextualSpacing/>
                    <w:jc w:val="center"/>
                  </w:pPr>
                  <w:r>
                    <w:t>X</w:t>
                  </w:r>
                </w:p>
              </w:tc>
              <w:tc>
                <w:tcPr>
                  <w:tcW w:w="786" w:type="dxa"/>
                  <w:vAlign w:val="center"/>
                </w:tcPr>
                <w:p>
                  <w:pPr>
                    <w:contextualSpacing/>
                    <w:jc w:val="center"/>
                  </w:pPr>
                  <w:r>
                    <w:t>Y</w:t>
                  </w:r>
                </w:p>
              </w:tc>
              <w:tc>
                <w:tcPr>
                  <w:tcW w:w="709" w:type="dxa"/>
                  <w:vAlign w:val="center"/>
                </w:tcPr>
                <w:p>
                  <w:pPr>
                    <w:contextualSpacing/>
                    <w:jc w:val="center"/>
                    <w:rPr>
                      <w:kern w:val="0"/>
                    </w:rPr>
                  </w:pPr>
                  <w:r>
                    <w:rPr>
                      <w:kern w:val="0"/>
                    </w:rPr>
                    <w:t>Z</w:t>
                  </w:r>
                </w:p>
              </w:tc>
              <w:tc>
                <w:tcPr>
                  <w:tcW w:w="1624" w:type="dxa"/>
                  <w:vMerge w:val="continue"/>
                  <w:vAlign w:val="center"/>
                </w:tcPr>
                <w:p>
                  <w:pPr>
                    <w:contextualSpacing/>
                    <w:jc w:val="center"/>
                    <w:rPr>
                      <w:kern w:val="0"/>
                    </w:rPr>
                  </w:pPr>
                </w:p>
              </w:tc>
              <w:tc>
                <w:tcPr>
                  <w:tcW w:w="708" w:type="dxa"/>
                  <w:vMerge w:val="continue"/>
                  <w:vAlign w:val="center"/>
                </w:tcPr>
                <w:p>
                  <w:pPr>
                    <w:contextualSpacing/>
                    <w:jc w:val="center"/>
                    <w:rPr>
                      <w:kern w:val="0"/>
                    </w:rPr>
                  </w:pPr>
                </w:p>
              </w:tc>
              <w:tc>
                <w:tcPr>
                  <w:tcW w:w="814" w:type="dxa"/>
                  <w:vMerge w:val="continue"/>
                  <w:vAlign w:val="center"/>
                </w:tcPr>
                <w:p>
                  <w:pPr>
                    <w:contextualSpacing/>
                    <w:jc w:val="center"/>
                    <w:rPr>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681" w:type="dxa"/>
                  <w:vAlign w:val="center"/>
                </w:tcPr>
                <w:p>
                  <w:pPr>
                    <w:contextualSpacing/>
                    <w:jc w:val="center"/>
                    <w:rPr>
                      <w:kern w:val="0"/>
                    </w:rPr>
                  </w:pPr>
                  <w:r>
                    <w:rPr>
                      <w:rFonts w:hint="eastAsia"/>
                      <w:kern w:val="0"/>
                    </w:rPr>
                    <w:t>8</w:t>
                  </w:r>
                </w:p>
              </w:tc>
              <w:tc>
                <w:tcPr>
                  <w:tcW w:w="747" w:type="dxa"/>
                  <w:vMerge w:val="restart"/>
                  <w:vAlign w:val="center"/>
                </w:tcPr>
                <w:p>
                  <w:pPr>
                    <w:jc w:val="center"/>
                    <w:rPr>
                      <w:bCs/>
                      <w:szCs w:val="21"/>
                    </w:rPr>
                  </w:pPr>
                  <w:r>
                    <w:rPr>
                      <w:rFonts w:hint="eastAsia"/>
                      <w:bCs/>
                      <w:szCs w:val="21"/>
                    </w:rPr>
                    <w:t>放喷阶段</w:t>
                  </w:r>
                </w:p>
              </w:tc>
              <w:tc>
                <w:tcPr>
                  <w:tcW w:w="851" w:type="dxa"/>
                  <w:vAlign w:val="center"/>
                </w:tcPr>
                <w:p>
                  <w:pPr>
                    <w:jc w:val="center"/>
                    <w:rPr>
                      <w:bCs/>
                      <w:szCs w:val="21"/>
                    </w:rPr>
                  </w:pPr>
                  <w:r>
                    <w:rPr>
                      <w:bCs/>
                      <w:szCs w:val="21"/>
                    </w:rPr>
                    <w:t>压裂设备</w:t>
                  </w:r>
                </w:p>
              </w:tc>
              <w:tc>
                <w:tcPr>
                  <w:tcW w:w="708" w:type="dxa"/>
                  <w:vAlign w:val="center"/>
                </w:tcPr>
                <w:p>
                  <w:pPr>
                    <w:jc w:val="center"/>
                  </w:pPr>
                  <w:r>
                    <w:rPr>
                      <w:kern w:val="0"/>
                    </w:rPr>
                    <w:t>/</w:t>
                  </w:r>
                </w:p>
              </w:tc>
              <w:tc>
                <w:tcPr>
                  <w:tcW w:w="709" w:type="dxa"/>
                  <w:vAlign w:val="center"/>
                </w:tcPr>
                <w:p>
                  <w:pPr>
                    <w:contextualSpacing/>
                    <w:jc w:val="center"/>
                    <w:rPr>
                      <w:rFonts w:eastAsiaTheme="minorEastAsia"/>
                      <w:sz w:val="20"/>
                    </w:rPr>
                  </w:pPr>
                  <w:r>
                    <w:rPr>
                      <w:rFonts w:hint="eastAsia" w:eastAsiaTheme="minorEastAsia"/>
                      <w:sz w:val="20"/>
                    </w:rPr>
                    <w:t>-2</w:t>
                  </w:r>
                </w:p>
              </w:tc>
              <w:tc>
                <w:tcPr>
                  <w:tcW w:w="786" w:type="dxa"/>
                  <w:vAlign w:val="center"/>
                </w:tcPr>
                <w:p>
                  <w:pPr>
                    <w:contextualSpacing/>
                    <w:jc w:val="center"/>
                    <w:rPr>
                      <w:rFonts w:eastAsiaTheme="minorEastAsia"/>
                      <w:sz w:val="20"/>
                    </w:rPr>
                  </w:pPr>
                  <w:r>
                    <w:rPr>
                      <w:rFonts w:hint="eastAsia" w:eastAsiaTheme="minorEastAsia"/>
                      <w:sz w:val="20"/>
                    </w:rPr>
                    <w:t>5</w:t>
                  </w:r>
                </w:p>
              </w:tc>
              <w:tc>
                <w:tcPr>
                  <w:tcW w:w="709" w:type="dxa"/>
                  <w:vAlign w:val="center"/>
                </w:tcPr>
                <w:p>
                  <w:pPr>
                    <w:contextualSpacing/>
                    <w:jc w:val="center"/>
                    <w:rPr>
                      <w:rFonts w:eastAsiaTheme="minorEastAsia"/>
                      <w:sz w:val="20"/>
                    </w:rPr>
                  </w:pPr>
                  <w:r>
                    <w:rPr>
                      <w:rFonts w:hint="eastAsia" w:eastAsiaTheme="minorEastAsia"/>
                      <w:sz w:val="20"/>
                    </w:rPr>
                    <w:t>382</w:t>
                  </w:r>
                </w:p>
              </w:tc>
              <w:tc>
                <w:tcPr>
                  <w:tcW w:w="1624" w:type="dxa"/>
                  <w:vAlign w:val="center"/>
                </w:tcPr>
                <w:p>
                  <w:pPr>
                    <w:jc w:val="center"/>
                    <w:rPr>
                      <w:bCs/>
                      <w:szCs w:val="21"/>
                    </w:rPr>
                  </w:pPr>
                  <w:r>
                    <w:rPr>
                      <w:bCs/>
                      <w:szCs w:val="21"/>
                    </w:rPr>
                    <w:t>108/1</w:t>
                  </w:r>
                </w:p>
              </w:tc>
              <w:tc>
                <w:tcPr>
                  <w:tcW w:w="708" w:type="dxa"/>
                  <w:vAlign w:val="center"/>
                </w:tcPr>
                <w:p>
                  <w:pPr>
                    <w:contextualSpacing/>
                    <w:jc w:val="center"/>
                  </w:pPr>
                  <w:r>
                    <w:rPr>
                      <w:rFonts w:hint="eastAsia"/>
                    </w:rPr>
                    <w:t>/</w:t>
                  </w:r>
                </w:p>
              </w:tc>
              <w:tc>
                <w:tcPr>
                  <w:tcW w:w="814" w:type="dxa"/>
                  <w:vAlign w:val="center"/>
                </w:tcPr>
                <w:p>
                  <w:pPr>
                    <w:contextualSpacing/>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681" w:type="dxa"/>
                  <w:vAlign w:val="center"/>
                </w:tcPr>
                <w:p>
                  <w:pPr>
                    <w:contextualSpacing/>
                    <w:jc w:val="center"/>
                    <w:rPr>
                      <w:kern w:val="0"/>
                    </w:rPr>
                  </w:pPr>
                  <w:r>
                    <w:rPr>
                      <w:rFonts w:hint="eastAsia"/>
                      <w:kern w:val="0"/>
                    </w:rPr>
                    <w:t>9</w:t>
                  </w:r>
                </w:p>
              </w:tc>
              <w:tc>
                <w:tcPr>
                  <w:tcW w:w="747" w:type="dxa"/>
                  <w:vMerge w:val="continue"/>
                  <w:vAlign w:val="center"/>
                </w:tcPr>
                <w:p>
                  <w:pPr>
                    <w:jc w:val="center"/>
                    <w:rPr>
                      <w:bCs/>
                      <w:szCs w:val="21"/>
                    </w:rPr>
                  </w:pPr>
                </w:p>
              </w:tc>
              <w:tc>
                <w:tcPr>
                  <w:tcW w:w="851" w:type="dxa"/>
                  <w:vAlign w:val="center"/>
                </w:tcPr>
                <w:p>
                  <w:pPr>
                    <w:jc w:val="center"/>
                    <w:rPr>
                      <w:bCs/>
                      <w:szCs w:val="21"/>
                    </w:rPr>
                  </w:pPr>
                  <w:r>
                    <w:rPr>
                      <w:bCs/>
                      <w:szCs w:val="21"/>
                    </w:rPr>
                    <w:t>放喷高压</w:t>
                  </w:r>
                </w:p>
              </w:tc>
              <w:tc>
                <w:tcPr>
                  <w:tcW w:w="708" w:type="dxa"/>
                  <w:vAlign w:val="center"/>
                </w:tcPr>
                <w:p>
                  <w:pPr>
                    <w:jc w:val="center"/>
                  </w:pPr>
                  <w:r>
                    <w:rPr>
                      <w:kern w:val="0"/>
                    </w:rPr>
                    <w:t>/</w:t>
                  </w:r>
                </w:p>
              </w:tc>
              <w:tc>
                <w:tcPr>
                  <w:tcW w:w="709" w:type="dxa"/>
                  <w:vAlign w:val="center"/>
                </w:tcPr>
                <w:p>
                  <w:pPr>
                    <w:contextualSpacing/>
                    <w:jc w:val="center"/>
                    <w:rPr>
                      <w:rFonts w:eastAsiaTheme="minorEastAsia"/>
                      <w:sz w:val="20"/>
                    </w:rPr>
                  </w:pPr>
                  <w:r>
                    <w:rPr>
                      <w:rFonts w:hint="eastAsia" w:eastAsiaTheme="minorEastAsia"/>
                      <w:sz w:val="20"/>
                    </w:rPr>
                    <w:t>-93</w:t>
                  </w:r>
                </w:p>
              </w:tc>
              <w:tc>
                <w:tcPr>
                  <w:tcW w:w="786" w:type="dxa"/>
                  <w:vAlign w:val="center"/>
                </w:tcPr>
                <w:p>
                  <w:pPr>
                    <w:contextualSpacing/>
                    <w:jc w:val="center"/>
                    <w:rPr>
                      <w:rFonts w:eastAsiaTheme="minorEastAsia"/>
                      <w:sz w:val="20"/>
                    </w:rPr>
                  </w:pPr>
                  <w:r>
                    <w:rPr>
                      <w:rFonts w:hint="eastAsia" w:eastAsiaTheme="minorEastAsia"/>
                      <w:sz w:val="20"/>
                    </w:rPr>
                    <w:t>20</w:t>
                  </w:r>
                </w:p>
              </w:tc>
              <w:tc>
                <w:tcPr>
                  <w:tcW w:w="709" w:type="dxa"/>
                  <w:vAlign w:val="center"/>
                </w:tcPr>
                <w:p>
                  <w:pPr>
                    <w:contextualSpacing/>
                    <w:jc w:val="center"/>
                    <w:rPr>
                      <w:rFonts w:eastAsiaTheme="minorEastAsia"/>
                      <w:sz w:val="20"/>
                    </w:rPr>
                  </w:pPr>
                  <w:r>
                    <w:rPr>
                      <w:rFonts w:hint="eastAsia" w:eastAsiaTheme="minorEastAsia"/>
                      <w:sz w:val="20"/>
                    </w:rPr>
                    <w:t>380</w:t>
                  </w:r>
                </w:p>
              </w:tc>
              <w:tc>
                <w:tcPr>
                  <w:tcW w:w="1624" w:type="dxa"/>
                  <w:vAlign w:val="center"/>
                </w:tcPr>
                <w:p>
                  <w:pPr>
                    <w:jc w:val="center"/>
                    <w:rPr>
                      <w:bCs/>
                      <w:szCs w:val="21"/>
                    </w:rPr>
                  </w:pPr>
                  <w:r>
                    <w:rPr>
                      <w:bCs/>
                      <w:szCs w:val="21"/>
                    </w:rPr>
                    <w:t>95/1</w:t>
                  </w:r>
                </w:p>
              </w:tc>
              <w:tc>
                <w:tcPr>
                  <w:tcW w:w="708" w:type="dxa"/>
                  <w:vAlign w:val="center"/>
                </w:tcPr>
                <w:p>
                  <w:pPr>
                    <w:contextualSpacing/>
                    <w:jc w:val="center"/>
                  </w:pPr>
                  <w:r>
                    <w:rPr>
                      <w:rFonts w:hint="eastAsia"/>
                    </w:rPr>
                    <w:t>/</w:t>
                  </w:r>
                </w:p>
              </w:tc>
              <w:tc>
                <w:tcPr>
                  <w:tcW w:w="814" w:type="dxa"/>
                  <w:vAlign w:val="center"/>
                </w:tcPr>
                <w:p>
                  <w:pPr>
                    <w:contextualSpacing/>
                    <w:jc w:val="center"/>
                  </w:pPr>
                  <w:r>
                    <w:rPr>
                      <w:rFonts w:hint="eastAsia"/>
                    </w:rPr>
                    <w:t>20</w:t>
                  </w:r>
                  <w: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8337" w:type="dxa"/>
                  <w:gridSpan w:val="10"/>
                  <w:vAlign w:val="center"/>
                </w:tcPr>
                <w:p>
                  <w:pPr>
                    <w:contextualSpacing/>
                    <w:rPr>
                      <w:b/>
                    </w:rPr>
                  </w:pPr>
                  <w:r>
                    <w:rPr>
                      <w:b/>
                    </w:rPr>
                    <w:t>注：以井场中心为原点</w:t>
                  </w:r>
                </w:p>
              </w:tc>
            </w:tr>
          </w:tbl>
          <w:p>
            <w:pPr>
              <w:spacing w:line="360" w:lineRule="auto"/>
              <w:ind w:firstLine="420" w:firstLineChars="200"/>
              <w:rPr>
                <w:szCs w:val="21"/>
              </w:rPr>
            </w:pPr>
          </w:p>
          <w:p>
            <w:pPr>
              <w:spacing w:line="360" w:lineRule="auto"/>
              <w:ind w:firstLine="420" w:firstLineChars="200"/>
              <w:rPr>
                <w:szCs w:val="21"/>
              </w:rPr>
            </w:pPr>
            <w:r>
              <w:rPr>
                <w:rFonts w:hint="eastAsia"/>
                <w:szCs w:val="21"/>
              </w:rPr>
              <w:t>（2）环境影响分析</w:t>
            </w:r>
          </w:p>
          <w:p>
            <w:pPr>
              <w:spacing w:line="360" w:lineRule="auto"/>
              <w:ind w:firstLine="420" w:firstLineChars="200"/>
              <w:rPr>
                <w:szCs w:val="21"/>
              </w:rPr>
            </w:pPr>
            <w:r>
              <w:rPr>
                <w:szCs w:val="21"/>
              </w:rPr>
              <w:t>测试作业及放喷噪声：本项目压裂测试中产生的噪声主要有设备运行噪声、压裂作业噪声和测试放喷噪声。压裂作业在白天进行，参与作业的压裂车约14台（12用2备），噪声主要来源于压裂车和泵注噪声，其噪声将随着压裂作业的完成而消失。</w:t>
            </w:r>
          </w:p>
          <w:p>
            <w:pPr>
              <w:spacing w:line="360" w:lineRule="auto"/>
              <w:ind w:firstLine="420" w:firstLineChars="200"/>
              <w:rPr>
                <w:szCs w:val="21"/>
              </w:rPr>
            </w:pPr>
            <w:r>
              <w:rPr>
                <w:rFonts w:hint="eastAsia" w:ascii="宋体" w:hAnsi="宋体" w:cs="宋体"/>
                <w:szCs w:val="21"/>
              </w:rPr>
              <w:t>①</w:t>
            </w:r>
            <w:r>
              <w:rPr>
                <w:szCs w:val="21"/>
              </w:rPr>
              <w:t>预测范围、预测点位</w:t>
            </w:r>
          </w:p>
          <w:p>
            <w:pPr>
              <w:spacing w:line="360" w:lineRule="auto"/>
              <w:ind w:firstLine="420" w:firstLineChars="200"/>
              <w:rPr>
                <w:szCs w:val="21"/>
              </w:rPr>
            </w:pPr>
            <w:r>
              <w:rPr>
                <w:szCs w:val="21"/>
              </w:rPr>
              <w:t>井口周边200m范围的各居民点。</w:t>
            </w:r>
          </w:p>
          <w:p>
            <w:pPr>
              <w:spacing w:line="360" w:lineRule="auto"/>
              <w:ind w:firstLine="420" w:firstLineChars="200"/>
              <w:rPr>
                <w:szCs w:val="21"/>
              </w:rPr>
            </w:pPr>
            <w:r>
              <w:rPr>
                <w:rFonts w:hint="eastAsia" w:ascii="宋体" w:hAnsi="宋体" w:cs="宋体"/>
                <w:szCs w:val="21"/>
              </w:rPr>
              <w:t>②</w:t>
            </w:r>
            <w:r>
              <w:rPr>
                <w:szCs w:val="21"/>
              </w:rPr>
              <w:t>声源分析</w:t>
            </w:r>
          </w:p>
          <w:p>
            <w:pPr>
              <w:spacing w:line="360" w:lineRule="auto"/>
              <w:ind w:firstLine="420" w:firstLineChars="200"/>
              <w:rPr>
                <w:szCs w:val="21"/>
              </w:rPr>
            </w:pPr>
            <w:r>
              <w:rPr>
                <w:szCs w:val="21"/>
              </w:rPr>
              <w:t>根据各噪声设备的噪声级和布置，主要噪声源主要分布于井场井口周边30m内，钻井过程中采取相应噪声防治措施，同时在钻井过程中平稳操作，避免特种作业时产生非正常的噪声</w:t>
            </w:r>
          </w:p>
          <w:p>
            <w:pPr>
              <w:spacing w:line="360" w:lineRule="auto"/>
              <w:ind w:firstLine="420" w:firstLineChars="200"/>
              <w:rPr>
                <w:szCs w:val="21"/>
              </w:rPr>
            </w:pPr>
            <w:r>
              <w:rPr>
                <w:rFonts w:hint="eastAsia"/>
                <w:szCs w:val="21"/>
              </w:rPr>
              <w:t>（</w:t>
            </w:r>
            <w:r>
              <w:rPr>
                <w:szCs w:val="21"/>
              </w:rPr>
              <w:t>3）预测模式</w:t>
            </w:r>
          </w:p>
          <w:p>
            <w:pPr>
              <w:tabs>
                <w:tab w:val="left" w:pos="750"/>
              </w:tabs>
              <w:spacing w:line="360" w:lineRule="auto"/>
              <w:ind w:firstLine="420" w:firstLineChars="200"/>
              <w:contextualSpacing/>
              <w:rPr>
                <w:bCs/>
                <w:szCs w:val="21"/>
              </w:rPr>
            </w:pPr>
            <w:r>
              <w:rPr>
                <w:bCs/>
                <w:szCs w:val="21"/>
              </w:rPr>
              <w:t>预测时</w:t>
            </w:r>
            <w:r>
              <w:rPr>
                <w:szCs w:val="21"/>
              </w:rPr>
              <w:t>考虑</w:t>
            </w:r>
            <w:r>
              <w:rPr>
                <w:bCs/>
                <w:szCs w:val="21"/>
              </w:rPr>
              <w:t>声源在传播过程中经过距离衰减，采用《环境影响评价技术导则声环境》（HJ2.4-2021）中的“点声源的几何发散衰减”模式下的“无指向性点声源几何发散衰减”进行计算，预测模式如下：</w:t>
            </w:r>
          </w:p>
          <w:p>
            <w:pPr>
              <w:spacing w:line="360" w:lineRule="auto"/>
              <w:contextualSpacing/>
              <w:jc w:val="center"/>
              <w:rPr>
                <w:bCs/>
                <w:szCs w:val="21"/>
              </w:rPr>
            </w:pPr>
            <m:oMathPara>
              <m:oMath>
                <m:sSub>
                  <m:sSubPr>
                    <m:ctrlPr>
                      <w:rPr>
                        <w:rFonts w:ascii="Cambria Math" w:hAnsi="Cambria Math"/>
                        <w:iCs/>
                        <w:sz w:val="24"/>
                      </w:rPr>
                    </m:ctrlPr>
                  </m:sSubPr>
                  <m:e>
                    <m:r>
                      <m:rPr>
                        <m:sty m:val="p"/>
                      </m:rPr>
                      <w:rPr>
                        <w:rFonts w:ascii="Cambria Math" w:hAnsi="Cambria Math"/>
                        <w:sz w:val="24"/>
                      </w:rPr>
                      <m:t>L</m:t>
                    </m:r>
                    <m:ctrlPr>
                      <w:rPr>
                        <w:rFonts w:ascii="Cambria Math" w:hAnsi="Cambria Math"/>
                        <w:iCs/>
                        <w:sz w:val="24"/>
                      </w:rPr>
                    </m:ctrlPr>
                  </m:e>
                  <m:sub>
                    <m:r>
                      <m:rPr>
                        <m:sty m:val="p"/>
                      </m:rPr>
                      <w:rPr>
                        <w:rFonts w:ascii="Cambria Math" w:hAnsi="Cambria Math"/>
                        <w:sz w:val="24"/>
                      </w:rPr>
                      <m:t>P</m:t>
                    </m:r>
                    <m:ctrlPr>
                      <w:rPr>
                        <w:rFonts w:ascii="Cambria Math" w:hAnsi="Cambria Math"/>
                        <w:iCs/>
                        <w:sz w:val="24"/>
                      </w:rPr>
                    </m:ctrlPr>
                  </m:sub>
                </m:sSub>
                <m:d>
                  <m:dPr>
                    <m:begChr m:val="（"/>
                    <m:endChr m:val="）"/>
                    <m:ctrlPr>
                      <w:rPr>
                        <w:rFonts w:ascii="Cambria Math" w:hAnsi="Cambria Math"/>
                        <w:iCs/>
                        <w:sz w:val="24"/>
                      </w:rPr>
                    </m:ctrlPr>
                  </m:dPr>
                  <m:e>
                    <m:r>
                      <m:rPr>
                        <m:sty m:val="p"/>
                      </m:rPr>
                      <w:rPr>
                        <w:rFonts w:ascii="Cambria Math" w:hAnsi="Cambria Math"/>
                        <w:sz w:val="24"/>
                      </w:rPr>
                      <m:t>r</m:t>
                    </m:r>
                    <m:ctrlPr>
                      <w:rPr>
                        <w:rFonts w:ascii="Cambria Math" w:hAnsi="Cambria Math"/>
                        <w:iCs/>
                        <w:sz w:val="24"/>
                      </w:rPr>
                    </m:ctrlPr>
                  </m:e>
                </m:d>
                <m:r>
                  <m:rPr>
                    <m:sty m:val="p"/>
                  </m:rPr>
                  <w:rPr>
                    <w:rFonts w:ascii="Cambria Math" w:hAnsi="Cambria Math"/>
                    <w:sz w:val="24"/>
                  </w:rPr>
                  <m:t>=</m:t>
                </m:r>
                <m:sSub>
                  <m:sSubPr>
                    <m:ctrlPr>
                      <w:rPr>
                        <w:rFonts w:ascii="Cambria Math" w:hAnsi="Cambria Math"/>
                        <w:iCs/>
                        <w:sz w:val="24"/>
                      </w:rPr>
                    </m:ctrlPr>
                  </m:sSubPr>
                  <m:e>
                    <m:r>
                      <m:rPr>
                        <m:sty m:val="p"/>
                      </m:rPr>
                      <w:rPr>
                        <w:rFonts w:ascii="Cambria Math" w:hAnsi="Cambria Math"/>
                        <w:sz w:val="24"/>
                      </w:rPr>
                      <m:t>L</m:t>
                    </m:r>
                    <m:ctrlPr>
                      <w:rPr>
                        <w:rFonts w:ascii="Cambria Math" w:hAnsi="Cambria Math"/>
                        <w:iCs/>
                        <w:sz w:val="24"/>
                      </w:rPr>
                    </m:ctrlPr>
                  </m:e>
                  <m:sub>
                    <m:r>
                      <m:rPr>
                        <m:sty m:val="p"/>
                      </m:rPr>
                      <w:rPr>
                        <w:rFonts w:ascii="Cambria Math" w:hAnsi="Cambria Math"/>
                        <w:sz w:val="24"/>
                      </w:rPr>
                      <m:t>p</m:t>
                    </m:r>
                    <m:ctrlPr>
                      <w:rPr>
                        <w:rFonts w:ascii="Cambria Math" w:hAnsi="Cambria Math"/>
                        <w:iCs/>
                        <w:sz w:val="24"/>
                      </w:rPr>
                    </m:ctrlPr>
                  </m:sub>
                </m:sSub>
                <m:d>
                  <m:dPr>
                    <m:begChr m:val="（"/>
                    <m:endChr m:val="）"/>
                    <m:ctrlPr>
                      <w:rPr>
                        <w:rFonts w:ascii="Cambria Math" w:hAnsi="Cambria Math"/>
                        <w:iCs/>
                        <w:sz w:val="24"/>
                      </w:rPr>
                    </m:ctrlPr>
                  </m:dPr>
                  <m:e>
                    <m:sSub>
                      <m:sSubPr>
                        <m:ctrlPr>
                          <w:rPr>
                            <w:rFonts w:ascii="Cambria Math" w:hAnsi="Cambria Math"/>
                            <w:iCs/>
                            <w:sz w:val="24"/>
                          </w:rPr>
                        </m:ctrlPr>
                      </m:sSubPr>
                      <m:e>
                        <m:r>
                          <m:rPr>
                            <m:sty m:val="p"/>
                          </m:rPr>
                          <w:rPr>
                            <w:rFonts w:ascii="Cambria Math" w:hAnsi="Cambria Math"/>
                            <w:sz w:val="24"/>
                          </w:rPr>
                          <m:t>r</m:t>
                        </m:r>
                        <m:ctrlPr>
                          <w:rPr>
                            <w:rFonts w:ascii="Cambria Math" w:hAnsi="Cambria Math"/>
                            <w:iCs/>
                            <w:sz w:val="24"/>
                          </w:rPr>
                        </m:ctrlPr>
                      </m:e>
                      <m:sub>
                        <m:r>
                          <m:rPr>
                            <m:sty m:val="p"/>
                          </m:rPr>
                          <w:rPr>
                            <w:rFonts w:ascii="Cambria Math" w:hAnsi="Cambria Math"/>
                            <w:sz w:val="24"/>
                          </w:rPr>
                          <m:t>0</m:t>
                        </m:r>
                        <m:ctrlPr>
                          <w:rPr>
                            <w:rFonts w:ascii="Cambria Math" w:hAnsi="Cambria Math"/>
                            <w:iCs/>
                            <w:sz w:val="24"/>
                          </w:rPr>
                        </m:ctrlPr>
                      </m:sub>
                    </m:sSub>
                    <m:ctrlPr>
                      <w:rPr>
                        <w:rFonts w:ascii="Cambria Math" w:hAnsi="Cambria Math"/>
                        <w:iCs/>
                        <w:sz w:val="24"/>
                      </w:rPr>
                    </m:ctrlPr>
                  </m:e>
                </m:d>
                <m:r>
                  <m:rPr>
                    <m:sty m:val="p"/>
                  </m:rPr>
                  <w:rPr>
                    <w:rFonts w:ascii="Cambria Math" w:hAnsi="Cambria Math"/>
                    <w:sz w:val="24"/>
                  </w:rPr>
                  <m:t>−20lg⁡（r/</m:t>
                </m:r>
                <m:sSub>
                  <m:sSubPr>
                    <m:ctrlPr>
                      <w:rPr>
                        <w:rFonts w:ascii="Cambria Math" w:hAnsi="Cambria Math"/>
                        <w:iCs/>
                        <w:sz w:val="24"/>
                      </w:rPr>
                    </m:ctrlPr>
                  </m:sSubPr>
                  <m:e>
                    <m:r>
                      <m:rPr>
                        <m:sty m:val="p"/>
                      </m:rPr>
                      <w:rPr>
                        <w:rFonts w:ascii="Cambria Math" w:hAnsi="Cambria Math"/>
                        <w:sz w:val="24"/>
                      </w:rPr>
                      <m:t>r</m:t>
                    </m:r>
                    <m:ctrlPr>
                      <w:rPr>
                        <w:rFonts w:ascii="Cambria Math" w:hAnsi="Cambria Math"/>
                        <w:iCs/>
                        <w:sz w:val="24"/>
                      </w:rPr>
                    </m:ctrlPr>
                  </m:e>
                  <m:sub>
                    <m:r>
                      <m:rPr>
                        <m:sty m:val="p"/>
                      </m:rPr>
                      <w:rPr>
                        <w:rFonts w:ascii="Cambria Math" w:hAnsi="Cambria Math"/>
                        <w:sz w:val="24"/>
                      </w:rPr>
                      <m:t>0</m:t>
                    </m:r>
                    <m:ctrlPr>
                      <w:rPr>
                        <w:rFonts w:ascii="Cambria Math" w:hAnsi="Cambria Math"/>
                        <w:iCs/>
                        <w:sz w:val="24"/>
                      </w:rPr>
                    </m:ctrlPr>
                  </m:sub>
                </m:sSub>
                <m:r>
                  <m:rPr>
                    <m:sty m:val="p"/>
                  </m:rPr>
                  <w:rPr>
                    <w:rFonts w:ascii="Cambria Math" w:hAnsi="Cambria Math"/>
                    <w:sz w:val="24"/>
                  </w:rPr>
                  <m:t>）</m:t>
                </m:r>
              </m:oMath>
            </m:oMathPara>
          </w:p>
          <w:p>
            <w:pPr>
              <w:tabs>
                <w:tab w:val="left" w:pos="750"/>
              </w:tabs>
              <w:spacing w:line="360" w:lineRule="auto"/>
              <w:ind w:firstLine="420" w:firstLineChars="200"/>
              <w:contextualSpacing/>
              <w:rPr>
                <w:szCs w:val="21"/>
                <w:lang w:val="pt-BR"/>
              </w:rPr>
            </w:pPr>
            <w:r>
              <w:rPr>
                <w:szCs w:val="21"/>
              </w:rPr>
              <w:t>式中</w:t>
            </w:r>
            <w:r>
              <w:rPr>
                <w:szCs w:val="21"/>
                <w:lang w:val="pt-BR"/>
              </w:rPr>
              <w:t>：</w:t>
            </w:r>
            <w:r>
              <w:rPr>
                <w:i/>
                <w:iCs/>
                <w:szCs w:val="21"/>
                <w:lang w:val="pt-BR"/>
              </w:rPr>
              <w:t>L</w:t>
            </w:r>
            <w:r>
              <w:rPr>
                <w:i/>
                <w:iCs/>
                <w:szCs w:val="21"/>
                <w:vertAlign w:val="subscript"/>
                <w:lang w:val="pt-BR"/>
              </w:rPr>
              <w:t>P</w:t>
            </w:r>
            <w:r>
              <w:rPr>
                <w:i/>
                <w:iCs/>
                <w:szCs w:val="21"/>
                <w:lang w:val="pt-BR"/>
              </w:rPr>
              <w:t>（r）</w:t>
            </w:r>
            <w:r>
              <w:rPr>
                <w:szCs w:val="21"/>
                <w:lang w:val="pt-BR"/>
              </w:rPr>
              <w:t xml:space="preserve"> — 预测点处声压级，dB；</w:t>
            </w:r>
          </w:p>
          <w:p>
            <w:pPr>
              <w:spacing w:line="360" w:lineRule="auto"/>
              <w:ind w:firstLine="1050" w:firstLineChars="500"/>
              <w:contextualSpacing/>
              <w:rPr>
                <w:szCs w:val="21"/>
              </w:rPr>
            </w:pPr>
            <w:r>
              <w:rPr>
                <w:i/>
                <w:iCs/>
                <w:szCs w:val="21"/>
              </w:rPr>
              <w:t>L</w:t>
            </w:r>
            <w:r>
              <w:rPr>
                <w:i/>
                <w:iCs/>
                <w:szCs w:val="21"/>
                <w:vertAlign w:val="subscript"/>
              </w:rPr>
              <w:t>P</w:t>
            </w:r>
            <w:r>
              <w:rPr>
                <w:i/>
                <w:iCs/>
                <w:szCs w:val="21"/>
              </w:rPr>
              <w:t>（r</w:t>
            </w:r>
            <w:r>
              <w:rPr>
                <w:i/>
                <w:iCs/>
                <w:szCs w:val="21"/>
                <w:vertAlign w:val="subscript"/>
              </w:rPr>
              <w:t>0</w:t>
            </w:r>
            <w:r>
              <w:rPr>
                <w:i/>
                <w:iCs/>
                <w:szCs w:val="21"/>
              </w:rPr>
              <w:t>）</w:t>
            </w:r>
            <w:r>
              <w:rPr>
                <w:szCs w:val="21"/>
              </w:rPr>
              <w:t>— 参考点r</w:t>
            </w:r>
            <w:r>
              <w:rPr>
                <w:szCs w:val="21"/>
                <w:vertAlign w:val="subscript"/>
              </w:rPr>
              <w:t>0</w:t>
            </w:r>
            <w:r>
              <w:rPr>
                <w:szCs w:val="21"/>
              </w:rPr>
              <w:t>处的声压级，dB；</w:t>
            </w:r>
          </w:p>
          <w:p>
            <w:pPr>
              <w:spacing w:line="360" w:lineRule="auto"/>
              <w:ind w:firstLine="1050" w:firstLineChars="500"/>
              <w:contextualSpacing/>
              <w:rPr>
                <w:szCs w:val="21"/>
              </w:rPr>
            </w:pPr>
            <w:r>
              <w:rPr>
                <w:i/>
                <w:iCs/>
                <w:szCs w:val="21"/>
              </w:rPr>
              <w:t xml:space="preserve">r </w:t>
            </w:r>
            <w:r>
              <w:rPr>
                <w:szCs w:val="21"/>
              </w:rPr>
              <w:t>— 预测点距声源的距离，m；</w:t>
            </w:r>
          </w:p>
          <w:p>
            <w:pPr>
              <w:spacing w:line="360" w:lineRule="auto"/>
              <w:ind w:firstLine="1050" w:firstLineChars="500"/>
              <w:contextualSpacing/>
              <w:rPr>
                <w:szCs w:val="21"/>
              </w:rPr>
            </w:pPr>
            <w:r>
              <w:rPr>
                <w:i/>
                <w:iCs/>
                <w:szCs w:val="21"/>
              </w:rPr>
              <w:t>r</w:t>
            </w:r>
            <w:r>
              <w:rPr>
                <w:i/>
                <w:iCs/>
                <w:szCs w:val="21"/>
                <w:vertAlign w:val="subscript"/>
              </w:rPr>
              <w:t>0</w:t>
            </w:r>
            <w:r>
              <w:rPr>
                <w:szCs w:val="21"/>
              </w:rPr>
              <w:t xml:space="preserve"> — 参考位置距声源的距离，m；</w:t>
            </w:r>
          </w:p>
          <w:p>
            <w:pPr>
              <w:tabs>
                <w:tab w:val="left" w:pos="750"/>
              </w:tabs>
              <w:spacing w:line="360" w:lineRule="auto"/>
              <w:ind w:firstLine="420" w:firstLineChars="200"/>
              <w:contextualSpacing/>
              <w:rPr>
                <w:szCs w:val="21"/>
              </w:rPr>
            </w:pPr>
            <w:r>
              <w:rPr>
                <w:szCs w:val="21"/>
              </w:rPr>
              <w:t>多个声源发出的噪声在同一受声点的共同影响，噪声在预测点处产生的等效声级贡献值叠加的计算公式如下：</w:t>
            </w:r>
          </w:p>
          <w:p>
            <w:pPr>
              <w:spacing w:line="360" w:lineRule="auto"/>
              <w:ind w:firstLine="420" w:firstLineChars="200"/>
              <w:contextualSpacing/>
              <w:jc w:val="center"/>
              <w:rPr>
                <w:szCs w:val="21"/>
              </w:rPr>
            </w:pPr>
            <w:r>
              <w:rPr>
                <w:position w:val="-28"/>
                <w:szCs w:val="21"/>
              </w:rPr>
              <w:drawing>
                <wp:inline distT="0" distB="0" distL="0" distR="0">
                  <wp:extent cx="1733550" cy="457200"/>
                  <wp:effectExtent l="0" t="0" r="0" b="0"/>
                  <wp:docPr id="2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733550" cy="457200"/>
                          </a:xfrm>
                          <a:prstGeom prst="rect">
                            <a:avLst/>
                          </a:prstGeom>
                          <a:noFill/>
                          <a:ln>
                            <a:noFill/>
                          </a:ln>
                        </pic:spPr>
                      </pic:pic>
                    </a:graphicData>
                  </a:graphic>
                </wp:inline>
              </w:drawing>
            </w:r>
          </w:p>
          <w:p>
            <w:pPr>
              <w:tabs>
                <w:tab w:val="left" w:pos="750"/>
              </w:tabs>
              <w:spacing w:line="360" w:lineRule="auto"/>
              <w:ind w:firstLine="420" w:firstLineChars="200"/>
              <w:contextualSpacing/>
              <w:rPr>
                <w:szCs w:val="21"/>
              </w:rPr>
            </w:pPr>
            <w:r>
              <w:rPr>
                <w:szCs w:val="21"/>
              </w:rPr>
              <w:t>式中：</w:t>
            </w:r>
            <w:r>
              <w:rPr>
                <w:i/>
                <w:iCs/>
                <w:szCs w:val="21"/>
              </w:rPr>
              <w:t>L</w:t>
            </w:r>
            <w:r>
              <w:rPr>
                <w:i/>
                <w:iCs/>
                <w:szCs w:val="21"/>
                <w:vertAlign w:val="subscript"/>
              </w:rPr>
              <w:t>eqg</w:t>
            </w:r>
            <w:r>
              <w:rPr>
                <w:szCs w:val="21"/>
              </w:rPr>
              <w:t xml:space="preserve"> — 建设项目在预测点的等效声级贡献值，dB；</w:t>
            </w:r>
          </w:p>
          <w:p>
            <w:pPr>
              <w:tabs>
                <w:tab w:val="left" w:pos="750"/>
              </w:tabs>
              <w:spacing w:line="360" w:lineRule="auto"/>
              <w:ind w:firstLine="1050" w:firstLineChars="500"/>
              <w:contextualSpacing/>
              <w:rPr>
                <w:szCs w:val="21"/>
              </w:rPr>
            </w:pPr>
            <w:r>
              <w:rPr>
                <w:i/>
                <w:iCs/>
                <w:szCs w:val="21"/>
              </w:rPr>
              <w:t>L</w:t>
            </w:r>
            <w:r>
              <w:rPr>
                <w:i/>
                <w:iCs/>
                <w:szCs w:val="21"/>
                <w:vertAlign w:val="subscript"/>
              </w:rPr>
              <w:t>Ai</w:t>
            </w:r>
            <w:r>
              <w:rPr>
                <w:i/>
                <w:iCs/>
                <w:szCs w:val="21"/>
              </w:rPr>
              <w:t xml:space="preserve"> </w:t>
            </w:r>
            <w:r>
              <w:rPr>
                <w:szCs w:val="21"/>
              </w:rPr>
              <w:t xml:space="preserve">— </w:t>
            </w:r>
            <w:r>
              <w:rPr>
                <w:i/>
                <w:iCs/>
                <w:szCs w:val="21"/>
              </w:rPr>
              <w:t>i</w:t>
            </w:r>
            <w:r>
              <w:rPr>
                <w:szCs w:val="21"/>
              </w:rPr>
              <w:t>声源在预测点产生的A声级，dB；</w:t>
            </w:r>
          </w:p>
          <w:p>
            <w:pPr>
              <w:tabs>
                <w:tab w:val="left" w:pos="750"/>
              </w:tabs>
              <w:spacing w:line="360" w:lineRule="auto"/>
              <w:ind w:firstLine="1050" w:firstLineChars="500"/>
              <w:contextualSpacing/>
              <w:rPr>
                <w:szCs w:val="21"/>
              </w:rPr>
            </w:pPr>
            <w:r>
              <w:rPr>
                <w:i/>
                <w:iCs/>
                <w:szCs w:val="21"/>
              </w:rPr>
              <w:t>T</w:t>
            </w:r>
            <w:r>
              <w:rPr>
                <w:szCs w:val="21"/>
              </w:rPr>
              <w:t xml:space="preserve"> — 预测计算的时间段，s；</w:t>
            </w:r>
          </w:p>
          <w:p>
            <w:pPr>
              <w:tabs>
                <w:tab w:val="left" w:pos="750"/>
              </w:tabs>
              <w:spacing w:line="360" w:lineRule="auto"/>
              <w:ind w:firstLine="1050" w:firstLineChars="500"/>
              <w:contextualSpacing/>
              <w:rPr>
                <w:szCs w:val="21"/>
              </w:rPr>
            </w:pPr>
            <w:r>
              <w:rPr>
                <w:i/>
                <w:iCs/>
                <w:szCs w:val="21"/>
              </w:rPr>
              <w:t>t</w:t>
            </w:r>
            <w:r>
              <w:rPr>
                <w:i/>
                <w:iCs/>
                <w:szCs w:val="21"/>
                <w:vertAlign w:val="subscript"/>
              </w:rPr>
              <w:t>i</w:t>
            </w:r>
            <w:r>
              <w:rPr>
                <w:szCs w:val="21"/>
              </w:rPr>
              <w:t xml:space="preserve"> —</w:t>
            </w:r>
            <w:r>
              <w:rPr>
                <w:i/>
                <w:iCs/>
                <w:szCs w:val="21"/>
              </w:rPr>
              <w:t>i</w:t>
            </w:r>
            <w:r>
              <w:rPr>
                <w:szCs w:val="21"/>
              </w:rPr>
              <w:t>声源在T时段内的运行时间，s。</w:t>
            </w:r>
          </w:p>
          <w:p>
            <w:pPr>
              <w:tabs>
                <w:tab w:val="left" w:pos="750"/>
              </w:tabs>
              <w:spacing w:line="360" w:lineRule="auto"/>
              <w:ind w:firstLine="420" w:firstLineChars="200"/>
              <w:contextualSpacing/>
              <w:rPr>
                <w:szCs w:val="21"/>
              </w:rPr>
            </w:pPr>
            <w:r>
              <w:rPr>
                <w:szCs w:val="21"/>
              </w:rPr>
              <w:t>声源在敏感点处的贡献值叠加背景值即为该敏感点处噪声预测值，计算</w:t>
            </w:r>
            <w:r>
              <w:rPr>
                <w:bCs/>
                <w:szCs w:val="21"/>
              </w:rPr>
              <w:t>采用《环境影响评价技术导则声环境》（HJ2.4-2021）</w:t>
            </w:r>
            <w:r>
              <w:rPr>
                <w:szCs w:val="21"/>
              </w:rPr>
              <w:t>3.11中（3）式，公式为：</w:t>
            </w:r>
          </w:p>
          <w:p>
            <w:pPr>
              <w:spacing w:line="360" w:lineRule="auto"/>
              <w:ind w:firstLine="420" w:firstLineChars="200"/>
              <w:contextualSpacing/>
              <w:jc w:val="center"/>
              <w:rPr>
                <w:szCs w:val="21"/>
              </w:rPr>
            </w:pPr>
            <w:r>
              <w:rPr>
                <w:position w:val="-12"/>
                <w:szCs w:val="21"/>
              </w:rPr>
              <w:drawing>
                <wp:inline distT="0" distB="0" distL="0" distR="0">
                  <wp:extent cx="2286000" cy="279400"/>
                  <wp:effectExtent l="0" t="0" r="0" b="0"/>
                  <wp:docPr id="2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286000" cy="279400"/>
                          </a:xfrm>
                          <a:prstGeom prst="rect">
                            <a:avLst/>
                          </a:prstGeom>
                          <a:noFill/>
                          <a:ln>
                            <a:noFill/>
                          </a:ln>
                        </pic:spPr>
                      </pic:pic>
                    </a:graphicData>
                  </a:graphic>
                </wp:inline>
              </w:drawing>
            </w:r>
          </w:p>
          <w:p>
            <w:pPr>
              <w:tabs>
                <w:tab w:val="left" w:pos="750"/>
              </w:tabs>
              <w:spacing w:line="360" w:lineRule="auto"/>
              <w:ind w:firstLine="420" w:firstLineChars="200"/>
              <w:contextualSpacing/>
              <w:rPr>
                <w:szCs w:val="21"/>
              </w:rPr>
            </w:pPr>
            <w:r>
              <w:rPr>
                <w:szCs w:val="21"/>
              </w:rPr>
              <w:t>式中：</w:t>
            </w:r>
            <w:r>
              <w:rPr>
                <w:i/>
                <w:iCs/>
                <w:szCs w:val="21"/>
              </w:rPr>
              <w:t>L</w:t>
            </w:r>
            <w:r>
              <w:rPr>
                <w:i/>
                <w:iCs/>
                <w:szCs w:val="21"/>
                <w:vertAlign w:val="subscript"/>
              </w:rPr>
              <w:t>eqg</w:t>
            </w:r>
            <w:r>
              <w:rPr>
                <w:i/>
                <w:iCs/>
                <w:szCs w:val="21"/>
              </w:rPr>
              <w:t xml:space="preserve"> </w:t>
            </w:r>
            <w:r>
              <w:rPr>
                <w:szCs w:val="21"/>
              </w:rPr>
              <w:t>— 建设项目声源在预测点的等效声级贡献值，dB；</w:t>
            </w:r>
          </w:p>
          <w:p>
            <w:pPr>
              <w:spacing w:line="360" w:lineRule="auto"/>
              <w:ind w:firstLine="1050" w:firstLineChars="500"/>
              <w:contextualSpacing/>
              <w:rPr>
                <w:szCs w:val="21"/>
              </w:rPr>
            </w:pPr>
            <w:r>
              <w:rPr>
                <w:i/>
                <w:iCs/>
                <w:szCs w:val="21"/>
              </w:rPr>
              <w:t>L</w:t>
            </w:r>
            <w:r>
              <w:rPr>
                <w:i/>
                <w:iCs/>
                <w:szCs w:val="21"/>
                <w:vertAlign w:val="subscript"/>
              </w:rPr>
              <w:t>eqb</w:t>
            </w:r>
            <w:r>
              <w:rPr>
                <w:szCs w:val="21"/>
              </w:rPr>
              <w:t xml:space="preserve"> — 预测点的背景值，dB。</w:t>
            </w:r>
          </w:p>
          <w:p>
            <w:pPr>
              <w:tabs>
                <w:tab w:val="left" w:pos="750"/>
              </w:tabs>
              <w:spacing w:line="360" w:lineRule="auto"/>
              <w:ind w:firstLine="420" w:firstLineChars="200"/>
              <w:contextualSpacing/>
              <w:rPr>
                <w:szCs w:val="21"/>
              </w:rPr>
            </w:pPr>
            <w:r>
              <w:rPr>
                <w:szCs w:val="21"/>
              </w:rPr>
              <w:t>预测结果见下表。</w:t>
            </w:r>
          </w:p>
          <w:p>
            <w:pPr>
              <w:autoSpaceDE w:val="0"/>
              <w:autoSpaceDN w:val="0"/>
              <w:spacing w:line="360" w:lineRule="auto"/>
              <w:contextualSpacing/>
              <w:jc w:val="center"/>
              <w:rPr>
                <w:b/>
                <w:szCs w:val="21"/>
              </w:rPr>
            </w:pPr>
            <w:r>
              <w:rPr>
                <w:b/>
                <w:szCs w:val="21"/>
              </w:rPr>
              <w:t>表4-19 压裂设备厂界噪声预测结果与达标分析表</w:t>
            </w:r>
          </w:p>
          <w:tbl>
            <w:tblPr>
              <w:tblStyle w:val="42"/>
              <w:tblW w:w="81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0"/>
              <w:gridCol w:w="766"/>
              <w:gridCol w:w="766"/>
              <w:gridCol w:w="766"/>
              <w:gridCol w:w="947"/>
              <w:gridCol w:w="1352"/>
              <w:gridCol w:w="1353"/>
              <w:gridCol w:w="1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exact"/>
                <w:jc w:val="center"/>
              </w:trPr>
              <w:tc>
                <w:tcPr>
                  <w:tcW w:w="1050" w:type="dxa"/>
                  <w:vMerge w:val="restart"/>
                  <w:vAlign w:val="center"/>
                </w:tcPr>
                <w:p>
                  <w:pPr>
                    <w:jc w:val="center"/>
                    <w:rPr>
                      <w:rFonts w:eastAsiaTheme="minorEastAsia"/>
                      <w:szCs w:val="21"/>
                    </w:rPr>
                  </w:pPr>
                  <w:r>
                    <w:rPr>
                      <w:rFonts w:eastAsiaTheme="minorEastAsia"/>
                      <w:b/>
                      <w:szCs w:val="21"/>
                    </w:rPr>
                    <w:t>预测方位</w:t>
                  </w:r>
                </w:p>
              </w:tc>
              <w:tc>
                <w:tcPr>
                  <w:tcW w:w="2298" w:type="dxa"/>
                  <w:gridSpan w:val="3"/>
                  <w:vAlign w:val="center"/>
                </w:tcPr>
                <w:p>
                  <w:pPr>
                    <w:jc w:val="center"/>
                    <w:rPr>
                      <w:rFonts w:eastAsiaTheme="minorEastAsia"/>
                      <w:szCs w:val="21"/>
                    </w:rPr>
                  </w:pPr>
                  <w:r>
                    <w:rPr>
                      <w:rFonts w:eastAsiaTheme="minorEastAsia"/>
                      <w:b/>
                      <w:szCs w:val="21"/>
                    </w:rPr>
                    <w:t>空间相对位置/m</w:t>
                  </w:r>
                </w:p>
              </w:tc>
              <w:tc>
                <w:tcPr>
                  <w:tcW w:w="947" w:type="dxa"/>
                  <w:vMerge w:val="restart"/>
                  <w:vAlign w:val="center"/>
                </w:tcPr>
                <w:p>
                  <w:pPr>
                    <w:jc w:val="center"/>
                    <w:rPr>
                      <w:rFonts w:eastAsiaTheme="minorEastAsia"/>
                      <w:szCs w:val="21"/>
                    </w:rPr>
                  </w:pPr>
                  <w:r>
                    <w:rPr>
                      <w:rFonts w:eastAsiaTheme="minorEastAsia"/>
                      <w:b/>
                      <w:szCs w:val="21"/>
                    </w:rPr>
                    <w:t>时段</w:t>
                  </w:r>
                </w:p>
              </w:tc>
              <w:tc>
                <w:tcPr>
                  <w:tcW w:w="1352" w:type="dxa"/>
                  <w:vMerge w:val="restart"/>
                  <w:vAlign w:val="center"/>
                </w:tcPr>
                <w:p>
                  <w:pPr>
                    <w:jc w:val="center"/>
                    <w:rPr>
                      <w:rFonts w:eastAsiaTheme="minorEastAsia"/>
                      <w:szCs w:val="21"/>
                    </w:rPr>
                  </w:pPr>
                  <w:r>
                    <w:rPr>
                      <w:rFonts w:eastAsiaTheme="minorEastAsia"/>
                      <w:b/>
                      <w:szCs w:val="21"/>
                    </w:rPr>
                    <w:t>预测值（dB(A)）</w:t>
                  </w:r>
                </w:p>
              </w:tc>
              <w:tc>
                <w:tcPr>
                  <w:tcW w:w="1353" w:type="dxa"/>
                  <w:vMerge w:val="restart"/>
                  <w:vAlign w:val="center"/>
                </w:tcPr>
                <w:p>
                  <w:pPr>
                    <w:jc w:val="center"/>
                    <w:rPr>
                      <w:rFonts w:eastAsiaTheme="minorEastAsia"/>
                      <w:szCs w:val="21"/>
                    </w:rPr>
                  </w:pPr>
                  <w:r>
                    <w:rPr>
                      <w:rFonts w:eastAsiaTheme="minorEastAsia"/>
                      <w:b/>
                      <w:szCs w:val="21"/>
                    </w:rPr>
                    <w:t>标准限值（dB(A)）</w:t>
                  </w:r>
                </w:p>
              </w:tc>
              <w:tc>
                <w:tcPr>
                  <w:tcW w:w="1133" w:type="dxa"/>
                  <w:vMerge w:val="restart"/>
                  <w:vAlign w:val="center"/>
                </w:tcPr>
                <w:p>
                  <w:pPr>
                    <w:jc w:val="center"/>
                    <w:rPr>
                      <w:rFonts w:eastAsiaTheme="minorEastAsia"/>
                      <w:szCs w:val="21"/>
                    </w:rPr>
                  </w:pPr>
                  <w:r>
                    <w:rPr>
                      <w:rFonts w:eastAsiaTheme="minorEastAsia"/>
                      <w:b/>
                      <w:szCs w:val="21"/>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50" w:type="dxa"/>
                  <w:vMerge w:val="continue"/>
                  <w:shd w:val="clear" w:color="auto" w:fill="FFFFFF"/>
                  <w:vAlign w:val="center"/>
                </w:tcPr>
                <w:p>
                  <w:pPr>
                    <w:jc w:val="center"/>
                    <w:rPr>
                      <w:rFonts w:eastAsiaTheme="minorEastAsia"/>
                      <w:szCs w:val="21"/>
                    </w:rPr>
                  </w:pPr>
                </w:p>
              </w:tc>
              <w:tc>
                <w:tcPr>
                  <w:tcW w:w="766" w:type="dxa"/>
                  <w:shd w:val="clear" w:color="auto" w:fill="FFFFFF"/>
                  <w:vAlign w:val="center"/>
                </w:tcPr>
                <w:p>
                  <w:pPr>
                    <w:jc w:val="center"/>
                    <w:rPr>
                      <w:rFonts w:eastAsiaTheme="minorEastAsia"/>
                      <w:szCs w:val="21"/>
                    </w:rPr>
                  </w:pPr>
                  <w:r>
                    <w:rPr>
                      <w:rFonts w:eastAsiaTheme="minorEastAsia"/>
                      <w:szCs w:val="21"/>
                    </w:rPr>
                    <w:t>X</w:t>
                  </w:r>
                </w:p>
              </w:tc>
              <w:tc>
                <w:tcPr>
                  <w:tcW w:w="766" w:type="dxa"/>
                  <w:shd w:val="clear" w:color="auto" w:fill="FFFFFF"/>
                  <w:vAlign w:val="center"/>
                </w:tcPr>
                <w:p>
                  <w:pPr>
                    <w:jc w:val="center"/>
                    <w:rPr>
                      <w:rFonts w:eastAsiaTheme="minorEastAsia"/>
                      <w:szCs w:val="21"/>
                    </w:rPr>
                  </w:pPr>
                  <w:r>
                    <w:rPr>
                      <w:rFonts w:eastAsiaTheme="minorEastAsia"/>
                      <w:szCs w:val="21"/>
                    </w:rPr>
                    <w:t>Y</w:t>
                  </w:r>
                </w:p>
              </w:tc>
              <w:tc>
                <w:tcPr>
                  <w:tcW w:w="766" w:type="dxa"/>
                  <w:shd w:val="clear" w:color="auto" w:fill="FFFFFF"/>
                  <w:vAlign w:val="center"/>
                </w:tcPr>
                <w:p>
                  <w:pPr>
                    <w:jc w:val="center"/>
                    <w:rPr>
                      <w:rFonts w:eastAsiaTheme="minorEastAsia"/>
                      <w:szCs w:val="21"/>
                    </w:rPr>
                  </w:pPr>
                  <w:r>
                    <w:rPr>
                      <w:rFonts w:eastAsiaTheme="minorEastAsia"/>
                      <w:szCs w:val="21"/>
                    </w:rPr>
                    <w:t>Z</w:t>
                  </w:r>
                </w:p>
              </w:tc>
              <w:tc>
                <w:tcPr>
                  <w:tcW w:w="947" w:type="dxa"/>
                  <w:vMerge w:val="continue"/>
                  <w:shd w:val="clear" w:color="auto" w:fill="FFFFFF"/>
                  <w:vAlign w:val="center"/>
                </w:tcPr>
                <w:p>
                  <w:pPr>
                    <w:jc w:val="center"/>
                    <w:rPr>
                      <w:rFonts w:eastAsiaTheme="minorEastAsia"/>
                      <w:szCs w:val="21"/>
                    </w:rPr>
                  </w:pPr>
                </w:p>
              </w:tc>
              <w:tc>
                <w:tcPr>
                  <w:tcW w:w="1352" w:type="dxa"/>
                  <w:vMerge w:val="continue"/>
                  <w:shd w:val="clear" w:color="auto" w:fill="FFFFFF"/>
                  <w:vAlign w:val="center"/>
                </w:tcPr>
                <w:p>
                  <w:pPr>
                    <w:jc w:val="center"/>
                    <w:rPr>
                      <w:rFonts w:eastAsiaTheme="minorEastAsia"/>
                      <w:szCs w:val="21"/>
                    </w:rPr>
                  </w:pPr>
                </w:p>
              </w:tc>
              <w:tc>
                <w:tcPr>
                  <w:tcW w:w="1353" w:type="dxa"/>
                  <w:vMerge w:val="continue"/>
                  <w:shd w:val="clear" w:color="auto" w:fill="FFFFFF"/>
                  <w:vAlign w:val="center"/>
                </w:tcPr>
                <w:p>
                  <w:pPr>
                    <w:jc w:val="center"/>
                    <w:rPr>
                      <w:rFonts w:eastAsiaTheme="minorEastAsia"/>
                      <w:szCs w:val="21"/>
                    </w:rPr>
                  </w:pPr>
                </w:p>
              </w:tc>
              <w:tc>
                <w:tcPr>
                  <w:tcW w:w="1133" w:type="dxa"/>
                  <w:vMerge w:val="continue"/>
                  <w:shd w:val="clear" w:color="auto" w:fill="FFFFFF"/>
                  <w:vAlign w:val="center"/>
                </w:tcPr>
                <w:p>
                  <w:pPr>
                    <w:jc w:val="center"/>
                    <w:rPr>
                      <w:rFonts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97" w:hRule="exact"/>
                <w:jc w:val="center"/>
              </w:trPr>
              <w:tc>
                <w:tcPr>
                  <w:tcW w:w="1050" w:type="dxa"/>
                  <w:shd w:val="clear" w:color="auto" w:fill="FFFFFF"/>
                  <w:vAlign w:val="center"/>
                </w:tcPr>
                <w:p>
                  <w:pPr>
                    <w:jc w:val="center"/>
                  </w:pPr>
                  <w:r>
                    <w:rPr>
                      <w:rFonts w:ascii="Arial" w:hAnsi="Arial" w:eastAsia="Arial" w:cs="Arial"/>
                      <w:sz w:val="20"/>
                    </w:rPr>
                    <w:t>东侧</w:t>
                  </w:r>
                </w:p>
              </w:tc>
              <w:tc>
                <w:tcPr>
                  <w:tcW w:w="766" w:type="dxa"/>
                  <w:shd w:val="clear" w:color="auto" w:fill="FFFFFF"/>
                  <w:vAlign w:val="center"/>
                </w:tcPr>
                <w:p>
                  <w:pPr>
                    <w:jc w:val="center"/>
                    <w:rPr>
                      <w:szCs w:val="21"/>
                    </w:rPr>
                  </w:pPr>
                  <w:r>
                    <w:rPr>
                      <w:szCs w:val="21"/>
                    </w:rPr>
                    <w:t>29</w:t>
                  </w:r>
                </w:p>
              </w:tc>
              <w:tc>
                <w:tcPr>
                  <w:tcW w:w="766" w:type="dxa"/>
                  <w:shd w:val="clear" w:color="auto" w:fill="FFFFFF"/>
                  <w:vAlign w:val="center"/>
                </w:tcPr>
                <w:p>
                  <w:pPr>
                    <w:jc w:val="center"/>
                    <w:rPr>
                      <w:szCs w:val="21"/>
                    </w:rPr>
                  </w:pPr>
                  <w:r>
                    <w:rPr>
                      <w:szCs w:val="21"/>
                    </w:rPr>
                    <w:t>17</w:t>
                  </w:r>
                </w:p>
              </w:tc>
              <w:tc>
                <w:tcPr>
                  <w:tcW w:w="766" w:type="dxa"/>
                  <w:shd w:val="clear" w:color="auto" w:fill="FFFFFF"/>
                  <w:vAlign w:val="center"/>
                </w:tcPr>
                <w:p>
                  <w:pPr>
                    <w:jc w:val="center"/>
                    <w:rPr>
                      <w:szCs w:val="21"/>
                    </w:rPr>
                  </w:pPr>
                  <w:r>
                    <w:rPr>
                      <w:szCs w:val="21"/>
                    </w:rPr>
                    <w:t>386</w:t>
                  </w:r>
                </w:p>
              </w:tc>
              <w:tc>
                <w:tcPr>
                  <w:tcW w:w="947" w:type="dxa"/>
                  <w:shd w:val="clear" w:color="auto" w:fill="FFFFFF"/>
                  <w:vAlign w:val="center"/>
                </w:tcPr>
                <w:p>
                  <w:pPr>
                    <w:jc w:val="center"/>
                  </w:pPr>
                  <w:r>
                    <w:rPr>
                      <w:rFonts w:ascii="Arial" w:hAnsi="Arial" w:eastAsia="Arial" w:cs="Arial"/>
                      <w:sz w:val="20"/>
                    </w:rPr>
                    <w:t>昼间</w:t>
                  </w:r>
                </w:p>
              </w:tc>
              <w:tc>
                <w:tcPr>
                  <w:tcW w:w="1352" w:type="dxa"/>
                  <w:shd w:val="clear" w:color="auto" w:fill="FFFFFF"/>
                  <w:vAlign w:val="center"/>
                </w:tcPr>
                <w:p>
                  <w:pPr>
                    <w:jc w:val="center"/>
                    <w:rPr>
                      <w:szCs w:val="21"/>
                    </w:rPr>
                  </w:pPr>
                  <w:r>
                    <w:rPr>
                      <w:szCs w:val="21"/>
                    </w:rPr>
                    <w:t>72</w:t>
                  </w:r>
                </w:p>
              </w:tc>
              <w:tc>
                <w:tcPr>
                  <w:tcW w:w="1353" w:type="dxa"/>
                  <w:shd w:val="clear" w:color="auto" w:fill="FFFFFF"/>
                  <w:vAlign w:val="center"/>
                </w:tcPr>
                <w:p>
                  <w:pPr>
                    <w:jc w:val="center"/>
                    <w:rPr>
                      <w:szCs w:val="21"/>
                    </w:rPr>
                  </w:pPr>
                  <w:r>
                    <w:rPr>
                      <w:szCs w:val="21"/>
                    </w:rPr>
                    <w:t>60</w:t>
                  </w:r>
                </w:p>
              </w:tc>
              <w:tc>
                <w:tcPr>
                  <w:tcW w:w="1133" w:type="dxa"/>
                  <w:shd w:val="clear" w:color="auto" w:fill="FFFFFF"/>
                  <w:vAlign w:val="center"/>
                </w:tcPr>
                <w:p>
                  <w:pPr>
                    <w:jc w:val="center"/>
                  </w:pPr>
                  <w:r>
                    <w:rPr>
                      <w:rFonts w:ascii="Arial" w:hAnsi="Arial" w:eastAsia="Arial" w:cs="Arial"/>
                      <w:sz w:val="20"/>
                    </w:rPr>
                    <w:t>不达标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97" w:hRule="exact"/>
                <w:jc w:val="center"/>
              </w:trPr>
              <w:tc>
                <w:tcPr>
                  <w:tcW w:w="1050" w:type="dxa"/>
                  <w:shd w:val="clear" w:color="auto" w:fill="FFFFFF"/>
                  <w:vAlign w:val="center"/>
                </w:tcPr>
                <w:p>
                  <w:pPr>
                    <w:jc w:val="center"/>
                  </w:pPr>
                  <w:r>
                    <w:rPr>
                      <w:rFonts w:ascii="Arial" w:hAnsi="Arial" w:eastAsia="Arial" w:cs="Arial"/>
                      <w:sz w:val="20"/>
                    </w:rPr>
                    <w:t>南侧</w:t>
                  </w:r>
                </w:p>
              </w:tc>
              <w:tc>
                <w:tcPr>
                  <w:tcW w:w="766" w:type="dxa"/>
                  <w:shd w:val="clear" w:color="auto" w:fill="FFFFFF"/>
                  <w:vAlign w:val="center"/>
                </w:tcPr>
                <w:p>
                  <w:pPr>
                    <w:jc w:val="center"/>
                    <w:rPr>
                      <w:szCs w:val="21"/>
                    </w:rPr>
                  </w:pPr>
                  <w:r>
                    <w:rPr>
                      <w:szCs w:val="21"/>
                    </w:rPr>
                    <w:t>-24</w:t>
                  </w:r>
                </w:p>
              </w:tc>
              <w:tc>
                <w:tcPr>
                  <w:tcW w:w="766" w:type="dxa"/>
                  <w:shd w:val="clear" w:color="auto" w:fill="FFFFFF"/>
                  <w:vAlign w:val="center"/>
                </w:tcPr>
                <w:p>
                  <w:pPr>
                    <w:jc w:val="center"/>
                    <w:rPr>
                      <w:szCs w:val="21"/>
                    </w:rPr>
                  </w:pPr>
                  <w:r>
                    <w:rPr>
                      <w:szCs w:val="21"/>
                    </w:rPr>
                    <w:t>-26</w:t>
                  </w:r>
                </w:p>
              </w:tc>
              <w:tc>
                <w:tcPr>
                  <w:tcW w:w="766" w:type="dxa"/>
                  <w:shd w:val="clear" w:color="auto" w:fill="FFFFFF"/>
                  <w:vAlign w:val="center"/>
                </w:tcPr>
                <w:p>
                  <w:pPr>
                    <w:jc w:val="center"/>
                    <w:rPr>
                      <w:szCs w:val="21"/>
                    </w:rPr>
                  </w:pPr>
                  <w:r>
                    <w:rPr>
                      <w:szCs w:val="21"/>
                    </w:rPr>
                    <w:t>377</w:t>
                  </w:r>
                </w:p>
              </w:tc>
              <w:tc>
                <w:tcPr>
                  <w:tcW w:w="947" w:type="dxa"/>
                  <w:shd w:val="clear" w:color="auto" w:fill="FFFFFF"/>
                  <w:vAlign w:val="center"/>
                </w:tcPr>
                <w:p>
                  <w:pPr>
                    <w:jc w:val="center"/>
                  </w:pPr>
                  <w:r>
                    <w:rPr>
                      <w:rFonts w:ascii="Arial" w:hAnsi="Arial" w:eastAsia="Arial" w:cs="Arial"/>
                      <w:sz w:val="20"/>
                    </w:rPr>
                    <w:t>昼间</w:t>
                  </w:r>
                </w:p>
              </w:tc>
              <w:tc>
                <w:tcPr>
                  <w:tcW w:w="1352" w:type="dxa"/>
                  <w:shd w:val="clear" w:color="auto" w:fill="FFFFFF"/>
                  <w:vAlign w:val="center"/>
                </w:tcPr>
                <w:p>
                  <w:pPr>
                    <w:jc w:val="center"/>
                    <w:rPr>
                      <w:szCs w:val="21"/>
                    </w:rPr>
                  </w:pPr>
                  <w:r>
                    <w:rPr>
                      <w:szCs w:val="21"/>
                    </w:rPr>
                    <w:t>69</w:t>
                  </w:r>
                </w:p>
              </w:tc>
              <w:tc>
                <w:tcPr>
                  <w:tcW w:w="1353" w:type="dxa"/>
                  <w:shd w:val="clear" w:color="auto" w:fill="FFFFFF"/>
                  <w:vAlign w:val="center"/>
                </w:tcPr>
                <w:p>
                  <w:pPr>
                    <w:jc w:val="center"/>
                    <w:rPr>
                      <w:szCs w:val="21"/>
                    </w:rPr>
                  </w:pPr>
                  <w:r>
                    <w:rPr>
                      <w:szCs w:val="21"/>
                    </w:rPr>
                    <w:t>60</w:t>
                  </w:r>
                </w:p>
              </w:tc>
              <w:tc>
                <w:tcPr>
                  <w:tcW w:w="1133" w:type="dxa"/>
                  <w:shd w:val="clear" w:color="auto" w:fill="FFFFFF"/>
                  <w:vAlign w:val="center"/>
                </w:tcPr>
                <w:p>
                  <w:pPr>
                    <w:jc w:val="center"/>
                  </w:pPr>
                  <w:r>
                    <w:rPr>
                      <w:rFonts w:ascii="Arial" w:hAnsi="Arial" w:eastAsia="Arial" w:cs="Arial"/>
                      <w:sz w:val="20"/>
                    </w:rPr>
                    <w:t>不达标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97" w:hRule="exact"/>
                <w:jc w:val="center"/>
              </w:trPr>
              <w:tc>
                <w:tcPr>
                  <w:tcW w:w="1050" w:type="dxa"/>
                  <w:shd w:val="clear" w:color="auto" w:fill="FFFFFF"/>
                  <w:vAlign w:val="center"/>
                </w:tcPr>
                <w:p>
                  <w:pPr>
                    <w:jc w:val="center"/>
                  </w:pPr>
                  <w:r>
                    <w:rPr>
                      <w:rFonts w:ascii="Arial" w:hAnsi="Arial" w:eastAsia="Arial" w:cs="Arial"/>
                      <w:sz w:val="20"/>
                    </w:rPr>
                    <w:t>西侧</w:t>
                  </w:r>
                </w:p>
              </w:tc>
              <w:tc>
                <w:tcPr>
                  <w:tcW w:w="766" w:type="dxa"/>
                  <w:shd w:val="clear" w:color="auto" w:fill="FFFFFF"/>
                  <w:vAlign w:val="center"/>
                </w:tcPr>
                <w:p>
                  <w:pPr>
                    <w:jc w:val="center"/>
                    <w:rPr>
                      <w:szCs w:val="21"/>
                    </w:rPr>
                  </w:pPr>
                  <w:r>
                    <w:rPr>
                      <w:szCs w:val="21"/>
                    </w:rPr>
                    <w:t>-32</w:t>
                  </w:r>
                </w:p>
              </w:tc>
              <w:tc>
                <w:tcPr>
                  <w:tcW w:w="766" w:type="dxa"/>
                  <w:shd w:val="clear" w:color="auto" w:fill="FFFFFF"/>
                  <w:vAlign w:val="center"/>
                </w:tcPr>
                <w:p>
                  <w:pPr>
                    <w:jc w:val="center"/>
                    <w:rPr>
                      <w:szCs w:val="21"/>
                    </w:rPr>
                  </w:pPr>
                  <w:r>
                    <w:rPr>
                      <w:szCs w:val="21"/>
                    </w:rPr>
                    <w:t>-10</w:t>
                  </w:r>
                </w:p>
              </w:tc>
              <w:tc>
                <w:tcPr>
                  <w:tcW w:w="766" w:type="dxa"/>
                  <w:shd w:val="clear" w:color="auto" w:fill="FFFFFF"/>
                  <w:vAlign w:val="center"/>
                </w:tcPr>
                <w:p>
                  <w:pPr>
                    <w:jc w:val="center"/>
                    <w:rPr>
                      <w:szCs w:val="21"/>
                    </w:rPr>
                  </w:pPr>
                  <w:r>
                    <w:rPr>
                      <w:szCs w:val="21"/>
                    </w:rPr>
                    <w:t>378</w:t>
                  </w:r>
                </w:p>
              </w:tc>
              <w:tc>
                <w:tcPr>
                  <w:tcW w:w="947" w:type="dxa"/>
                  <w:shd w:val="clear" w:color="auto" w:fill="FFFFFF"/>
                  <w:vAlign w:val="center"/>
                </w:tcPr>
                <w:p>
                  <w:pPr>
                    <w:jc w:val="center"/>
                  </w:pPr>
                  <w:r>
                    <w:rPr>
                      <w:rFonts w:ascii="Arial" w:hAnsi="Arial" w:eastAsia="Arial" w:cs="Arial"/>
                      <w:sz w:val="20"/>
                    </w:rPr>
                    <w:t>昼间</w:t>
                  </w:r>
                </w:p>
              </w:tc>
              <w:tc>
                <w:tcPr>
                  <w:tcW w:w="1352" w:type="dxa"/>
                  <w:shd w:val="clear" w:color="auto" w:fill="FFFFFF"/>
                  <w:vAlign w:val="center"/>
                </w:tcPr>
                <w:p>
                  <w:pPr>
                    <w:jc w:val="center"/>
                    <w:rPr>
                      <w:szCs w:val="21"/>
                    </w:rPr>
                  </w:pPr>
                  <w:r>
                    <w:rPr>
                      <w:szCs w:val="21"/>
                    </w:rPr>
                    <w:t>71</w:t>
                  </w:r>
                </w:p>
              </w:tc>
              <w:tc>
                <w:tcPr>
                  <w:tcW w:w="1353" w:type="dxa"/>
                  <w:shd w:val="clear" w:color="auto" w:fill="FFFFFF"/>
                  <w:vAlign w:val="center"/>
                </w:tcPr>
                <w:p>
                  <w:pPr>
                    <w:jc w:val="center"/>
                    <w:rPr>
                      <w:szCs w:val="21"/>
                    </w:rPr>
                  </w:pPr>
                  <w:r>
                    <w:rPr>
                      <w:szCs w:val="21"/>
                    </w:rPr>
                    <w:t>60</w:t>
                  </w:r>
                </w:p>
              </w:tc>
              <w:tc>
                <w:tcPr>
                  <w:tcW w:w="1133" w:type="dxa"/>
                  <w:shd w:val="clear" w:color="auto" w:fill="FFFFFF"/>
                  <w:vAlign w:val="center"/>
                </w:tcPr>
                <w:p>
                  <w:pPr>
                    <w:jc w:val="center"/>
                  </w:pPr>
                  <w:r>
                    <w:rPr>
                      <w:rFonts w:ascii="Arial" w:hAnsi="Arial" w:eastAsia="Arial" w:cs="Arial"/>
                      <w:sz w:val="20"/>
                    </w:rPr>
                    <w:t>不达标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97" w:hRule="exact"/>
                <w:jc w:val="center"/>
              </w:trPr>
              <w:tc>
                <w:tcPr>
                  <w:tcW w:w="1050" w:type="dxa"/>
                  <w:shd w:val="clear" w:color="auto" w:fill="FFFFFF"/>
                  <w:vAlign w:val="center"/>
                </w:tcPr>
                <w:p>
                  <w:pPr>
                    <w:jc w:val="center"/>
                  </w:pPr>
                  <w:r>
                    <w:rPr>
                      <w:rFonts w:ascii="Arial" w:hAnsi="Arial" w:eastAsia="Arial" w:cs="Arial"/>
                      <w:sz w:val="20"/>
                    </w:rPr>
                    <w:t>北侧</w:t>
                  </w:r>
                </w:p>
              </w:tc>
              <w:tc>
                <w:tcPr>
                  <w:tcW w:w="766" w:type="dxa"/>
                  <w:shd w:val="clear" w:color="auto" w:fill="FFFFFF"/>
                  <w:vAlign w:val="center"/>
                </w:tcPr>
                <w:p>
                  <w:pPr>
                    <w:jc w:val="center"/>
                    <w:rPr>
                      <w:szCs w:val="21"/>
                    </w:rPr>
                  </w:pPr>
                  <w:r>
                    <w:rPr>
                      <w:szCs w:val="21"/>
                    </w:rPr>
                    <w:t>24</w:t>
                  </w:r>
                </w:p>
              </w:tc>
              <w:tc>
                <w:tcPr>
                  <w:tcW w:w="766" w:type="dxa"/>
                  <w:shd w:val="clear" w:color="auto" w:fill="FFFFFF"/>
                  <w:vAlign w:val="center"/>
                </w:tcPr>
                <w:p>
                  <w:pPr>
                    <w:jc w:val="center"/>
                    <w:rPr>
                      <w:szCs w:val="21"/>
                    </w:rPr>
                  </w:pPr>
                  <w:r>
                    <w:rPr>
                      <w:szCs w:val="21"/>
                    </w:rPr>
                    <w:t>28</w:t>
                  </w:r>
                </w:p>
              </w:tc>
              <w:tc>
                <w:tcPr>
                  <w:tcW w:w="766" w:type="dxa"/>
                  <w:shd w:val="clear" w:color="auto" w:fill="FFFFFF"/>
                  <w:vAlign w:val="center"/>
                </w:tcPr>
                <w:p>
                  <w:pPr>
                    <w:jc w:val="center"/>
                    <w:rPr>
                      <w:szCs w:val="21"/>
                    </w:rPr>
                  </w:pPr>
                  <w:r>
                    <w:rPr>
                      <w:szCs w:val="21"/>
                    </w:rPr>
                    <w:t>386</w:t>
                  </w:r>
                </w:p>
              </w:tc>
              <w:tc>
                <w:tcPr>
                  <w:tcW w:w="947" w:type="dxa"/>
                  <w:shd w:val="clear" w:color="auto" w:fill="FFFFFF"/>
                  <w:vAlign w:val="center"/>
                </w:tcPr>
                <w:p>
                  <w:pPr>
                    <w:jc w:val="center"/>
                  </w:pPr>
                  <w:r>
                    <w:rPr>
                      <w:rFonts w:ascii="Arial" w:hAnsi="Arial" w:eastAsia="Arial" w:cs="Arial"/>
                      <w:sz w:val="20"/>
                    </w:rPr>
                    <w:t>昼间</w:t>
                  </w:r>
                </w:p>
              </w:tc>
              <w:tc>
                <w:tcPr>
                  <w:tcW w:w="1352" w:type="dxa"/>
                  <w:shd w:val="clear" w:color="auto" w:fill="FFFFFF"/>
                  <w:vAlign w:val="center"/>
                </w:tcPr>
                <w:p>
                  <w:pPr>
                    <w:jc w:val="center"/>
                    <w:rPr>
                      <w:szCs w:val="21"/>
                    </w:rPr>
                  </w:pPr>
                  <w:r>
                    <w:rPr>
                      <w:szCs w:val="21"/>
                    </w:rPr>
                    <w:t>71</w:t>
                  </w:r>
                </w:p>
              </w:tc>
              <w:tc>
                <w:tcPr>
                  <w:tcW w:w="1353" w:type="dxa"/>
                  <w:shd w:val="clear" w:color="auto" w:fill="FFFFFF"/>
                  <w:vAlign w:val="center"/>
                </w:tcPr>
                <w:p>
                  <w:pPr>
                    <w:jc w:val="center"/>
                    <w:rPr>
                      <w:szCs w:val="21"/>
                    </w:rPr>
                  </w:pPr>
                  <w:r>
                    <w:rPr>
                      <w:szCs w:val="21"/>
                    </w:rPr>
                    <w:t>60</w:t>
                  </w:r>
                </w:p>
              </w:tc>
              <w:tc>
                <w:tcPr>
                  <w:tcW w:w="1133" w:type="dxa"/>
                  <w:shd w:val="clear" w:color="auto" w:fill="FFFFFF"/>
                  <w:vAlign w:val="center"/>
                </w:tcPr>
                <w:p>
                  <w:pPr>
                    <w:jc w:val="center"/>
                  </w:pPr>
                  <w:r>
                    <w:rPr>
                      <w:rFonts w:ascii="Arial" w:hAnsi="Arial" w:eastAsia="Arial" w:cs="Arial"/>
                      <w:sz w:val="20"/>
                    </w:rPr>
                    <w:t>不达标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97" w:hRule="exact"/>
                <w:jc w:val="center"/>
              </w:trPr>
              <w:tc>
                <w:tcPr>
                  <w:tcW w:w="8133" w:type="dxa"/>
                  <w:gridSpan w:val="8"/>
                  <w:shd w:val="clear" w:color="auto" w:fill="FFFFFF"/>
                  <w:vAlign w:val="center"/>
                </w:tcPr>
                <w:p>
                  <w:pPr>
                    <w:rPr>
                      <w:rFonts w:ascii="Arial" w:hAnsi="Arial" w:cs="Arial" w:eastAsiaTheme="minorEastAsia"/>
                      <w:sz w:val="20"/>
                    </w:rPr>
                  </w:pPr>
                  <w:r>
                    <w:rPr>
                      <w:rFonts w:hint="eastAsia" w:ascii="Arial" w:hAnsi="Arial" w:cs="Arial" w:eastAsiaTheme="minorEastAsia"/>
                      <w:sz w:val="20"/>
                    </w:rPr>
                    <w:t>以</w:t>
                  </w:r>
                  <w:r>
                    <w:rPr>
                      <w:rFonts w:ascii="Arial" w:hAnsi="Arial" w:cs="Arial" w:eastAsiaTheme="minorEastAsia"/>
                      <w:sz w:val="20"/>
                    </w:rPr>
                    <w:t>厂址中心为原点</w:t>
                  </w:r>
                </w:p>
              </w:tc>
            </w:tr>
          </w:tbl>
          <w:p>
            <w:pPr>
              <w:spacing w:line="360" w:lineRule="auto"/>
              <w:ind w:firstLine="420" w:firstLineChars="200"/>
              <w:contextualSpacing/>
              <w:rPr>
                <w:szCs w:val="21"/>
              </w:rPr>
            </w:pPr>
          </w:p>
          <w:p>
            <w:pPr>
              <w:spacing w:line="360" w:lineRule="auto"/>
              <w:ind w:firstLine="420" w:firstLineChars="200"/>
              <w:contextualSpacing/>
              <w:rPr>
                <w:szCs w:val="21"/>
              </w:rPr>
            </w:pPr>
            <w:r>
              <w:rPr>
                <w:szCs w:val="21"/>
              </w:rPr>
              <w:t>由上表可知，</w:t>
            </w:r>
            <w:r>
              <w:rPr>
                <w:rFonts w:hint="eastAsia"/>
                <w:szCs w:val="21"/>
              </w:rPr>
              <w:t>平安101井压裂</w:t>
            </w:r>
            <w:r>
              <w:rPr>
                <w:szCs w:val="21"/>
              </w:rPr>
              <w:t>工程</w:t>
            </w:r>
            <w:r>
              <w:rPr>
                <w:rFonts w:hint="eastAsia"/>
                <w:szCs w:val="21"/>
              </w:rPr>
              <w:t>时</w:t>
            </w:r>
            <w:r>
              <w:rPr>
                <w:szCs w:val="21"/>
              </w:rPr>
              <w:t>厂界噪声预测结果均不满足《工业企业厂界环境噪声排放标准》（GB12348-2008）2类标准。</w:t>
            </w:r>
          </w:p>
          <w:p>
            <w:pPr>
              <w:autoSpaceDE w:val="0"/>
              <w:autoSpaceDN w:val="0"/>
              <w:spacing w:line="360" w:lineRule="auto"/>
              <w:contextualSpacing/>
              <w:jc w:val="center"/>
              <w:rPr>
                <w:b/>
                <w:szCs w:val="21"/>
              </w:rPr>
            </w:pPr>
            <w:r>
              <w:rPr>
                <w:b/>
                <w:szCs w:val="21"/>
              </w:rPr>
              <w:t>表4-20 放</w:t>
            </w:r>
            <w:r>
              <w:rPr>
                <w:rFonts w:hint="eastAsia"/>
                <w:b/>
                <w:szCs w:val="21"/>
              </w:rPr>
              <w:t>喷</w:t>
            </w:r>
            <w:r>
              <w:rPr>
                <w:b/>
                <w:szCs w:val="21"/>
              </w:rPr>
              <w:t>噪声厂界噪声预测结果与达标分析表</w:t>
            </w:r>
          </w:p>
          <w:tbl>
            <w:tblPr>
              <w:tblStyle w:val="42"/>
              <w:tblW w:w="82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0"/>
              <w:gridCol w:w="773"/>
              <w:gridCol w:w="773"/>
              <w:gridCol w:w="775"/>
              <w:gridCol w:w="956"/>
              <w:gridCol w:w="1365"/>
              <w:gridCol w:w="1366"/>
              <w:gridCol w:w="11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exact"/>
                <w:jc w:val="center"/>
              </w:trPr>
              <w:tc>
                <w:tcPr>
                  <w:tcW w:w="1060" w:type="dxa"/>
                  <w:vMerge w:val="restart"/>
                  <w:vAlign w:val="center"/>
                </w:tcPr>
                <w:p>
                  <w:pPr>
                    <w:jc w:val="center"/>
                    <w:rPr>
                      <w:rFonts w:eastAsiaTheme="minorEastAsia"/>
                      <w:szCs w:val="21"/>
                    </w:rPr>
                  </w:pPr>
                  <w:r>
                    <w:rPr>
                      <w:rFonts w:eastAsiaTheme="minorEastAsia"/>
                      <w:b/>
                      <w:szCs w:val="21"/>
                    </w:rPr>
                    <w:t>预测方位</w:t>
                  </w:r>
                </w:p>
              </w:tc>
              <w:tc>
                <w:tcPr>
                  <w:tcW w:w="2321" w:type="dxa"/>
                  <w:gridSpan w:val="3"/>
                  <w:vAlign w:val="center"/>
                </w:tcPr>
                <w:p>
                  <w:pPr>
                    <w:jc w:val="center"/>
                    <w:rPr>
                      <w:rFonts w:eastAsiaTheme="minorEastAsia"/>
                      <w:szCs w:val="21"/>
                    </w:rPr>
                  </w:pPr>
                  <w:r>
                    <w:rPr>
                      <w:rFonts w:eastAsiaTheme="minorEastAsia"/>
                      <w:b/>
                      <w:szCs w:val="21"/>
                    </w:rPr>
                    <w:t>空间相对位置/m</w:t>
                  </w:r>
                </w:p>
              </w:tc>
              <w:tc>
                <w:tcPr>
                  <w:tcW w:w="956" w:type="dxa"/>
                  <w:vMerge w:val="restart"/>
                  <w:vAlign w:val="center"/>
                </w:tcPr>
                <w:p>
                  <w:pPr>
                    <w:jc w:val="center"/>
                    <w:rPr>
                      <w:rFonts w:eastAsiaTheme="minorEastAsia"/>
                      <w:szCs w:val="21"/>
                    </w:rPr>
                  </w:pPr>
                  <w:r>
                    <w:rPr>
                      <w:rFonts w:eastAsiaTheme="minorEastAsia"/>
                      <w:b/>
                      <w:szCs w:val="21"/>
                    </w:rPr>
                    <w:t>时段</w:t>
                  </w:r>
                </w:p>
              </w:tc>
              <w:tc>
                <w:tcPr>
                  <w:tcW w:w="1365" w:type="dxa"/>
                  <w:vMerge w:val="restart"/>
                  <w:vAlign w:val="center"/>
                </w:tcPr>
                <w:p>
                  <w:pPr>
                    <w:jc w:val="center"/>
                    <w:rPr>
                      <w:rFonts w:eastAsiaTheme="minorEastAsia"/>
                      <w:szCs w:val="21"/>
                    </w:rPr>
                  </w:pPr>
                  <w:r>
                    <w:rPr>
                      <w:rFonts w:eastAsiaTheme="minorEastAsia"/>
                      <w:b/>
                      <w:szCs w:val="21"/>
                    </w:rPr>
                    <w:t>预测值（dB(A)）</w:t>
                  </w:r>
                </w:p>
              </w:tc>
              <w:tc>
                <w:tcPr>
                  <w:tcW w:w="1366" w:type="dxa"/>
                  <w:vMerge w:val="restart"/>
                  <w:vAlign w:val="center"/>
                </w:tcPr>
                <w:p>
                  <w:pPr>
                    <w:jc w:val="center"/>
                    <w:rPr>
                      <w:rFonts w:eastAsiaTheme="minorEastAsia"/>
                      <w:szCs w:val="21"/>
                    </w:rPr>
                  </w:pPr>
                  <w:r>
                    <w:rPr>
                      <w:rFonts w:eastAsiaTheme="minorEastAsia"/>
                      <w:b/>
                      <w:szCs w:val="21"/>
                    </w:rPr>
                    <w:t>标准限值（dB(A)）</w:t>
                  </w:r>
                </w:p>
              </w:tc>
              <w:tc>
                <w:tcPr>
                  <w:tcW w:w="1144" w:type="dxa"/>
                  <w:vMerge w:val="restart"/>
                  <w:vAlign w:val="center"/>
                </w:tcPr>
                <w:p>
                  <w:pPr>
                    <w:jc w:val="center"/>
                    <w:rPr>
                      <w:rFonts w:eastAsiaTheme="minorEastAsia"/>
                      <w:szCs w:val="21"/>
                    </w:rPr>
                  </w:pPr>
                  <w:r>
                    <w:rPr>
                      <w:rFonts w:eastAsiaTheme="minorEastAsia"/>
                      <w:b/>
                      <w:szCs w:val="21"/>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1060" w:type="dxa"/>
                  <w:vMerge w:val="continue"/>
                  <w:shd w:val="clear" w:color="auto" w:fill="FFFFFF"/>
                  <w:vAlign w:val="center"/>
                </w:tcPr>
                <w:p>
                  <w:pPr>
                    <w:jc w:val="center"/>
                    <w:rPr>
                      <w:rFonts w:eastAsiaTheme="minorEastAsia"/>
                      <w:szCs w:val="21"/>
                    </w:rPr>
                  </w:pPr>
                </w:p>
              </w:tc>
              <w:tc>
                <w:tcPr>
                  <w:tcW w:w="773" w:type="dxa"/>
                  <w:shd w:val="clear" w:color="auto" w:fill="FFFFFF"/>
                  <w:vAlign w:val="center"/>
                </w:tcPr>
                <w:p>
                  <w:pPr>
                    <w:jc w:val="center"/>
                    <w:rPr>
                      <w:rFonts w:eastAsiaTheme="minorEastAsia"/>
                      <w:szCs w:val="21"/>
                    </w:rPr>
                  </w:pPr>
                  <w:r>
                    <w:rPr>
                      <w:rFonts w:eastAsiaTheme="minorEastAsia"/>
                      <w:szCs w:val="21"/>
                    </w:rPr>
                    <w:t>X</w:t>
                  </w:r>
                </w:p>
              </w:tc>
              <w:tc>
                <w:tcPr>
                  <w:tcW w:w="773" w:type="dxa"/>
                  <w:shd w:val="clear" w:color="auto" w:fill="FFFFFF"/>
                  <w:vAlign w:val="center"/>
                </w:tcPr>
                <w:p>
                  <w:pPr>
                    <w:jc w:val="center"/>
                    <w:rPr>
                      <w:rFonts w:eastAsiaTheme="minorEastAsia"/>
                      <w:szCs w:val="21"/>
                    </w:rPr>
                  </w:pPr>
                  <w:r>
                    <w:rPr>
                      <w:rFonts w:eastAsiaTheme="minorEastAsia"/>
                      <w:szCs w:val="21"/>
                    </w:rPr>
                    <w:t>Y</w:t>
                  </w:r>
                </w:p>
              </w:tc>
              <w:tc>
                <w:tcPr>
                  <w:tcW w:w="775" w:type="dxa"/>
                  <w:shd w:val="clear" w:color="auto" w:fill="FFFFFF"/>
                  <w:vAlign w:val="center"/>
                </w:tcPr>
                <w:p>
                  <w:pPr>
                    <w:jc w:val="center"/>
                    <w:rPr>
                      <w:rFonts w:eastAsiaTheme="minorEastAsia"/>
                      <w:szCs w:val="21"/>
                    </w:rPr>
                  </w:pPr>
                  <w:r>
                    <w:rPr>
                      <w:rFonts w:eastAsiaTheme="minorEastAsia"/>
                      <w:szCs w:val="21"/>
                    </w:rPr>
                    <w:t>Z</w:t>
                  </w:r>
                </w:p>
              </w:tc>
              <w:tc>
                <w:tcPr>
                  <w:tcW w:w="956" w:type="dxa"/>
                  <w:vMerge w:val="continue"/>
                  <w:shd w:val="clear" w:color="auto" w:fill="FFFFFF"/>
                  <w:vAlign w:val="center"/>
                </w:tcPr>
                <w:p>
                  <w:pPr>
                    <w:jc w:val="center"/>
                    <w:rPr>
                      <w:rFonts w:eastAsiaTheme="minorEastAsia"/>
                      <w:szCs w:val="21"/>
                    </w:rPr>
                  </w:pPr>
                </w:p>
              </w:tc>
              <w:tc>
                <w:tcPr>
                  <w:tcW w:w="1365" w:type="dxa"/>
                  <w:vMerge w:val="continue"/>
                  <w:shd w:val="clear" w:color="auto" w:fill="FFFFFF"/>
                  <w:vAlign w:val="center"/>
                </w:tcPr>
                <w:p>
                  <w:pPr>
                    <w:jc w:val="center"/>
                    <w:rPr>
                      <w:rFonts w:eastAsiaTheme="minorEastAsia"/>
                      <w:szCs w:val="21"/>
                    </w:rPr>
                  </w:pPr>
                </w:p>
              </w:tc>
              <w:tc>
                <w:tcPr>
                  <w:tcW w:w="1366" w:type="dxa"/>
                  <w:vMerge w:val="continue"/>
                  <w:shd w:val="clear" w:color="auto" w:fill="FFFFFF"/>
                  <w:vAlign w:val="center"/>
                </w:tcPr>
                <w:p>
                  <w:pPr>
                    <w:jc w:val="center"/>
                    <w:rPr>
                      <w:rFonts w:eastAsiaTheme="minorEastAsia"/>
                      <w:szCs w:val="21"/>
                    </w:rPr>
                  </w:pPr>
                </w:p>
              </w:tc>
              <w:tc>
                <w:tcPr>
                  <w:tcW w:w="1144" w:type="dxa"/>
                  <w:vMerge w:val="continue"/>
                  <w:shd w:val="clear" w:color="auto" w:fill="FFFFFF"/>
                  <w:vAlign w:val="center"/>
                </w:tcPr>
                <w:p>
                  <w:pPr>
                    <w:jc w:val="center"/>
                    <w:rPr>
                      <w:rFonts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7" w:hRule="exact"/>
                <w:jc w:val="center"/>
              </w:trPr>
              <w:tc>
                <w:tcPr>
                  <w:tcW w:w="1060" w:type="dxa"/>
                  <w:shd w:val="clear" w:color="auto" w:fill="FFFFFF"/>
                  <w:vAlign w:val="center"/>
                </w:tcPr>
                <w:p>
                  <w:pPr>
                    <w:jc w:val="center"/>
                    <w:rPr>
                      <w:szCs w:val="21"/>
                    </w:rPr>
                  </w:pPr>
                  <w:r>
                    <w:rPr>
                      <w:szCs w:val="21"/>
                    </w:rPr>
                    <w:t>东侧</w:t>
                  </w:r>
                </w:p>
              </w:tc>
              <w:tc>
                <w:tcPr>
                  <w:tcW w:w="773" w:type="dxa"/>
                  <w:shd w:val="clear" w:color="auto" w:fill="FFFFFF"/>
                  <w:vAlign w:val="center"/>
                </w:tcPr>
                <w:p>
                  <w:pPr>
                    <w:jc w:val="center"/>
                    <w:rPr>
                      <w:szCs w:val="21"/>
                    </w:rPr>
                  </w:pPr>
                  <w:r>
                    <w:rPr>
                      <w:szCs w:val="21"/>
                    </w:rPr>
                    <w:t>6</w:t>
                  </w:r>
                </w:p>
              </w:tc>
              <w:tc>
                <w:tcPr>
                  <w:tcW w:w="773" w:type="dxa"/>
                  <w:shd w:val="clear" w:color="auto" w:fill="FFFFFF"/>
                  <w:vAlign w:val="center"/>
                </w:tcPr>
                <w:p>
                  <w:pPr>
                    <w:jc w:val="center"/>
                    <w:rPr>
                      <w:szCs w:val="21"/>
                    </w:rPr>
                  </w:pPr>
                  <w:r>
                    <w:rPr>
                      <w:szCs w:val="21"/>
                    </w:rPr>
                    <w:t>5</w:t>
                  </w:r>
                </w:p>
              </w:tc>
              <w:tc>
                <w:tcPr>
                  <w:tcW w:w="775" w:type="dxa"/>
                  <w:shd w:val="clear" w:color="auto" w:fill="FFFFFF"/>
                  <w:vAlign w:val="center"/>
                </w:tcPr>
                <w:p>
                  <w:pPr>
                    <w:jc w:val="center"/>
                    <w:rPr>
                      <w:szCs w:val="21"/>
                    </w:rPr>
                  </w:pPr>
                  <w:r>
                    <w:rPr>
                      <w:szCs w:val="21"/>
                    </w:rPr>
                    <w:t>365</w:t>
                  </w:r>
                </w:p>
              </w:tc>
              <w:tc>
                <w:tcPr>
                  <w:tcW w:w="956" w:type="dxa"/>
                  <w:shd w:val="clear" w:color="auto" w:fill="FFFFFF"/>
                  <w:vAlign w:val="center"/>
                </w:tcPr>
                <w:p>
                  <w:pPr>
                    <w:jc w:val="center"/>
                    <w:rPr>
                      <w:szCs w:val="21"/>
                    </w:rPr>
                  </w:pPr>
                  <w:r>
                    <w:rPr>
                      <w:szCs w:val="21"/>
                    </w:rPr>
                    <w:t>昼间</w:t>
                  </w:r>
                </w:p>
              </w:tc>
              <w:tc>
                <w:tcPr>
                  <w:tcW w:w="1365" w:type="dxa"/>
                  <w:shd w:val="clear" w:color="auto" w:fill="FFFFFF"/>
                  <w:vAlign w:val="center"/>
                </w:tcPr>
                <w:p>
                  <w:pPr>
                    <w:jc w:val="center"/>
                    <w:rPr>
                      <w:szCs w:val="21"/>
                    </w:rPr>
                  </w:pPr>
                  <w:r>
                    <w:rPr>
                      <w:szCs w:val="21"/>
                    </w:rPr>
                    <w:t>93</w:t>
                  </w:r>
                </w:p>
              </w:tc>
              <w:tc>
                <w:tcPr>
                  <w:tcW w:w="1366" w:type="dxa"/>
                  <w:shd w:val="clear" w:color="auto" w:fill="FFFFFF"/>
                  <w:vAlign w:val="center"/>
                </w:tcPr>
                <w:p>
                  <w:pPr>
                    <w:jc w:val="center"/>
                    <w:rPr>
                      <w:szCs w:val="21"/>
                    </w:rPr>
                  </w:pPr>
                  <w:r>
                    <w:rPr>
                      <w:szCs w:val="21"/>
                    </w:rPr>
                    <w:t>60</w:t>
                  </w:r>
                </w:p>
              </w:tc>
              <w:tc>
                <w:tcPr>
                  <w:tcW w:w="1144" w:type="dxa"/>
                  <w:shd w:val="clear" w:color="auto" w:fill="FFFFFF"/>
                  <w:vAlign w:val="center"/>
                </w:tcPr>
                <w:p>
                  <w:pPr>
                    <w:jc w:val="center"/>
                    <w:rPr>
                      <w:szCs w:val="21"/>
                    </w:rPr>
                  </w:pPr>
                  <w:r>
                    <w:rPr>
                      <w:szCs w:val="21"/>
                    </w:rPr>
                    <w:t>不达标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7" w:hRule="exact"/>
                <w:jc w:val="center"/>
              </w:trPr>
              <w:tc>
                <w:tcPr>
                  <w:tcW w:w="1060" w:type="dxa"/>
                  <w:shd w:val="clear" w:color="auto" w:fill="FFFFFF"/>
                  <w:vAlign w:val="center"/>
                </w:tcPr>
                <w:p>
                  <w:pPr>
                    <w:jc w:val="center"/>
                    <w:rPr>
                      <w:szCs w:val="21"/>
                    </w:rPr>
                  </w:pPr>
                  <w:r>
                    <w:rPr>
                      <w:szCs w:val="21"/>
                    </w:rPr>
                    <w:t>南侧</w:t>
                  </w:r>
                </w:p>
              </w:tc>
              <w:tc>
                <w:tcPr>
                  <w:tcW w:w="773" w:type="dxa"/>
                  <w:shd w:val="clear" w:color="auto" w:fill="FFFFFF"/>
                  <w:vAlign w:val="center"/>
                </w:tcPr>
                <w:p>
                  <w:pPr>
                    <w:jc w:val="center"/>
                    <w:rPr>
                      <w:szCs w:val="21"/>
                    </w:rPr>
                  </w:pPr>
                  <w:r>
                    <w:rPr>
                      <w:szCs w:val="21"/>
                    </w:rPr>
                    <w:t>1</w:t>
                  </w:r>
                </w:p>
              </w:tc>
              <w:tc>
                <w:tcPr>
                  <w:tcW w:w="773" w:type="dxa"/>
                  <w:shd w:val="clear" w:color="auto" w:fill="FFFFFF"/>
                  <w:vAlign w:val="center"/>
                </w:tcPr>
                <w:p>
                  <w:pPr>
                    <w:jc w:val="center"/>
                    <w:rPr>
                      <w:szCs w:val="21"/>
                    </w:rPr>
                  </w:pPr>
                  <w:r>
                    <w:rPr>
                      <w:szCs w:val="21"/>
                    </w:rPr>
                    <w:t>-8</w:t>
                  </w:r>
                </w:p>
              </w:tc>
              <w:tc>
                <w:tcPr>
                  <w:tcW w:w="775" w:type="dxa"/>
                  <w:shd w:val="clear" w:color="auto" w:fill="FFFFFF"/>
                  <w:vAlign w:val="center"/>
                </w:tcPr>
                <w:p>
                  <w:pPr>
                    <w:jc w:val="center"/>
                    <w:rPr>
                      <w:szCs w:val="21"/>
                    </w:rPr>
                  </w:pPr>
                  <w:r>
                    <w:rPr>
                      <w:szCs w:val="21"/>
                    </w:rPr>
                    <w:t>364</w:t>
                  </w:r>
                </w:p>
              </w:tc>
              <w:tc>
                <w:tcPr>
                  <w:tcW w:w="956" w:type="dxa"/>
                  <w:shd w:val="clear" w:color="auto" w:fill="FFFFFF"/>
                  <w:vAlign w:val="center"/>
                </w:tcPr>
                <w:p>
                  <w:pPr>
                    <w:jc w:val="center"/>
                    <w:rPr>
                      <w:szCs w:val="21"/>
                    </w:rPr>
                  </w:pPr>
                  <w:r>
                    <w:rPr>
                      <w:szCs w:val="21"/>
                    </w:rPr>
                    <w:t>昼间</w:t>
                  </w:r>
                </w:p>
              </w:tc>
              <w:tc>
                <w:tcPr>
                  <w:tcW w:w="1365" w:type="dxa"/>
                  <w:shd w:val="clear" w:color="auto" w:fill="FFFFFF"/>
                  <w:vAlign w:val="center"/>
                </w:tcPr>
                <w:p>
                  <w:pPr>
                    <w:jc w:val="center"/>
                    <w:rPr>
                      <w:szCs w:val="21"/>
                    </w:rPr>
                  </w:pPr>
                  <w:r>
                    <w:rPr>
                      <w:szCs w:val="21"/>
                    </w:rPr>
                    <w:t>92</w:t>
                  </w:r>
                </w:p>
              </w:tc>
              <w:tc>
                <w:tcPr>
                  <w:tcW w:w="1366" w:type="dxa"/>
                  <w:shd w:val="clear" w:color="auto" w:fill="FFFFFF"/>
                  <w:vAlign w:val="center"/>
                </w:tcPr>
                <w:p>
                  <w:pPr>
                    <w:jc w:val="center"/>
                    <w:rPr>
                      <w:szCs w:val="21"/>
                    </w:rPr>
                  </w:pPr>
                  <w:r>
                    <w:rPr>
                      <w:szCs w:val="21"/>
                    </w:rPr>
                    <w:t>60</w:t>
                  </w:r>
                </w:p>
              </w:tc>
              <w:tc>
                <w:tcPr>
                  <w:tcW w:w="1144" w:type="dxa"/>
                  <w:shd w:val="clear" w:color="auto" w:fill="FFFFFF"/>
                  <w:vAlign w:val="center"/>
                </w:tcPr>
                <w:p>
                  <w:pPr>
                    <w:jc w:val="center"/>
                    <w:rPr>
                      <w:szCs w:val="21"/>
                    </w:rPr>
                  </w:pPr>
                  <w:r>
                    <w:rPr>
                      <w:szCs w:val="21"/>
                    </w:rPr>
                    <w:t>不达标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7" w:hRule="exact"/>
                <w:jc w:val="center"/>
              </w:trPr>
              <w:tc>
                <w:tcPr>
                  <w:tcW w:w="1060" w:type="dxa"/>
                  <w:shd w:val="clear" w:color="auto" w:fill="FFFFFF"/>
                  <w:vAlign w:val="center"/>
                </w:tcPr>
                <w:p>
                  <w:pPr>
                    <w:jc w:val="center"/>
                    <w:rPr>
                      <w:szCs w:val="21"/>
                    </w:rPr>
                  </w:pPr>
                  <w:r>
                    <w:rPr>
                      <w:szCs w:val="21"/>
                    </w:rPr>
                    <w:t>西侧</w:t>
                  </w:r>
                </w:p>
              </w:tc>
              <w:tc>
                <w:tcPr>
                  <w:tcW w:w="773" w:type="dxa"/>
                  <w:shd w:val="clear" w:color="auto" w:fill="FFFFFF"/>
                  <w:vAlign w:val="center"/>
                </w:tcPr>
                <w:p>
                  <w:pPr>
                    <w:jc w:val="center"/>
                    <w:rPr>
                      <w:szCs w:val="21"/>
                    </w:rPr>
                  </w:pPr>
                  <w:r>
                    <w:rPr>
                      <w:szCs w:val="21"/>
                    </w:rPr>
                    <w:t>-7</w:t>
                  </w:r>
                </w:p>
              </w:tc>
              <w:tc>
                <w:tcPr>
                  <w:tcW w:w="773" w:type="dxa"/>
                  <w:shd w:val="clear" w:color="auto" w:fill="FFFFFF"/>
                  <w:vAlign w:val="center"/>
                </w:tcPr>
                <w:p>
                  <w:pPr>
                    <w:jc w:val="center"/>
                    <w:rPr>
                      <w:szCs w:val="21"/>
                    </w:rPr>
                  </w:pPr>
                  <w:r>
                    <w:rPr>
                      <w:szCs w:val="21"/>
                    </w:rPr>
                    <w:t>-4</w:t>
                  </w:r>
                </w:p>
              </w:tc>
              <w:tc>
                <w:tcPr>
                  <w:tcW w:w="775" w:type="dxa"/>
                  <w:shd w:val="clear" w:color="auto" w:fill="FFFFFF"/>
                  <w:vAlign w:val="center"/>
                </w:tcPr>
                <w:p>
                  <w:pPr>
                    <w:jc w:val="center"/>
                    <w:rPr>
                      <w:szCs w:val="21"/>
                    </w:rPr>
                  </w:pPr>
                  <w:r>
                    <w:rPr>
                      <w:szCs w:val="21"/>
                    </w:rPr>
                    <w:t>362</w:t>
                  </w:r>
                </w:p>
              </w:tc>
              <w:tc>
                <w:tcPr>
                  <w:tcW w:w="956" w:type="dxa"/>
                  <w:shd w:val="clear" w:color="auto" w:fill="FFFFFF"/>
                  <w:vAlign w:val="center"/>
                </w:tcPr>
                <w:p>
                  <w:pPr>
                    <w:jc w:val="center"/>
                    <w:rPr>
                      <w:szCs w:val="21"/>
                    </w:rPr>
                  </w:pPr>
                  <w:r>
                    <w:rPr>
                      <w:szCs w:val="21"/>
                    </w:rPr>
                    <w:t>昼间</w:t>
                  </w:r>
                </w:p>
              </w:tc>
              <w:tc>
                <w:tcPr>
                  <w:tcW w:w="1365" w:type="dxa"/>
                  <w:shd w:val="clear" w:color="auto" w:fill="FFFFFF"/>
                  <w:vAlign w:val="center"/>
                </w:tcPr>
                <w:p>
                  <w:pPr>
                    <w:jc w:val="center"/>
                    <w:rPr>
                      <w:szCs w:val="21"/>
                    </w:rPr>
                  </w:pPr>
                  <w:r>
                    <w:rPr>
                      <w:szCs w:val="21"/>
                    </w:rPr>
                    <w:t>79</w:t>
                  </w:r>
                </w:p>
              </w:tc>
              <w:tc>
                <w:tcPr>
                  <w:tcW w:w="1366" w:type="dxa"/>
                  <w:shd w:val="clear" w:color="auto" w:fill="FFFFFF"/>
                  <w:vAlign w:val="center"/>
                </w:tcPr>
                <w:p>
                  <w:pPr>
                    <w:jc w:val="center"/>
                    <w:rPr>
                      <w:szCs w:val="21"/>
                    </w:rPr>
                  </w:pPr>
                  <w:r>
                    <w:rPr>
                      <w:szCs w:val="21"/>
                    </w:rPr>
                    <w:t>60</w:t>
                  </w:r>
                </w:p>
              </w:tc>
              <w:tc>
                <w:tcPr>
                  <w:tcW w:w="1144" w:type="dxa"/>
                  <w:shd w:val="clear" w:color="auto" w:fill="FFFFFF"/>
                  <w:vAlign w:val="center"/>
                </w:tcPr>
                <w:p>
                  <w:pPr>
                    <w:jc w:val="center"/>
                    <w:rPr>
                      <w:szCs w:val="21"/>
                    </w:rPr>
                  </w:pPr>
                  <w:r>
                    <w:rPr>
                      <w:szCs w:val="21"/>
                    </w:rPr>
                    <w:t>不达标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7" w:hRule="exact"/>
                <w:jc w:val="center"/>
              </w:trPr>
              <w:tc>
                <w:tcPr>
                  <w:tcW w:w="1060" w:type="dxa"/>
                  <w:shd w:val="clear" w:color="auto" w:fill="FFFFFF"/>
                  <w:vAlign w:val="center"/>
                </w:tcPr>
                <w:p>
                  <w:pPr>
                    <w:jc w:val="center"/>
                    <w:rPr>
                      <w:szCs w:val="21"/>
                    </w:rPr>
                  </w:pPr>
                  <w:r>
                    <w:rPr>
                      <w:szCs w:val="21"/>
                    </w:rPr>
                    <w:t>北侧</w:t>
                  </w:r>
                </w:p>
              </w:tc>
              <w:tc>
                <w:tcPr>
                  <w:tcW w:w="773" w:type="dxa"/>
                  <w:shd w:val="clear" w:color="auto" w:fill="FFFFFF"/>
                  <w:vAlign w:val="center"/>
                </w:tcPr>
                <w:p>
                  <w:pPr>
                    <w:jc w:val="center"/>
                    <w:rPr>
                      <w:szCs w:val="21"/>
                    </w:rPr>
                  </w:pPr>
                  <w:r>
                    <w:rPr>
                      <w:szCs w:val="21"/>
                    </w:rPr>
                    <w:t>3</w:t>
                  </w:r>
                </w:p>
              </w:tc>
              <w:tc>
                <w:tcPr>
                  <w:tcW w:w="773" w:type="dxa"/>
                  <w:shd w:val="clear" w:color="auto" w:fill="FFFFFF"/>
                  <w:vAlign w:val="center"/>
                </w:tcPr>
                <w:p>
                  <w:pPr>
                    <w:jc w:val="center"/>
                    <w:rPr>
                      <w:szCs w:val="21"/>
                    </w:rPr>
                  </w:pPr>
                  <w:r>
                    <w:rPr>
                      <w:szCs w:val="21"/>
                    </w:rPr>
                    <w:t>7</w:t>
                  </w:r>
                </w:p>
              </w:tc>
              <w:tc>
                <w:tcPr>
                  <w:tcW w:w="775" w:type="dxa"/>
                  <w:shd w:val="clear" w:color="auto" w:fill="FFFFFF"/>
                  <w:vAlign w:val="center"/>
                </w:tcPr>
                <w:p>
                  <w:pPr>
                    <w:jc w:val="center"/>
                    <w:rPr>
                      <w:szCs w:val="21"/>
                    </w:rPr>
                  </w:pPr>
                  <w:r>
                    <w:rPr>
                      <w:szCs w:val="21"/>
                    </w:rPr>
                    <w:t>365</w:t>
                  </w:r>
                </w:p>
              </w:tc>
              <w:tc>
                <w:tcPr>
                  <w:tcW w:w="956" w:type="dxa"/>
                  <w:shd w:val="clear" w:color="auto" w:fill="FFFFFF"/>
                  <w:vAlign w:val="center"/>
                </w:tcPr>
                <w:p>
                  <w:pPr>
                    <w:jc w:val="center"/>
                    <w:rPr>
                      <w:szCs w:val="21"/>
                    </w:rPr>
                  </w:pPr>
                  <w:r>
                    <w:rPr>
                      <w:szCs w:val="21"/>
                    </w:rPr>
                    <w:t>昼间</w:t>
                  </w:r>
                </w:p>
              </w:tc>
              <w:tc>
                <w:tcPr>
                  <w:tcW w:w="1365" w:type="dxa"/>
                  <w:shd w:val="clear" w:color="auto" w:fill="FFFFFF"/>
                  <w:vAlign w:val="center"/>
                </w:tcPr>
                <w:p>
                  <w:pPr>
                    <w:jc w:val="center"/>
                    <w:rPr>
                      <w:szCs w:val="21"/>
                    </w:rPr>
                  </w:pPr>
                  <w:r>
                    <w:rPr>
                      <w:szCs w:val="21"/>
                    </w:rPr>
                    <w:t>90</w:t>
                  </w:r>
                </w:p>
              </w:tc>
              <w:tc>
                <w:tcPr>
                  <w:tcW w:w="1366" w:type="dxa"/>
                  <w:shd w:val="clear" w:color="auto" w:fill="FFFFFF"/>
                  <w:vAlign w:val="center"/>
                </w:tcPr>
                <w:p>
                  <w:pPr>
                    <w:jc w:val="center"/>
                    <w:rPr>
                      <w:szCs w:val="21"/>
                    </w:rPr>
                  </w:pPr>
                  <w:r>
                    <w:rPr>
                      <w:szCs w:val="21"/>
                    </w:rPr>
                    <w:t>60</w:t>
                  </w:r>
                </w:p>
              </w:tc>
              <w:tc>
                <w:tcPr>
                  <w:tcW w:w="1144" w:type="dxa"/>
                  <w:shd w:val="clear" w:color="auto" w:fill="FFFFFF"/>
                  <w:vAlign w:val="center"/>
                </w:tcPr>
                <w:p>
                  <w:pPr>
                    <w:jc w:val="center"/>
                    <w:rPr>
                      <w:szCs w:val="21"/>
                    </w:rPr>
                  </w:pPr>
                  <w:r>
                    <w:rPr>
                      <w:szCs w:val="21"/>
                    </w:rPr>
                    <w:t>不达标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7" w:hRule="exact"/>
                <w:jc w:val="center"/>
              </w:trPr>
              <w:tc>
                <w:tcPr>
                  <w:tcW w:w="8212" w:type="dxa"/>
                  <w:gridSpan w:val="8"/>
                  <w:shd w:val="clear" w:color="auto" w:fill="FFFFFF"/>
                  <w:vAlign w:val="center"/>
                </w:tcPr>
                <w:p>
                  <w:pPr>
                    <w:rPr>
                      <w:szCs w:val="21"/>
                    </w:rPr>
                  </w:pPr>
                  <w:r>
                    <w:rPr>
                      <w:rFonts w:hint="eastAsia"/>
                      <w:szCs w:val="21"/>
                    </w:rPr>
                    <w:t>以</w:t>
                  </w:r>
                  <w:r>
                    <w:rPr>
                      <w:szCs w:val="21"/>
                    </w:rPr>
                    <w:t>放喷池中心为原点</w:t>
                  </w:r>
                </w:p>
              </w:tc>
            </w:tr>
          </w:tbl>
          <w:p>
            <w:pPr>
              <w:spacing w:line="360" w:lineRule="auto"/>
              <w:ind w:firstLine="420" w:firstLineChars="200"/>
              <w:contextualSpacing/>
              <w:rPr>
                <w:szCs w:val="21"/>
              </w:rPr>
            </w:pPr>
          </w:p>
          <w:p>
            <w:pPr>
              <w:spacing w:line="360" w:lineRule="auto"/>
              <w:ind w:firstLine="420" w:firstLineChars="200"/>
              <w:contextualSpacing/>
              <w:rPr>
                <w:szCs w:val="21"/>
              </w:rPr>
            </w:pPr>
            <w:r>
              <w:rPr>
                <w:szCs w:val="21"/>
              </w:rPr>
              <w:t>由上表可知，压裂工程</w:t>
            </w:r>
            <w:r>
              <w:rPr>
                <w:color w:val="FF0000"/>
                <w:szCs w:val="21"/>
              </w:rPr>
              <w:t>放喷</w:t>
            </w:r>
            <w:r>
              <w:rPr>
                <w:szCs w:val="21"/>
              </w:rPr>
              <w:t>噪声厂界</w:t>
            </w:r>
            <w:r>
              <w:rPr>
                <w:rFonts w:hint="eastAsia"/>
                <w:szCs w:val="21"/>
              </w:rPr>
              <w:t>均</w:t>
            </w:r>
            <w:r>
              <w:rPr>
                <w:szCs w:val="21"/>
              </w:rPr>
              <w:t>不满足《工业企业厂界环境噪声排放标准》（GB12348-2008）2类标准。放喷不在夜间进行，且放喷时间较短，对周边影响较小。</w:t>
            </w:r>
          </w:p>
          <w:p>
            <w:pPr>
              <w:autoSpaceDE w:val="0"/>
              <w:autoSpaceDN w:val="0"/>
              <w:spacing w:line="360" w:lineRule="auto"/>
              <w:contextualSpacing/>
              <w:jc w:val="center"/>
              <w:rPr>
                <w:b/>
                <w:szCs w:val="21"/>
              </w:rPr>
            </w:pPr>
            <w:r>
              <w:rPr>
                <w:b/>
                <w:szCs w:val="21"/>
              </w:rPr>
              <w:t>表4-21 压裂设备噪声对周围居民影响预测</w:t>
            </w:r>
          </w:p>
          <w:tbl>
            <w:tblPr>
              <w:tblStyle w:val="42"/>
              <w:tblW w:w="81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4"/>
              <w:gridCol w:w="1003"/>
              <w:gridCol w:w="1009"/>
              <w:gridCol w:w="1011"/>
              <w:gridCol w:w="870"/>
              <w:gridCol w:w="1012"/>
              <w:gridCol w:w="1012"/>
              <w:gridCol w:w="863"/>
              <w:gridCol w:w="994"/>
              <w:gridCol w:w="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2" w:hRule="exact"/>
                <w:jc w:val="center"/>
              </w:trPr>
              <w:tc>
                <w:tcPr>
                  <w:tcW w:w="344" w:type="dxa"/>
                  <w:vMerge w:val="restart"/>
                  <w:vAlign w:val="center"/>
                </w:tcPr>
                <w:p>
                  <w:pPr>
                    <w:jc w:val="center"/>
                    <w:rPr>
                      <w:szCs w:val="21"/>
                    </w:rPr>
                  </w:pPr>
                  <w:r>
                    <w:rPr>
                      <w:b/>
                      <w:szCs w:val="21"/>
                    </w:rPr>
                    <w:t>序号</w:t>
                  </w:r>
                </w:p>
              </w:tc>
              <w:tc>
                <w:tcPr>
                  <w:tcW w:w="1003" w:type="dxa"/>
                  <w:vMerge w:val="restart"/>
                  <w:vAlign w:val="center"/>
                </w:tcPr>
                <w:p>
                  <w:pPr>
                    <w:jc w:val="center"/>
                    <w:rPr>
                      <w:szCs w:val="21"/>
                    </w:rPr>
                  </w:pPr>
                  <w:r>
                    <w:rPr>
                      <w:b/>
                      <w:szCs w:val="21"/>
                    </w:rPr>
                    <w:t>声环境保护目标名称</w:t>
                  </w:r>
                </w:p>
              </w:tc>
              <w:tc>
                <w:tcPr>
                  <w:tcW w:w="1009" w:type="dxa"/>
                  <w:vAlign w:val="center"/>
                </w:tcPr>
                <w:p>
                  <w:pPr>
                    <w:jc w:val="center"/>
                    <w:rPr>
                      <w:szCs w:val="21"/>
                    </w:rPr>
                  </w:pPr>
                  <w:r>
                    <w:rPr>
                      <w:b/>
                      <w:szCs w:val="21"/>
                    </w:rPr>
                    <w:t>噪声背景值/dB(A)</w:t>
                  </w:r>
                </w:p>
              </w:tc>
              <w:tc>
                <w:tcPr>
                  <w:tcW w:w="1011" w:type="dxa"/>
                  <w:vAlign w:val="center"/>
                </w:tcPr>
                <w:p>
                  <w:pPr>
                    <w:jc w:val="center"/>
                    <w:rPr>
                      <w:szCs w:val="21"/>
                    </w:rPr>
                  </w:pPr>
                  <w:r>
                    <w:rPr>
                      <w:b/>
                      <w:szCs w:val="21"/>
                    </w:rPr>
                    <w:t>噪声现状值/dB(A)</w:t>
                  </w:r>
                </w:p>
              </w:tc>
              <w:tc>
                <w:tcPr>
                  <w:tcW w:w="870" w:type="dxa"/>
                  <w:vAlign w:val="center"/>
                </w:tcPr>
                <w:p>
                  <w:pPr>
                    <w:jc w:val="center"/>
                    <w:rPr>
                      <w:szCs w:val="21"/>
                    </w:rPr>
                  </w:pPr>
                  <w:r>
                    <w:rPr>
                      <w:b/>
                      <w:szCs w:val="21"/>
                    </w:rPr>
                    <w:t>噪声标准/dB(A)</w:t>
                  </w:r>
                </w:p>
              </w:tc>
              <w:tc>
                <w:tcPr>
                  <w:tcW w:w="1012" w:type="dxa"/>
                  <w:vAlign w:val="center"/>
                </w:tcPr>
                <w:p>
                  <w:pPr>
                    <w:jc w:val="center"/>
                    <w:rPr>
                      <w:szCs w:val="21"/>
                    </w:rPr>
                  </w:pPr>
                  <w:r>
                    <w:rPr>
                      <w:b/>
                      <w:szCs w:val="21"/>
                    </w:rPr>
                    <w:t>噪声贡献值/dB(A)</w:t>
                  </w:r>
                </w:p>
              </w:tc>
              <w:tc>
                <w:tcPr>
                  <w:tcW w:w="1012" w:type="dxa"/>
                  <w:vAlign w:val="center"/>
                </w:tcPr>
                <w:p>
                  <w:pPr>
                    <w:jc w:val="center"/>
                    <w:rPr>
                      <w:szCs w:val="21"/>
                    </w:rPr>
                  </w:pPr>
                  <w:r>
                    <w:rPr>
                      <w:b/>
                      <w:szCs w:val="21"/>
                    </w:rPr>
                    <w:t>噪声预测值/dB(A)</w:t>
                  </w:r>
                </w:p>
              </w:tc>
              <w:tc>
                <w:tcPr>
                  <w:tcW w:w="863" w:type="dxa"/>
                  <w:vAlign w:val="center"/>
                </w:tcPr>
                <w:p>
                  <w:pPr>
                    <w:jc w:val="center"/>
                    <w:rPr>
                      <w:szCs w:val="21"/>
                    </w:rPr>
                  </w:pPr>
                  <w:r>
                    <w:rPr>
                      <w:b/>
                      <w:szCs w:val="21"/>
                    </w:rPr>
                    <w:t>较现状增量/dB(A)</w:t>
                  </w:r>
                </w:p>
              </w:tc>
              <w:tc>
                <w:tcPr>
                  <w:tcW w:w="1000" w:type="dxa"/>
                  <w:gridSpan w:val="2"/>
                  <w:vAlign w:val="center"/>
                </w:tcPr>
                <w:p>
                  <w:pPr>
                    <w:jc w:val="center"/>
                    <w:rPr>
                      <w:szCs w:val="21"/>
                    </w:rPr>
                  </w:pPr>
                  <w:r>
                    <w:rPr>
                      <w:b/>
                      <w:szCs w:val="21"/>
                    </w:rPr>
                    <w:t>超标和达标情况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909" w:hRule="atLeast"/>
                <w:jc w:val="center"/>
              </w:trPr>
              <w:tc>
                <w:tcPr>
                  <w:tcW w:w="344" w:type="dxa"/>
                  <w:vMerge w:val="continue"/>
                  <w:shd w:val="clear" w:color="auto" w:fill="FFFFFF"/>
                  <w:vAlign w:val="center"/>
                </w:tcPr>
                <w:p>
                  <w:pPr>
                    <w:jc w:val="center"/>
                    <w:rPr>
                      <w:szCs w:val="21"/>
                    </w:rPr>
                  </w:pPr>
                </w:p>
              </w:tc>
              <w:tc>
                <w:tcPr>
                  <w:tcW w:w="1003" w:type="dxa"/>
                  <w:vMerge w:val="continue"/>
                  <w:shd w:val="clear" w:color="auto" w:fill="FFFFFF"/>
                  <w:vAlign w:val="center"/>
                </w:tcPr>
                <w:p>
                  <w:pPr>
                    <w:jc w:val="center"/>
                    <w:rPr>
                      <w:szCs w:val="21"/>
                    </w:rPr>
                  </w:pPr>
                </w:p>
              </w:tc>
              <w:tc>
                <w:tcPr>
                  <w:tcW w:w="1009" w:type="dxa"/>
                  <w:shd w:val="clear" w:color="auto" w:fill="FFFFFF"/>
                  <w:vAlign w:val="center"/>
                </w:tcPr>
                <w:p>
                  <w:pPr>
                    <w:jc w:val="center"/>
                    <w:rPr>
                      <w:szCs w:val="21"/>
                    </w:rPr>
                  </w:pPr>
                  <w:r>
                    <w:rPr>
                      <w:szCs w:val="21"/>
                    </w:rPr>
                    <w:t>昼间</w:t>
                  </w:r>
                </w:p>
              </w:tc>
              <w:tc>
                <w:tcPr>
                  <w:tcW w:w="1011" w:type="dxa"/>
                  <w:shd w:val="clear" w:color="auto" w:fill="FFFFFF"/>
                  <w:vAlign w:val="center"/>
                </w:tcPr>
                <w:p>
                  <w:pPr>
                    <w:jc w:val="center"/>
                    <w:rPr>
                      <w:szCs w:val="21"/>
                    </w:rPr>
                  </w:pPr>
                  <w:r>
                    <w:rPr>
                      <w:szCs w:val="21"/>
                    </w:rPr>
                    <w:t>昼间</w:t>
                  </w:r>
                </w:p>
              </w:tc>
              <w:tc>
                <w:tcPr>
                  <w:tcW w:w="870" w:type="dxa"/>
                  <w:shd w:val="clear" w:color="auto" w:fill="FFFFFF"/>
                  <w:vAlign w:val="center"/>
                </w:tcPr>
                <w:p>
                  <w:pPr>
                    <w:jc w:val="center"/>
                    <w:rPr>
                      <w:szCs w:val="21"/>
                    </w:rPr>
                  </w:pPr>
                  <w:r>
                    <w:rPr>
                      <w:szCs w:val="21"/>
                    </w:rPr>
                    <w:t>昼间</w:t>
                  </w:r>
                </w:p>
              </w:tc>
              <w:tc>
                <w:tcPr>
                  <w:tcW w:w="1012" w:type="dxa"/>
                  <w:shd w:val="clear" w:color="auto" w:fill="FFFFFF"/>
                  <w:vAlign w:val="center"/>
                </w:tcPr>
                <w:p>
                  <w:pPr>
                    <w:jc w:val="center"/>
                    <w:rPr>
                      <w:szCs w:val="21"/>
                    </w:rPr>
                  </w:pPr>
                  <w:r>
                    <w:rPr>
                      <w:szCs w:val="21"/>
                    </w:rPr>
                    <w:t>昼间</w:t>
                  </w:r>
                </w:p>
              </w:tc>
              <w:tc>
                <w:tcPr>
                  <w:tcW w:w="1012" w:type="dxa"/>
                  <w:shd w:val="clear" w:color="auto" w:fill="FFFFFF"/>
                  <w:vAlign w:val="center"/>
                </w:tcPr>
                <w:p>
                  <w:pPr>
                    <w:jc w:val="center"/>
                    <w:rPr>
                      <w:szCs w:val="21"/>
                    </w:rPr>
                  </w:pPr>
                  <w:r>
                    <w:rPr>
                      <w:szCs w:val="21"/>
                    </w:rPr>
                    <w:t>昼间</w:t>
                  </w:r>
                </w:p>
              </w:tc>
              <w:tc>
                <w:tcPr>
                  <w:tcW w:w="863" w:type="dxa"/>
                  <w:shd w:val="clear" w:color="auto" w:fill="FFFFFF"/>
                  <w:vAlign w:val="center"/>
                </w:tcPr>
                <w:p>
                  <w:pPr>
                    <w:jc w:val="center"/>
                    <w:rPr>
                      <w:szCs w:val="21"/>
                    </w:rPr>
                  </w:pPr>
                  <w:r>
                    <w:rPr>
                      <w:szCs w:val="21"/>
                    </w:rPr>
                    <w:t>昼间</w:t>
                  </w:r>
                </w:p>
              </w:tc>
              <w:tc>
                <w:tcPr>
                  <w:tcW w:w="994" w:type="dxa"/>
                  <w:shd w:val="clear" w:color="auto" w:fill="FFFFFF"/>
                  <w:vAlign w:val="center"/>
                </w:tcPr>
                <w:p>
                  <w:pPr>
                    <w:jc w:val="center"/>
                    <w:rPr>
                      <w:szCs w:val="21"/>
                    </w:rPr>
                  </w:pPr>
                  <w:r>
                    <w:rPr>
                      <w:szCs w:val="21"/>
                    </w:rPr>
                    <w:t>昼间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gridAfter w:val="1"/>
                <w:wAfter w:w="6" w:type="dxa"/>
                <w:trHeight w:val="232" w:hRule="atLeast"/>
                <w:jc w:val="center"/>
              </w:trPr>
              <w:tc>
                <w:tcPr>
                  <w:tcW w:w="344" w:type="dxa"/>
                  <w:shd w:val="clear" w:color="auto" w:fill="FFFFFF"/>
                  <w:vAlign w:val="center"/>
                </w:tcPr>
                <w:p>
                  <w:pPr>
                    <w:jc w:val="center"/>
                    <w:rPr>
                      <w:szCs w:val="21"/>
                    </w:rPr>
                  </w:pPr>
                  <w:r>
                    <w:rPr>
                      <w:szCs w:val="21"/>
                    </w:rPr>
                    <w:t>1</w:t>
                  </w:r>
                </w:p>
              </w:tc>
              <w:tc>
                <w:tcPr>
                  <w:tcW w:w="1003" w:type="dxa"/>
                  <w:shd w:val="clear" w:color="auto" w:fill="FFFFFF"/>
                  <w:vAlign w:val="center"/>
                </w:tcPr>
                <w:p>
                  <w:pPr>
                    <w:jc w:val="center"/>
                    <w:rPr>
                      <w:szCs w:val="21"/>
                    </w:rPr>
                  </w:pPr>
                  <w:r>
                    <w:rPr>
                      <w:szCs w:val="21"/>
                    </w:rPr>
                    <w:t>1#居民点</w:t>
                  </w:r>
                </w:p>
              </w:tc>
              <w:tc>
                <w:tcPr>
                  <w:tcW w:w="1009" w:type="dxa"/>
                  <w:shd w:val="clear" w:color="auto" w:fill="FFFFFF"/>
                  <w:vAlign w:val="center"/>
                </w:tcPr>
                <w:p>
                  <w:pPr>
                    <w:jc w:val="center"/>
                    <w:rPr>
                      <w:szCs w:val="21"/>
                    </w:rPr>
                  </w:pPr>
                  <w:r>
                    <w:rPr>
                      <w:rFonts w:hint="eastAsia"/>
                      <w:szCs w:val="21"/>
                    </w:rPr>
                    <w:t>52</w:t>
                  </w:r>
                </w:p>
              </w:tc>
              <w:tc>
                <w:tcPr>
                  <w:tcW w:w="1011" w:type="dxa"/>
                  <w:shd w:val="clear" w:color="auto" w:fill="FFFFFF"/>
                  <w:vAlign w:val="center"/>
                </w:tcPr>
                <w:p>
                  <w:pPr>
                    <w:jc w:val="center"/>
                    <w:rPr>
                      <w:szCs w:val="21"/>
                    </w:rPr>
                  </w:pPr>
                  <w:r>
                    <w:rPr>
                      <w:rFonts w:hint="eastAsia"/>
                      <w:szCs w:val="21"/>
                    </w:rPr>
                    <w:t>52</w:t>
                  </w:r>
                </w:p>
              </w:tc>
              <w:tc>
                <w:tcPr>
                  <w:tcW w:w="870" w:type="dxa"/>
                  <w:shd w:val="clear" w:color="auto" w:fill="FFFFFF"/>
                  <w:vAlign w:val="center"/>
                </w:tcPr>
                <w:p>
                  <w:pPr>
                    <w:jc w:val="center"/>
                    <w:rPr>
                      <w:szCs w:val="21"/>
                    </w:rPr>
                  </w:pPr>
                  <w:r>
                    <w:rPr>
                      <w:rFonts w:hint="eastAsia"/>
                      <w:szCs w:val="21"/>
                    </w:rPr>
                    <w:t>60</w:t>
                  </w:r>
                </w:p>
              </w:tc>
              <w:tc>
                <w:tcPr>
                  <w:tcW w:w="1012" w:type="dxa"/>
                  <w:shd w:val="clear" w:color="auto" w:fill="FFFFFF"/>
                  <w:vAlign w:val="center"/>
                </w:tcPr>
                <w:p>
                  <w:pPr>
                    <w:jc w:val="center"/>
                    <w:rPr>
                      <w:szCs w:val="21"/>
                    </w:rPr>
                  </w:pPr>
                  <w:r>
                    <w:rPr>
                      <w:rFonts w:hint="eastAsia"/>
                      <w:szCs w:val="21"/>
                    </w:rPr>
                    <w:t>55</w:t>
                  </w:r>
                </w:p>
              </w:tc>
              <w:tc>
                <w:tcPr>
                  <w:tcW w:w="1012" w:type="dxa"/>
                  <w:shd w:val="clear" w:color="auto" w:fill="FFFFFF"/>
                  <w:vAlign w:val="center"/>
                </w:tcPr>
                <w:p>
                  <w:pPr>
                    <w:jc w:val="center"/>
                    <w:rPr>
                      <w:szCs w:val="21"/>
                    </w:rPr>
                  </w:pPr>
                  <w:r>
                    <w:rPr>
                      <w:rFonts w:hint="eastAsia"/>
                      <w:szCs w:val="21"/>
                    </w:rPr>
                    <w:t>56</w:t>
                  </w:r>
                </w:p>
              </w:tc>
              <w:tc>
                <w:tcPr>
                  <w:tcW w:w="863" w:type="dxa"/>
                  <w:shd w:val="clear" w:color="auto" w:fill="FFFFFF"/>
                  <w:vAlign w:val="center"/>
                </w:tcPr>
                <w:p>
                  <w:pPr>
                    <w:jc w:val="center"/>
                    <w:rPr>
                      <w:szCs w:val="21"/>
                    </w:rPr>
                  </w:pPr>
                  <w:r>
                    <w:rPr>
                      <w:rFonts w:hint="eastAsia"/>
                      <w:szCs w:val="21"/>
                    </w:rPr>
                    <w:t>4</w:t>
                  </w:r>
                </w:p>
              </w:tc>
              <w:tc>
                <w:tcPr>
                  <w:tcW w:w="994" w:type="dxa"/>
                  <w:shd w:val="clear" w:color="auto" w:fill="FFFFFF"/>
                  <w:vAlign w:val="center"/>
                </w:tcPr>
                <w:p>
                  <w:pPr>
                    <w:jc w:val="center"/>
                    <w:rPr>
                      <w:szCs w:val="21"/>
                    </w:rPr>
                  </w:pPr>
                  <w:r>
                    <w:rPr>
                      <w:rFonts w:hint="eastAsia" w:ascii="微软雅黑" w:hAnsi="微软雅黑" w:eastAsia="微软雅黑" w:cs="微软雅黑"/>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gridAfter w:val="1"/>
                <w:wAfter w:w="6" w:type="dxa"/>
                <w:trHeight w:val="245" w:hRule="atLeast"/>
                <w:jc w:val="center"/>
              </w:trPr>
              <w:tc>
                <w:tcPr>
                  <w:tcW w:w="344" w:type="dxa"/>
                  <w:shd w:val="clear" w:color="auto" w:fill="FFFFFF"/>
                  <w:vAlign w:val="center"/>
                </w:tcPr>
                <w:p>
                  <w:pPr>
                    <w:jc w:val="center"/>
                    <w:rPr>
                      <w:szCs w:val="21"/>
                    </w:rPr>
                  </w:pPr>
                  <w:r>
                    <w:rPr>
                      <w:szCs w:val="21"/>
                    </w:rPr>
                    <w:t>2</w:t>
                  </w:r>
                </w:p>
              </w:tc>
              <w:tc>
                <w:tcPr>
                  <w:tcW w:w="1003" w:type="dxa"/>
                  <w:shd w:val="clear" w:color="auto" w:fill="FFFFFF"/>
                  <w:vAlign w:val="center"/>
                </w:tcPr>
                <w:p>
                  <w:pPr>
                    <w:jc w:val="center"/>
                    <w:rPr>
                      <w:szCs w:val="21"/>
                    </w:rPr>
                  </w:pPr>
                  <w:r>
                    <w:rPr>
                      <w:szCs w:val="21"/>
                    </w:rPr>
                    <w:t>2#居民点</w:t>
                  </w:r>
                </w:p>
              </w:tc>
              <w:tc>
                <w:tcPr>
                  <w:tcW w:w="1009" w:type="dxa"/>
                  <w:shd w:val="clear" w:color="auto" w:fill="FFFFFF"/>
                  <w:vAlign w:val="center"/>
                </w:tcPr>
                <w:p>
                  <w:pPr>
                    <w:jc w:val="center"/>
                    <w:rPr>
                      <w:szCs w:val="21"/>
                    </w:rPr>
                  </w:pPr>
                  <w:r>
                    <w:rPr>
                      <w:rFonts w:hint="eastAsia"/>
                      <w:szCs w:val="21"/>
                    </w:rPr>
                    <w:t>52</w:t>
                  </w:r>
                </w:p>
              </w:tc>
              <w:tc>
                <w:tcPr>
                  <w:tcW w:w="1011" w:type="dxa"/>
                  <w:shd w:val="clear" w:color="auto" w:fill="FFFFFF"/>
                  <w:vAlign w:val="center"/>
                </w:tcPr>
                <w:p>
                  <w:pPr>
                    <w:jc w:val="center"/>
                    <w:rPr>
                      <w:szCs w:val="21"/>
                    </w:rPr>
                  </w:pPr>
                  <w:r>
                    <w:rPr>
                      <w:rFonts w:hint="eastAsia"/>
                      <w:szCs w:val="21"/>
                    </w:rPr>
                    <w:t>52</w:t>
                  </w:r>
                </w:p>
              </w:tc>
              <w:tc>
                <w:tcPr>
                  <w:tcW w:w="870" w:type="dxa"/>
                  <w:shd w:val="clear" w:color="auto" w:fill="FFFFFF"/>
                  <w:vAlign w:val="center"/>
                </w:tcPr>
                <w:p>
                  <w:pPr>
                    <w:jc w:val="center"/>
                    <w:rPr>
                      <w:szCs w:val="21"/>
                    </w:rPr>
                  </w:pPr>
                  <w:r>
                    <w:rPr>
                      <w:rFonts w:hint="eastAsia"/>
                      <w:szCs w:val="21"/>
                    </w:rPr>
                    <w:t>60</w:t>
                  </w:r>
                </w:p>
              </w:tc>
              <w:tc>
                <w:tcPr>
                  <w:tcW w:w="1012" w:type="dxa"/>
                  <w:shd w:val="clear" w:color="auto" w:fill="FFFFFF"/>
                  <w:vAlign w:val="center"/>
                </w:tcPr>
                <w:p>
                  <w:pPr>
                    <w:jc w:val="center"/>
                    <w:rPr>
                      <w:szCs w:val="21"/>
                    </w:rPr>
                  </w:pPr>
                  <w:r>
                    <w:rPr>
                      <w:rFonts w:hint="eastAsia"/>
                      <w:szCs w:val="21"/>
                    </w:rPr>
                    <w:t>38</w:t>
                  </w:r>
                </w:p>
              </w:tc>
              <w:tc>
                <w:tcPr>
                  <w:tcW w:w="1012" w:type="dxa"/>
                  <w:shd w:val="clear" w:color="auto" w:fill="FFFFFF"/>
                  <w:vAlign w:val="center"/>
                </w:tcPr>
                <w:p>
                  <w:pPr>
                    <w:jc w:val="center"/>
                    <w:rPr>
                      <w:szCs w:val="21"/>
                    </w:rPr>
                  </w:pPr>
                  <w:r>
                    <w:rPr>
                      <w:rFonts w:hint="eastAsia"/>
                      <w:szCs w:val="21"/>
                    </w:rPr>
                    <w:t>52</w:t>
                  </w:r>
                </w:p>
              </w:tc>
              <w:tc>
                <w:tcPr>
                  <w:tcW w:w="863" w:type="dxa"/>
                  <w:shd w:val="clear" w:color="auto" w:fill="FFFFFF"/>
                  <w:vAlign w:val="center"/>
                </w:tcPr>
                <w:p>
                  <w:pPr>
                    <w:jc w:val="center"/>
                    <w:rPr>
                      <w:szCs w:val="21"/>
                    </w:rPr>
                  </w:pPr>
                  <w:r>
                    <w:rPr>
                      <w:rFonts w:hint="eastAsia"/>
                      <w:szCs w:val="21"/>
                    </w:rPr>
                    <w:t>0</w:t>
                  </w:r>
                </w:p>
              </w:tc>
              <w:tc>
                <w:tcPr>
                  <w:tcW w:w="994" w:type="dxa"/>
                  <w:shd w:val="clear" w:color="auto" w:fill="FFFFFF"/>
                  <w:vAlign w:val="center"/>
                </w:tcPr>
                <w:p>
                  <w:pPr>
                    <w:jc w:val="center"/>
                    <w:rPr>
                      <w:szCs w:val="21"/>
                    </w:rPr>
                  </w:pPr>
                  <w:r>
                    <w:rPr>
                      <w:rFonts w:hint="eastAsia" w:ascii="微软雅黑" w:hAnsi="微软雅黑" w:eastAsia="微软雅黑" w:cs="微软雅黑"/>
                      <w:szCs w:val="21"/>
                    </w:rPr>
                    <w:t>达标</w:t>
                  </w:r>
                </w:p>
              </w:tc>
            </w:tr>
          </w:tbl>
          <w:p>
            <w:pPr>
              <w:spacing w:line="360" w:lineRule="auto"/>
              <w:ind w:firstLine="420" w:firstLineChars="200"/>
              <w:contextualSpacing/>
              <w:rPr>
                <w:szCs w:val="21"/>
              </w:rPr>
            </w:pPr>
          </w:p>
          <w:p>
            <w:pPr>
              <w:spacing w:line="360" w:lineRule="auto"/>
              <w:ind w:firstLine="420" w:firstLineChars="200"/>
              <w:contextualSpacing/>
              <w:rPr>
                <w:szCs w:val="21"/>
              </w:rPr>
            </w:pPr>
            <w:r>
              <w:rPr>
                <w:szCs w:val="21"/>
              </w:rPr>
              <w:t>由上表可知，压裂设备产生的噪声对周边居民敏感点影响较小，满足《声环境质量标准》(GB3096-2008) 2类标准。</w:t>
            </w:r>
          </w:p>
          <w:p>
            <w:pPr>
              <w:contextualSpacing/>
            </w:pPr>
          </w:p>
          <w:p>
            <w:pPr>
              <w:contextualSpacing/>
              <w:rPr>
                <w:szCs w:val="21"/>
              </w:rPr>
            </w:pPr>
            <w:r>
              <w:drawing>
                <wp:inline distT="0" distB="0" distL="0" distR="0">
                  <wp:extent cx="5173345" cy="4259580"/>
                  <wp:effectExtent l="0" t="0" r="8255" b="762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19"/>
                          <a:srcRect b="5080"/>
                          <a:stretch>
                            <a:fillRect/>
                          </a:stretch>
                        </pic:blipFill>
                        <pic:spPr>
                          <a:xfrm>
                            <a:off x="0" y="0"/>
                            <a:ext cx="5173345" cy="4259580"/>
                          </a:xfrm>
                          <a:prstGeom prst="rect">
                            <a:avLst/>
                          </a:prstGeom>
                          <a:ln>
                            <a:noFill/>
                          </a:ln>
                        </pic:spPr>
                      </pic:pic>
                    </a:graphicData>
                  </a:graphic>
                </wp:inline>
              </w:drawing>
            </w:r>
          </w:p>
          <w:p>
            <w:pPr>
              <w:spacing w:line="360" w:lineRule="auto"/>
              <w:ind w:firstLine="420" w:firstLineChars="200"/>
              <w:contextualSpacing/>
              <w:jc w:val="center"/>
              <w:rPr>
                <w:szCs w:val="21"/>
              </w:rPr>
            </w:pPr>
            <w:r>
              <w:rPr>
                <w:rFonts w:hint="eastAsia"/>
                <w:szCs w:val="21"/>
              </w:rPr>
              <w:t>图4-2 压裂设备</w:t>
            </w:r>
            <w:r>
              <w:rPr>
                <w:szCs w:val="21"/>
              </w:rPr>
              <w:t>噪声影响示意图</w:t>
            </w:r>
          </w:p>
          <w:p>
            <w:pPr>
              <w:autoSpaceDE w:val="0"/>
              <w:autoSpaceDN w:val="0"/>
              <w:spacing w:line="360" w:lineRule="auto"/>
              <w:contextualSpacing/>
              <w:jc w:val="center"/>
              <w:rPr>
                <w:b/>
                <w:szCs w:val="21"/>
              </w:rPr>
            </w:pPr>
            <w:r>
              <w:rPr>
                <w:b/>
                <w:szCs w:val="21"/>
              </w:rPr>
              <w:t>表4-22 放喷噪声对周围居民影响预测</w:t>
            </w:r>
          </w:p>
          <w:tbl>
            <w:tblPr>
              <w:tblStyle w:val="42"/>
              <w:tblW w:w="79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5"/>
              <w:gridCol w:w="978"/>
              <w:gridCol w:w="984"/>
              <w:gridCol w:w="986"/>
              <w:gridCol w:w="848"/>
              <w:gridCol w:w="986"/>
              <w:gridCol w:w="986"/>
              <w:gridCol w:w="955"/>
              <w:gridCol w:w="8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8" w:hRule="exact"/>
                <w:jc w:val="center"/>
              </w:trPr>
              <w:tc>
                <w:tcPr>
                  <w:tcW w:w="335" w:type="dxa"/>
                  <w:vMerge w:val="restart"/>
                  <w:vAlign w:val="center"/>
                </w:tcPr>
                <w:p>
                  <w:pPr>
                    <w:jc w:val="center"/>
                    <w:rPr>
                      <w:szCs w:val="21"/>
                    </w:rPr>
                  </w:pPr>
                  <w:r>
                    <w:rPr>
                      <w:b/>
                      <w:szCs w:val="21"/>
                    </w:rPr>
                    <w:t>序号</w:t>
                  </w:r>
                </w:p>
              </w:tc>
              <w:tc>
                <w:tcPr>
                  <w:tcW w:w="978" w:type="dxa"/>
                  <w:vMerge w:val="restart"/>
                  <w:vAlign w:val="center"/>
                </w:tcPr>
                <w:p>
                  <w:pPr>
                    <w:jc w:val="center"/>
                    <w:rPr>
                      <w:szCs w:val="21"/>
                    </w:rPr>
                  </w:pPr>
                  <w:r>
                    <w:rPr>
                      <w:b/>
                      <w:szCs w:val="21"/>
                    </w:rPr>
                    <w:t>声环境保护目标名称</w:t>
                  </w:r>
                </w:p>
              </w:tc>
              <w:tc>
                <w:tcPr>
                  <w:tcW w:w="984" w:type="dxa"/>
                  <w:vAlign w:val="center"/>
                </w:tcPr>
                <w:p>
                  <w:pPr>
                    <w:jc w:val="center"/>
                    <w:rPr>
                      <w:szCs w:val="21"/>
                    </w:rPr>
                  </w:pPr>
                  <w:r>
                    <w:rPr>
                      <w:b/>
                      <w:szCs w:val="21"/>
                    </w:rPr>
                    <w:t>噪声背景值/dB(A)</w:t>
                  </w:r>
                </w:p>
              </w:tc>
              <w:tc>
                <w:tcPr>
                  <w:tcW w:w="986" w:type="dxa"/>
                  <w:vAlign w:val="center"/>
                </w:tcPr>
                <w:p>
                  <w:pPr>
                    <w:jc w:val="center"/>
                    <w:rPr>
                      <w:szCs w:val="21"/>
                    </w:rPr>
                  </w:pPr>
                  <w:r>
                    <w:rPr>
                      <w:b/>
                      <w:szCs w:val="21"/>
                    </w:rPr>
                    <w:t>噪声现状值/dB(A)</w:t>
                  </w:r>
                </w:p>
              </w:tc>
              <w:tc>
                <w:tcPr>
                  <w:tcW w:w="848" w:type="dxa"/>
                  <w:vAlign w:val="center"/>
                </w:tcPr>
                <w:p>
                  <w:pPr>
                    <w:jc w:val="center"/>
                    <w:rPr>
                      <w:szCs w:val="21"/>
                    </w:rPr>
                  </w:pPr>
                  <w:r>
                    <w:rPr>
                      <w:b/>
                      <w:szCs w:val="21"/>
                    </w:rPr>
                    <w:t>噪声标准/dB(A)</w:t>
                  </w:r>
                </w:p>
              </w:tc>
              <w:tc>
                <w:tcPr>
                  <w:tcW w:w="986" w:type="dxa"/>
                  <w:vAlign w:val="center"/>
                </w:tcPr>
                <w:p>
                  <w:pPr>
                    <w:jc w:val="center"/>
                    <w:rPr>
                      <w:szCs w:val="21"/>
                    </w:rPr>
                  </w:pPr>
                  <w:r>
                    <w:rPr>
                      <w:b/>
                      <w:szCs w:val="21"/>
                    </w:rPr>
                    <w:t>噪声贡献值/dB(A)</w:t>
                  </w:r>
                </w:p>
              </w:tc>
              <w:tc>
                <w:tcPr>
                  <w:tcW w:w="986" w:type="dxa"/>
                  <w:vAlign w:val="center"/>
                </w:tcPr>
                <w:p>
                  <w:pPr>
                    <w:jc w:val="center"/>
                    <w:rPr>
                      <w:szCs w:val="21"/>
                    </w:rPr>
                  </w:pPr>
                  <w:r>
                    <w:rPr>
                      <w:b/>
                      <w:szCs w:val="21"/>
                    </w:rPr>
                    <w:t>噪声预测值/dB(A)</w:t>
                  </w:r>
                </w:p>
              </w:tc>
              <w:tc>
                <w:tcPr>
                  <w:tcW w:w="955" w:type="dxa"/>
                  <w:vAlign w:val="center"/>
                </w:tcPr>
                <w:p>
                  <w:pPr>
                    <w:jc w:val="center"/>
                    <w:rPr>
                      <w:szCs w:val="21"/>
                    </w:rPr>
                  </w:pPr>
                  <w:r>
                    <w:rPr>
                      <w:b/>
                      <w:szCs w:val="21"/>
                    </w:rPr>
                    <w:t>较现状增量/dB(A)</w:t>
                  </w:r>
                </w:p>
              </w:tc>
              <w:tc>
                <w:tcPr>
                  <w:tcW w:w="853" w:type="dxa"/>
                  <w:vAlign w:val="center"/>
                </w:tcPr>
                <w:p>
                  <w:pPr>
                    <w:jc w:val="center"/>
                    <w:rPr>
                      <w:szCs w:val="21"/>
                    </w:rPr>
                  </w:pPr>
                  <w:r>
                    <w:rPr>
                      <w:b/>
                      <w:szCs w:val="21"/>
                    </w:rPr>
                    <w:t>超标和达标情况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7" w:hRule="atLeast"/>
                <w:jc w:val="center"/>
              </w:trPr>
              <w:tc>
                <w:tcPr>
                  <w:tcW w:w="335" w:type="dxa"/>
                  <w:vMerge w:val="continue"/>
                  <w:shd w:val="clear" w:color="auto" w:fill="FFFFFF"/>
                  <w:vAlign w:val="center"/>
                </w:tcPr>
                <w:p>
                  <w:pPr>
                    <w:jc w:val="center"/>
                    <w:rPr>
                      <w:szCs w:val="21"/>
                    </w:rPr>
                  </w:pPr>
                </w:p>
              </w:tc>
              <w:tc>
                <w:tcPr>
                  <w:tcW w:w="978" w:type="dxa"/>
                  <w:vMerge w:val="continue"/>
                  <w:shd w:val="clear" w:color="auto" w:fill="FFFFFF"/>
                  <w:vAlign w:val="center"/>
                </w:tcPr>
                <w:p>
                  <w:pPr>
                    <w:jc w:val="center"/>
                    <w:rPr>
                      <w:szCs w:val="21"/>
                    </w:rPr>
                  </w:pPr>
                </w:p>
              </w:tc>
              <w:tc>
                <w:tcPr>
                  <w:tcW w:w="984" w:type="dxa"/>
                  <w:shd w:val="clear" w:color="auto" w:fill="FFFFFF"/>
                  <w:vAlign w:val="center"/>
                </w:tcPr>
                <w:p>
                  <w:pPr>
                    <w:jc w:val="center"/>
                    <w:rPr>
                      <w:szCs w:val="21"/>
                    </w:rPr>
                  </w:pPr>
                  <w:r>
                    <w:rPr>
                      <w:szCs w:val="21"/>
                    </w:rPr>
                    <w:t>昼间</w:t>
                  </w:r>
                </w:p>
              </w:tc>
              <w:tc>
                <w:tcPr>
                  <w:tcW w:w="986" w:type="dxa"/>
                  <w:shd w:val="clear" w:color="auto" w:fill="FFFFFF"/>
                  <w:vAlign w:val="center"/>
                </w:tcPr>
                <w:p>
                  <w:pPr>
                    <w:jc w:val="center"/>
                    <w:rPr>
                      <w:szCs w:val="21"/>
                    </w:rPr>
                  </w:pPr>
                  <w:r>
                    <w:rPr>
                      <w:szCs w:val="21"/>
                    </w:rPr>
                    <w:t>昼间</w:t>
                  </w:r>
                </w:p>
              </w:tc>
              <w:tc>
                <w:tcPr>
                  <w:tcW w:w="848" w:type="dxa"/>
                  <w:shd w:val="clear" w:color="auto" w:fill="FFFFFF"/>
                  <w:vAlign w:val="center"/>
                </w:tcPr>
                <w:p>
                  <w:pPr>
                    <w:jc w:val="center"/>
                    <w:rPr>
                      <w:szCs w:val="21"/>
                    </w:rPr>
                  </w:pPr>
                  <w:r>
                    <w:rPr>
                      <w:szCs w:val="21"/>
                    </w:rPr>
                    <w:t>昼间</w:t>
                  </w:r>
                </w:p>
              </w:tc>
              <w:tc>
                <w:tcPr>
                  <w:tcW w:w="986" w:type="dxa"/>
                  <w:shd w:val="clear" w:color="auto" w:fill="FFFFFF"/>
                  <w:vAlign w:val="center"/>
                </w:tcPr>
                <w:p>
                  <w:pPr>
                    <w:jc w:val="center"/>
                    <w:rPr>
                      <w:szCs w:val="21"/>
                    </w:rPr>
                  </w:pPr>
                  <w:r>
                    <w:rPr>
                      <w:szCs w:val="21"/>
                    </w:rPr>
                    <w:t>昼间</w:t>
                  </w:r>
                </w:p>
              </w:tc>
              <w:tc>
                <w:tcPr>
                  <w:tcW w:w="986" w:type="dxa"/>
                  <w:shd w:val="clear" w:color="auto" w:fill="FFFFFF"/>
                  <w:vAlign w:val="center"/>
                </w:tcPr>
                <w:p>
                  <w:pPr>
                    <w:jc w:val="center"/>
                    <w:rPr>
                      <w:szCs w:val="21"/>
                    </w:rPr>
                  </w:pPr>
                  <w:r>
                    <w:rPr>
                      <w:szCs w:val="21"/>
                    </w:rPr>
                    <w:t>昼间</w:t>
                  </w:r>
                </w:p>
              </w:tc>
              <w:tc>
                <w:tcPr>
                  <w:tcW w:w="955" w:type="dxa"/>
                  <w:shd w:val="clear" w:color="auto" w:fill="FFFFFF"/>
                  <w:vAlign w:val="center"/>
                </w:tcPr>
                <w:p>
                  <w:pPr>
                    <w:jc w:val="center"/>
                    <w:rPr>
                      <w:szCs w:val="21"/>
                    </w:rPr>
                  </w:pPr>
                  <w:r>
                    <w:rPr>
                      <w:szCs w:val="21"/>
                    </w:rPr>
                    <w:t>昼间</w:t>
                  </w:r>
                </w:p>
              </w:tc>
              <w:tc>
                <w:tcPr>
                  <w:tcW w:w="853" w:type="dxa"/>
                  <w:shd w:val="clear" w:color="auto" w:fill="FFFFFF"/>
                  <w:vAlign w:val="center"/>
                </w:tcPr>
                <w:p>
                  <w:pPr>
                    <w:jc w:val="center"/>
                    <w:rPr>
                      <w:szCs w:val="21"/>
                    </w:rPr>
                  </w:pPr>
                  <w:r>
                    <w:rPr>
                      <w:szCs w:val="21"/>
                    </w:rPr>
                    <w:t>昼间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07" w:hRule="atLeast"/>
                <w:jc w:val="center"/>
              </w:trPr>
              <w:tc>
                <w:tcPr>
                  <w:tcW w:w="335" w:type="dxa"/>
                  <w:shd w:val="clear" w:color="auto" w:fill="FFFFFF"/>
                  <w:vAlign w:val="center"/>
                </w:tcPr>
                <w:p>
                  <w:pPr>
                    <w:jc w:val="center"/>
                    <w:rPr>
                      <w:szCs w:val="21"/>
                    </w:rPr>
                  </w:pPr>
                  <w:r>
                    <w:rPr>
                      <w:szCs w:val="21"/>
                    </w:rPr>
                    <w:t>1</w:t>
                  </w:r>
                </w:p>
              </w:tc>
              <w:tc>
                <w:tcPr>
                  <w:tcW w:w="978" w:type="dxa"/>
                  <w:shd w:val="clear" w:color="auto" w:fill="FFFFFF"/>
                  <w:vAlign w:val="center"/>
                </w:tcPr>
                <w:p>
                  <w:pPr>
                    <w:jc w:val="center"/>
                    <w:rPr>
                      <w:szCs w:val="21"/>
                    </w:rPr>
                  </w:pPr>
                  <w:r>
                    <w:rPr>
                      <w:szCs w:val="21"/>
                    </w:rPr>
                    <w:t>1#居民点</w:t>
                  </w:r>
                </w:p>
              </w:tc>
              <w:tc>
                <w:tcPr>
                  <w:tcW w:w="984" w:type="dxa"/>
                  <w:shd w:val="clear" w:color="auto" w:fill="FFFFFF"/>
                  <w:vAlign w:val="center"/>
                </w:tcPr>
                <w:p>
                  <w:pPr>
                    <w:jc w:val="center"/>
                    <w:rPr>
                      <w:szCs w:val="21"/>
                    </w:rPr>
                  </w:pPr>
                  <w:r>
                    <w:rPr>
                      <w:szCs w:val="21"/>
                    </w:rPr>
                    <w:t>54</w:t>
                  </w:r>
                </w:p>
              </w:tc>
              <w:tc>
                <w:tcPr>
                  <w:tcW w:w="986" w:type="dxa"/>
                  <w:shd w:val="clear" w:color="auto" w:fill="FFFFFF"/>
                  <w:vAlign w:val="center"/>
                </w:tcPr>
                <w:p>
                  <w:pPr>
                    <w:jc w:val="center"/>
                    <w:rPr>
                      <w:szCs w:val="21"/>
                    </w:rPr>
                  </w:pPr>
                  <w:r>
                    <w:rPr>
                      <w:szCs w:val="21"/>
                    </w:rPr>
                    <w:t>54</w:t>
                  </w:r>
                </w:p>
              </w:tc>
              <w:tc>
                <w:tcPr>
                  <w:tcW w:w="848" w:type="dxa"/>
                  <w:shd w:val="clear" w:color="auto" w:fill="FFFFFF"/>
                  <w:vAlign w:val="center"/>
                </w:tcPr>
                <w:p>
                  <w:pPr>
                    <w:jc w:val="center"/>
                    <w:rPr>
                      <w:szCs w:val="21"/>
                    </w:rPr>
                  </w:pPr>
                  <w:r>
                    <w:rPr>
                      <w:szCs w:val="21"/>
                    </w:rPr>
                    <w:t>60</w:t>
                  </w:r>
                </w:p>
              </w:tc>
              <w:tc>
                <w:tcPr>
                  <w:tcW w:w="986" w:type="dxa"/>
                  <w:shd w:val="clear" w:color="auto" w:fill="FFFFFF"/>
                  <w:vAlign w:val="center"/>
                </w:tcPr>
                <w:p>
                  <w:pPr>
                    <w:jc w:val="center"/>
                    <w:rPr>
                      <w:szCs w:val="21"/>
                    </w:rPr>
                  </w:pPr>
                  <w:r>
                    <w:rPr>
                      <w:szCs w:val="21"/>
                    </w:rPr>
                    <w:t>37</w:t>
                  </w:r>
                </w:p>
              </w:tc>
              <w:tc>
                <w:tcPr>
                  <w:tcW w:w="986" w:type="dxa"/>
                  <w:shd w:val="clear" w:color="auto" w:fill="FFFFFF"/>
                  <w:vAlign w:val="center"/>
                </w:tcPr>
                <w:p>
                  <w:pPr>
                    <w:jc w:val="center"/>
                    <w:rPr>
                      <w:szCs w:val="21"/>
                    </w:rPr>
                  </w:pPr>
                  <w:r>
                    <w:rPr>
                      <w:szCs w:val="21"/>
                    </w:rPr>
                    <w:t>54</w:t>
                  </w:r>
                </w:p>
              </w:tc>
              <w:tc>
                <w:tcPr>
                  <w:tcW w:w="955" w:type="dxa"/>
                  <w:shd w:val="clear" w:color="auto" w:fill="FFFFFF"/>
                  <w:vAlign w:val="center"/>
                </w:tcPr>
                <w:p>
                  <w:pPr>
                    <w:jc w:val="center"/>
                    <w:rPr>
                      <w:szCs w:val="21"/>
                    </w:rPr>
                  </w:pPr>
                  <w:r>
                    <w:rPr>
                      <w:szCs w:val="21"/>
                    </w:rPr>
                    <w:t>0</w:t>
                  </w:r>
                </w:p>
              </w:tc>
              <w:tc>
                <w:tcPr>
                  <w:tcW w:w="853" w:type="dxa"/>
                  <w:shd w:val="clear" w:color="auto" w:fill="FFFFFF"/>
                  <w:vAlign w:val="center"/>
                </w:tcPr>
                <w:p>
                  <w:pPr>
                    <w:jc w:val="center"/>
                    <w:rPr>
                      <w:szCs w:val="21"/>
                    </w:rPr>
                  </w:pPr>
                  <w:r>
                    <w:rPr>
                      <w:szCs w:val="21"/>
                    </w:rPr>
                    <w:t>达标</w:t>
                  </w:r>
                </w:p>
              </w:tc>
            </w:tr>
          </w:tbl>
          <w:p>
            <w:pPr>
              <w:spacing w:line="360" w:lineRule="auto"/>
              <w:ind w:firstLine="420" w:firstLineChars="200"/>
              <w:contextualSpacing/>
              <w:rPr>
                <w:szCs w:val="21"/>
              </w:rPr>
            </w:pPr>
          </w:p>
          <w:p>
            <w:pPr>
              <w:contextualSpacing/>
            </w:pPr>
          </w:p>
          <w:p>
            <w:pPr>
              <w:contextualSpacing/>
              <w:rPr>
                <w:szCs w:val="21"/>
              </w:rPr>
            </w:pPr>
            <w:r>
              <w:drawing>
                <wp:inline distT="0" distB="0" distL="0" distR="0">
                  <wp:extent cx="5173345" cy="4213860"/>
                  <wp:effectExtent l="0" t="0" r="8255"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20"/>
                          <a:srcRect b="6098"/>
                          <a:stretch>
                            <a:fillRect/>
                          </a:stretch>
                        </pic:blipFill>
                        <pic:spPr>
                          <a:xfrm>
                            <a:off x="0" y="0"/>
                            <a:ext cx="5173345" cy="4213860"/>
                          </a:xfrm>
                          <a:prstGeom prst="rect">
                            <a:avLst/>
                          </a:prstGeom>
                          <a:ln>
                            <a:noFill/>
                          </a:ln>
                        </pic:spPr>
                      </pic:pic>
                    </a:graphicData>
                  </a:graphic>
                </wp:inline>
              </w:drawing>
            </w:r>
          </w:p>
          <w:p>
            <w:pPr>
              <w:spacing w:line="360" w:lineRule="auto"/>
              <w:ind w:firstLine="420" w:firstLineChars="200"/>
              <w:contextualSpacing/>
              <w:jc w:val="center"/>
              <w:rPr>
                <w:szCs w:val="21"/>
              </w:rPr>
            </w:pPr>
            <w:r>
              <w:rPr>
                <w:rFonts w:hint="eastAsia"/>
                <w:szCs w:val="21"/>
              </w:rPr>
              <w:t>图4-3 放喷</w:t>
            </w:r>
            <w:r>
              <w:rPr>
                <w:szCs w:val="21"/>
              </w:rPr>
              <w:t>噪声影响示意图</w:t>
            </w:r>
          </w:p>
          <w:p>
            <w:pPr>
              <w:spacing w:line="360" w:lineRule="auto"/>
              <w:ind w:firstLine="420" w:firstLineChars="200"/>
              <w:contextualSpacing/>
              <w:rPr>
                <w:szCs w:val="21"/>
              </w:rPr>
            </w:pPr>
            <w:r>
              <w:rPr>
                <w:szCs w:val="21"/>
              </w:rPr>
              <w:t>由上表可知，压裂工程放喷噪声对周边居民点影响较小，预测结果满足《声环境质量标准》(GB3096-2008) 2类标准。</w:t>
            </w:r>
            <w:r>
              <w:rPr>
                <w:rFonts w:hint="eastAsia"/>
                <w:szCs w:val="21"/>
              </w:rPr>
              <w:t>压裂工程施工时间较短，且均在昼间进行，</w:t>
            </w:r>
            <w:r>
              <w:rPr>
                <w:szCs w:val="21"/>
              </w:rPr>
              <w:t>同类型项目</w:t>
            </w:r>
            <w:r>
              <w:rPr>
                <w:rFonts w:hint="eastAsia"/>
                <w:szCs w:val="21"/>
              </w:rPr>
              <w:t>均存在</w:t>
            </w:r>
            <w:r>
              <w:rPr>
                <w:szCs w:val="21"/>
              </w:rPr>
              <w:t>此类现象</w:t>
            </w:r>
            <w:r>
              <w:rPr>
                <w:rFonts w:hint="eastAsia"/>
                <w:szCs w:val="21"/>
              </w:rPr>
              <w:t>，</w:t>
            </w:r>
            <w:r>
              <w:rPr>
                <w:szCs w:val="21"/>
              </w:rPr>
              <w:t>随着施工结束噪声影响随之消失，因此不会对当地声环境造成影响</w:t>
            </w:r>
            <w:r>
              <w:rPr>
                <w:rFonts w:hint="eastAsia"/>
                <w:szCs w:val="21"/>
              </w:rPr>
              <w:t>。</w:t>
            </w:r>
            <w:r>
              <w:rPr>
                <w:szCs w:val="21"/>
              </w:rPr>
              <w:t>根据</w:t>
            </w:r>
            <w:r>
              <w:rPr>
                <w:rFonts w:hint="eastAsia"/>
                <w:szCs w:val="21"/>
              </w:rPr>
              <w:t>对</w:t>
            </w:r>
            <w:r>
              <w:rPr>
                <w:szCs w:val="21"/>
              </w:rPr>
              <w:t>周围敏感点预测可知</w:t>
            </w:r>
            <w:r>
              <w:rPr>
                <w:rFonts w:hint="eastAsia"/>
                <w:szCs w:val="21"/>
              </w:rPr>
              <w:t>，</w:t>
            </w:r>
            <w:r>
              <w:rPr>
                <w:szCs w:val="21"/>
              </w:rPr>
              <w:t>周边敏感点出均满足《声环境质量标准》(GB3096-2008)中2类区标准值</w:t>
            </w:r>
            <w:r>
              <w:rPr>
                <w:rFonts w:hint="eastAsia"/>
                <w:szCs w:val="21"/>
              </w:rPr>
              <w:t>，</w:t>
            </w:r>
            <w:r>
              <w:rPr>
                <w:szCs w:val="21"/>
              </w:rPr>
              <w:t>因此对周边敏感点</w:t>
            </w:r>
            <w:r>
              <w:rPr>
                <w:rFonts w:hint="eastAsia"/>
                <w:szCs w:val="21"/>
              </w:rPr>
              <w:t>造成</w:t>
            </w:r>
            <w:r>
              <w:rPr>
                <w:szCs w:val="21"/>
              </w:rPr>
              <w:t>影响较小。</w:t>
            </w:r>
          </w:p>
          <w:p>
            <w:pPr>
              <w:spacing w:line="360" w:lineRule="auto"/>
              <w:rPr>
                <w:b/>
                <w:szCs w:val="21"/>
              </w:rPr>
            </w:pPr>
            <w:r>
              <w:rPr>
                <w:rFonts w:hint="eastAsia"/>
                <w:b/>
                <w:szCs w:val="21"/>
              </w:rPr>
              <w:t>4</w:t>
            </w:r>
            <w:r>
              <w:rPr>
                <w:b/>
                <w:szCs w:val="21"/>
              </w:rPr>
              <w:t>.3.4</w:t>
            </w:r>
            <w:r>
              <w:rPr>
                <w:rFonts w:hint="eastAsia"/>
                <w:b/>
                <w:szCs w:val="21"/>
              </w:rPr>
              <w:t>固体废物环境影响分析</w:t>
            </w:r>
          </w:p>
          <w:p>
            <w:pPr>
              <w:spacing w:line="360" w:lineRule="auto"/>
              <w:ind w:firstLine="420" w:firstLineChars="200"/>
              <w:rPr>
                <w:szCs w:val="21"/>
              </w:rPr>
            </w:pPr>
            <w:r>
              <w:rPr>
                <w:rFonts w:hint="eastAsia"/>
                <w:szCs w:val="21"/>
              </w:rPr>
              <w:t>（1）固体废物产生情况</w:t>
            </w:r>
          </w:p>
          <w:p>
            <w:pPr>
              <w:adjustRightInd w:val="0"/>
              <w:snapToGrid w:val="0"/>
              <w:spacing w:line="360" w:lineRule="auto"/>
              <w:ind w:firstLine="420" w:firstLineChars="200"/>
              <w:rPr>
                <w:bCs/>
                <w:szCs w:val="21"/>
              </w:rPr>
            </w:pPr>
            <w:r>
              <w:rPr>
                <w:rFonts w:hint="eastAsia"/>
                <w:bCs/>
                <w:szCs w:val="21"/>
              </w:rPr>
              <w:t>完井测试阶段产生的固体废物主要有废油、废包装材料等，还有井队员工产生的生活垃圾。</w:t>
            </w:r>
          </w:p>
          <w:p>
            <w:pPr>
              <w:adjustRightInd w:val="0"/>
              <w:snapToGrid w:val="0"/>
              <w:spacing w:line="360" w:lineRule="auto"/>
              <w:ind w:firstLine="420" w:firstLineChars="200"/>
              <w:rPr>
                <w:bCs/>
                <w:szCs w:val="21"/>
              </w:rPr>
            </w:pPr>
            <w:r>
              <w:rPr>
                <w:rFonts w:hint="eastAsia"/>
                <w:bCs/>
                <w:szCs w:val="21"/>
              </w:rPr>
              <w:t>①废油</w:t>
            </w:r>
          </w:p>
          <w:p>
            <w:pPr>
              <w:adjustRightInd w:val="0"/>
              <w:snapToGrid w:val="0"/>
              <w:spacing w:line="360" w:lineRule="auto"/>
              <w:ind w:firstLine="420" w:firstLineChars="200"/>
              <w:rPr>
                <w:bCs/>
                <w:szCs w:val="21"/>
              </w:rPr>
            </w:pPr>
            <w:r>
              <w:rPr>
                <w:rFonts w:hint="eastAsia"/>
                <w:bCs/>
                <w:szCs w:val="21"/>
              </w:rPr>
              <w:t>完井测试过程中废油的主要来源是：机械（压裂车等）润滑废油；清洗、保养产生的废油，如更换柴油发电机、发电机零部件产生的废油。类比区域内已完钻的探井，本工程完井测试阶段共产生废油约0.</w:t>
            </w:r>
            <w:r>
              <w:rPr>
                <w:bCs/>
                <w:szCs w:val="21"/>
              </w:rPr>
              <w:t>03</w:t>
            </w:r>
            <w:r>
              <w:rPr>
                <w:rFonts w:hint="eastAsia"/>
                <w:bCs/>
                <w:szCs w:val="21"/>
              </w:rPr>
              <w:t>t。废油属于危险废物（HW08）。</w:t>
            </w:r>
          </w:p>
          <w:p>
            <w:pPr>
              <w:adjustRightInd w:val="0"/>
              <w:snapToGrid w:val="0"/>
              <w:spacing w:line="360" w:lineRule="auto"/>
              <w:ind w:firstLine="420" w:firstLineChars="200"/>
              <w:rPr>
                <w:bCs/>
                <w:szCs w:val="21"/>
              </w:rPr>
            </w:pPr>
            <w:r>
              <w:rPr>
                <w:rFonts w:hint="eastAsia"/>
                <w:bCs/>
                <w:szCs w:val="21"/>
              </w:rPr>
              <w:t>②废油桶</w:t>
            </w:r>
          </w:p>
          <w:p>
            <w:pPr>
              <w:adjustRightInd w:val="0"/>
              <w:snapToGrid w:val="0"/>
              <w:spacing w:line="360" w:lineRule="auto"/>
              <w:ind w:firstLine="420" w:firstLineChars="200"/>
              <w:rPr>
                <w:bCs/>
                <w:szCs w:val="21"/>
              </w:rPr>
            </w:pPr>
            <w:r>
              <w:rPr>
                <w:rFonts w:hint="eastAsia"/>
                <w:bCs/>
                <w:szCs w:val="21"/>
              </w:rPr>
              <w:t>拟建项目设备维护润滑油使用后会产生废油桶，根据建设单位提供的资料，润滑油采用铁桶包装，则废油桶重约0.</w:t>
            </w:r>
            <w:r>
              <w:rPr>
                <w:bCs/>
                <w:szCs w:val="21"/>
              </w:rPr>
              <w:t>06</w:t>
            </w:r>
            <w:r>
              <w:rPr>
                <w:rFonts w:hint="eastAsia"/>
                <w:bCs/>
                <w:szCs w:val="21"/>
              </w:rPr>
              <w:t>t。废油桶属于危险废物（</w:t>
            </w:r>
            <w:r>
              <w:rPr>
                <w:bCs/>
                <w:szCs w:val="21"/>
              </w:rPr>
              <w:t>HW</w:t>
            </w:r>
            <w:r>
              <w:rPr>
                <w:rFonts w:hint="eastAsia"/>
                <w:bCs/>
                <w:szCs w:val="21"/>
              </w:rPr>
              <w:t>08）。</w:t>
            </w:r>
          </w:p>
          <w:p>
            <w:pPr>
              <w:adjustRightInd w:val="0"/>
              <w:snapToGrid w:val="0"/>
              <w:spacing w:line="360" w:lineRule="auto"/>
              <w:ind w:firstLine="420" w:firstLineChars="200"/>
              <w:rPr>
                <w:bCs/>
                <w:szCs w:val="21"/>
              </w:rPr>
            </w:pPr>
            <w:r>
              <w:rPr>
                <w:rFonts w:hint="eastAsia"/>
                <w:bCs/>
                <w:szCs w:val="21"/>
              </w:rPr>
              <w:t>③废棉纱/手套</w:t>
            </w:r>
          </w:p>
          <w:p>
            <w:pPr>
              <w:adjustRightInd w:val="0"/>
              <w:snapToGrid w:val="0"/>
              <w:spacing w:line="360" w:lineRule="auto"/>
              <w:ind w:firstLine="420" w:firstLineChars="200"/>
              <w:rPr>
                <w:kern w:val="0"/>
                <w:szCs w:val="21"/>
              </w:rPr>
            </w:pPr>
            <w:r>
              <w:rPr>
                <w:rFonts w:hint="eastAsia"/>
                <w:bCs/>
                <w:szCs w:val="21"/>
              </w:rPr>
              <w:t>完井测试过程中设备维护会产生废棉纱/手套，类比区域内已完钻的探井，本工程废棉纱/手套产生量约0.</w:t>
            </w:r>
            <w:r>
              <w:rPr>
                <w:bCs/>
                <w:szCs w:val="21"/>
              </w:rPr>
              <w:t>2</w:t>
            </w:r>
            <w:r>
              <w:rPr>
                <w:rFonts w:hint="eastAsia"/>
                <w:bCs/>
                <w:szCs w:val="21"/>
              </w:rPr>
              <w:t>t。废棉纱/手套属于危险废物（HW49）。</w:t>
            </w:r>
          </w:p>
          <w:p>
            <w:pPr>
              <w:adjustRightInd w:val="0"/>
              <w:snapToGrid w:val="0"/>
              <w:spacing w:line="360" w:lineRule="auto"/>
              <w:ind w:firstLine="420" w:firstLineChars="200"/>
              <w:rPr>
                <w:bCs/>
                <w:szCs w:val="21"/>
              </w:rPr>
            </w:pPr>
            <w:r>
              <w:rPr>
                <w:rFonts w:hint="eastAsia"/>
                <w:bCs/>
                <w:szCs w:val="21"/>
              </w:rPr>
              <w:t>危险废物汇总表见表4-</w:t>
            </w:r>
            <w:r>
              <w:rPr>
                <w:bCs/>
                <w:szCs w:val="21"/>
              </w:rPr>
              <w:t>23</w:t>
            </w:r>
            <w:r>
              <w:rPr>
                <w:rFonts w:hint="eastAsia"/>
                <w:bCs/>
                <w:szCs w:val="21"/>
              </w:rPr>
              <w:t>。</w:t>
            </w:r>
          </w:p>
          <w:p>
            <w:pPr>
              <w:adjustRightInd w:val="0"/>
              <w:snapToGrid w:val="0"/>
              <w:spacing w:line="360" w:lineRule="auto"/>
              <w:jc w:val="center"/>
              <w:rPr>
                <w:b/>
                <w:bCs/>
                <w:szCs w:val="21"/>
              </w:rPr>
            </w:pPr>
            <w:r>
              <w:rPr>
                <w:rFonts w:hint="eastAsia"/>
                <w:b/>
                <w:bCs/>
                <w:szCs w:val="21"/>
              </w:rPr>
              <w:t>表4-</w:t>
            </w:r>
            <w:r>
              <w:rPr>
                <w:b/>
                <w:bCs/>
                <w:szCs w:val="21"/>
              </w:rPr>
              <w:t>23</w:t>
            </w:r>
            <w:r>
              <w:rPr>
                <w:rFonts w:hint="eastAsia"/>
                <w:b/>
                <w:bCs/>
                <w:szCs w:val="21"/>
              </w:rPr>
              <w:t xml:space="preserve">  危险废物统计表</w:t>
            </w:r>
          </w:p>
          <w:tbl>
            <w:tblPr>
              <w:tblStyle w:val="42"/>
              <w:tblW w:w="5000"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398"/>
              <w:gridCol w:w="970"/>
              <w:gridCol w:w="690"/>
              <w:gridCol w:w="964"/>
              <w:gridCol w:w="690"/>
              <w:gridCol w:w="690"/>
              <w:gridCol w:w="412"/>
              <w:gridCol w:w="552"/>
              <w:gridCol w:w="552"/>
              <w:gridCol w:w="552"/>
              <w:gridCol w:w="552"/>
              <w:gridCol w:w="1119"/>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007" w:hRule="atLeast"/>
                <w:jc w:val="center"/>
              </w:trPr>
              <w:tc>
                <w:tcPr>
                  <w:tcW w:w="244" w:type="pct"/>
                  <w:tcBorders>
                    <w:top w:val="single" w:color="auto" w:sz="2" w:space="0"/>
                    <w:left w:val="single" w:color="auto" w:sz="2" w:space="0"/>
                    <w:bottom w:val="single" w:color="auto" w:sz="2" w:space="0"/>
                    <w:right w:val="single" w:color="auto" w:sz="2" w:space="0"/>
                  </w:tcBorders>
                  <w:vAlign w:val="center"/>
                </w:tcPr>
                <w:p>
                  <w:pPr>
                    <w:topLinePunct/>
                    <w:adjustRightInd w:val="0"/>
                    <w:snapToGrid w:val="0"/>
                    <w:jc w:val="center"/>
                    <w:rPr>
                      <w:b/>
                      <w:spacing w:val="-10"/>
                      <w:kern w:val="0"/>
                      <w:sz w:val="18"/>
                      <w:szCs w:val="18"/>
                    </w:rPr>
                  </w:pPr>
                  <w:r>
                    <w:rPr>
                      <w:rFonts w:hAnsi="宋体"/>
                      <w:b/>
                      <w:spacing w:val="-10"/>
                      <w:kern w:val="0"/>
                      <w:sz w:val="18"/>
                      <w:szCs w:val="18"/>
                    </w:rPr>
                    <w:t>序号</w:t>
                  </w:r>
                </w:p>
              </w:tc>
              <w:tc>
                <w:tcPr>
                  <w:tcW w:w="596" w:type="pct"/>
                  <w:tcBorders>
                    <w:top w:val="single" w:color="auto" w:sz="2" w:space="0"/>
                    <w:left w:val="single" w:color="auto" w:sz="2" w:space="0"/>
                    <w:bottom w:val="single" w:color="auto" w:sz="2" w:space="0"/>
                    <w:right w:val="single" w:color="auto" w:sz="2" w:space="0"/>
                  </w:tcBorders>
                  <w:vAlign w:val="center"/>
                </w:tcPr>
                <w:p>
                  <w:pPr>
                    <w:topLinePunct/>
                    <w:adjustRightInd w:val="0"/>
                    <w:snapToGrid w:val="0"/>
                    <w:jc w:val="center"/>
                    <w:rPr>
                      <w:b/>
                      <w:spacing w:val="-10"/>
                      <w:kern w:val="0"/>
                      <w:sz w:val="18"/>
                      <w:szCs w:val="18"/>
                    </w:rPr>
                  </w:pPr>
                  <w:r>
                    <w:rPr>
                      <w:rFonts w:hAnsi="宋体"/>
                      <w:b/>
                      <w:spacing w:val="-10"/>
                      <w:kern w:val="0"/>
                      <w:sz w:val="18"/>
                      <w:szCs w:val="18"/>
                    </w:rPr>
                    <w:t>危险废物名称</w:t>
                  </w:r>
                </w:p>
              </w:tc>
              <w:tc>
                <w:tcPr>
                  <w:tcW w:w="424" w:type="pct"/>
                  <w:tcBorders>
                    <w:top w:val="single" w:color="auto" w:sz="2" w:space="0"/>
                    <w:left w:val="single" w:color="auto" w:sz="2" w:space="0"/>
                    <w:bottom w:val="single" w:color="auto" w:sz="2" w:space="0"/>
                    <w:right w:val="single" w:color="auto" w:sz="2" w:space="0"/>
                  </w:tcBorders>
                  <w:vAlign w:val="center"/>
                </w:tcPr>
                <w:p>
                  <w:pPr>
                    <w:topLinePunct/>
                    <w:adjustRightInd w:val="0"/>
                    <w:snapToGrid w:val="0"/>
                    <w:jc w:val="center"/>
                    <w:rPr>
                      <w:b/>
                      <w:spacing w:val="-10"/>
                      <w:kern w:val="0"/>
                      <w:sz w:val="18"/>
                      <w:szCs w:val="18"/>
                    </w:rPr>
                  </w:pPr>
                  <w:r>
                    <w:rPr>
                      <w:rFonts w:hAnsi="宋体"/>
                      <w:b/>
                      <w:spacing w:val="-10"/>
                      <w:kern w:val="0"/>
                      <w:sz w:val="18"/>
                      <w:szCs w:val="18"/>
                    </w:rPr>
                    <w:t>危险废物类别</w:t>
                  </w:r>
                </w:p>
              </w:tc>
              <w:tc>
                <w:tcPr>
                  <w:tcW w:w="592" w:type="pct"/>
                  <w:tcBorders>
                    <w:top w:val="single" w:color="auto" w:sz="2" w:space="0"/>
                    <w:left w:val="single" w:color="auto" w:sz="2" w:space="0"/>
                    <w:bottom w:val="single" w:color="auto" w:sz="2" w:space="0"/>
                    <w:right w:val="single" w:color="auto" w:sz="2" w:space="0"/>
                  </w:tcBorders>
                  <w:vAlign w:val="center"/>
                </w:tcPr>
                <w:p>
                  <w:pPr>
                    <w:topLinePunct/>
                    <w:adjustRightInd w:val="0"/>
                    <w:snapToGrid w:val="0"/>
                    <w:jc w:val="center"/>
                    <w:rPr>
                      <w:b/>
                      <w:spacing w:val="-10"/>
                      <w:kern w:val="0"/>
                      <w:sz w:val="18"/>
                      <w:szCs w:val="18"/>
                    </w:rPr>
                  </w:pPr>
                  <w:r>
                    <w:rPr>
                      <w:rFonts w:hAnsi="宋体"/>
                      <w:b/>
                      <w:spacing w:val="-10"/>
                      <w:kern w:val="0"/>
                      <w:sz w:val="18"/>
                      <w:szCs w:val="18"/>
                    </w:rPr>
                    <w:t>危险废物代码</w:t>
                  </w:r>
                </w:p>
              </w:tc>
              <w:tc>
                <w:tcPr>
                  <w:tcW w:w="424" w:type="pct"/>
                  <w:tcBorders>
                    <w:top w:val="single" w:color="auto" w:sz="2" w:space="0"/>
                    <w:left w:val="single" w:color="auto" w:sz="2" w:space="0"/>
                    <w:bottom w:val="single" w:color="auto" w:sz="2" w:space="0"/>
                    <w:right w:val="single" w:color="auto" w:sz="2" w:space="0"/>
                  </w:tcBorders>
                  <w:vAlign w:val="center"/>
                </w:tcPr>
                <w:p>
                  <w:pPr>
                    <w:topLinePunct/>
                    <w:adjustRightInd w:val="0"/>
                    <w:snapToGrid w:val="0"/>
                    <w:jc w:val="center"/>
                    <w:rPr>
                      <w:b/>
                      <w:spacing w:val="-10"/>
                      <w:kern w:val="0"/>
                      <w:sz w:val="18"/>
                      <w:szCs w:val="18"/>
                    </w:rPr>
                  </w:pPr>
                  <w:r>
                    <w:rPr>
                      <w:rFonts w:hAnsi="宋体"/>
                      <w:b/>
                      <w:spacing w:val="-10"/>
                      <w:kern w:val="0"/>
                      <w:sz w:val="18"/>
                      <w:szCs w:val="18"/>
                    </w:rPr>
                    <w:t>产生量（</w:t>
                  </w:r>
                  <w:r>
                    <w:rPr>
                      <w:b/>
                      <w:spacing w:val="-10"/>
                      <w:kern w:val="0"/>
                      <w:sz w:val="18"/>
                      <w:szCs w:val="18"/>
                    </w:rPr>
                    <w:t>m</w:t>
                  </w:r>
                  <w:r>
                    <w:rPr>
                      <w:b/>
                      <w:spacing w:val="-10"/>
                      <w:kern w:val="0"/>
                      <w:sz w:val="18"/>
                      <w:szCs w:val="18"/>
                      <w:vertAlign w:val="superscript"/>
                    </w:rPr>
                    <w:t>3</w:t>
                  </w:r>
                  <w:r>
                    <w:rPr>
                      <w:b/>
                      <w:spacing w:val="-10"/>
                      <w:kern w:val="0"/>
                      <w:sz w:val="18"/>
                      <w:szCs w:val="18"/>
                    </w:rPr>
                    <w:t>/</w:t>
                  </w:r>
                  <w:r>
                    <w:rPr>
                      <w:rFonts w:hAnsi="宋体"/>
                      <w:b/>
                      <w:spacing w:val="-10"/>
                      <w:kern w:val="0"/>
                      <w:sz w:val="18"/>
                      <w:szCs w:val="18"/>
                    </w:rPr>
                    <w:t>次）</w:t>
                  </w:r>
                </w:p>
              </w:tc>
              <w:tc>
                <w:tcPr>
                  <w:tcW w:w="424" w:type="pct"/>
                  <w:tcBorders>
                    <w:top w:val="single" w:color="auto" w:sz="2" w:space="0"/>
                    <w:left w:val="single" w:color="auto" w:sz="2" w:space="0"/>
                    <w:bottom w:val="single" w:color="auto" w:sz="2" w:space="0"/>
                    <w:right w:val="single" w:color="auto" w:sz="2" w:space="0"/>
                  </w:tcBorders>
                  <w:vAlign w:val="center"/>
                </w:tcPr>
                <w:p>
                  <w:pPr>
                    <w:topLinePunct/>
                    <w:adjustRightInd w:val="0"/>
                    <w:snapToGrid w:val="0"/>
                    <w:jc w:val="center"/>
                    <w:rPr>
                      <w:b/>
                      <w:spacing w:val="-10"/>
                      <w:kern w:val="0"/>
                      <w:sz w:val="18"/>
                      <w:szCs w:val="18"/>
                    </w:rPr>
                  </w:pPr>
                  <w:r>
                    <w:rPr>
                      <w:rFonts w:hAnsi="宋体"/>
                      <w:b/>
                      <w:spacing w:val="-10"/>
                      <w:kern w:val="0"/>
                      <w:sz w:val="18"/>
                      <w:szCs w:val="18"/>
                    </w:rPr>
                    <w:t>产生工段及装置</w:t>
                  </w:r>
                </w:p>
              </w:tc>
              <w:tc>
                <w:tcPr>
                  <w:tcW w:w="253" w:type="pct"/>
                  <w:tcBorders>
                    <w:top w:val="single" w:color="auto" w:sz="2" w:space="0"/>
                    <w:left w:val="single" w:color="auto" w:sz="2" w:space="0"/>
                    <w:bottom w:val="single" w:color="auto" w:sz="2" w:space="0"/>
                    <w:right w:val="single" w:color="auto" w:sz="2" w:space="0"/>
                  </w:tcBorders>
                  <w:vAlign w:val="center"/>
                </w:tcPr>
                <w:p>
                  <w:pPr>
                    <w:topLinePunct/>
                    <w:adjustRightInd w:val="0"/>
                    <w:snapToGrid w:val="0"/>
                    <w:jc w:val="center"/>
                    <w:rPr>
                      <w:b/>
                      <w:spacing w:val="-10"/>
                      <w:kern w:val="0"/>
                      <w:sz w:val="18"/>
                      <w:szCs w:val="18"/>
                    </w:rPr>
                  </w:pPr>
                  <w:r>
                    <w:rPr>
                      <w:rFonts w:hAnsi="宋体"/>
                      <w:b/>
                      <w:spacing w:val="-10"/>
                      <w:kern w:val="0"/>
                      <w:sz w:val="18"/>
                      <w:szCs w:val="18"/>
                    </w:rPr>
                    <w:t>形态</w:t>
                  </w:r>
                </w:p>
              </w:tc>
              <w:tc>
                <w:tcPr>
                  <w:tcW w:w="339" w:type="pct"/>
                  <w:tcBorders>
                    <w:top w:val="single" w:color="auto" w:sz="2" w:space="0"/>
                    <w:left w:val="single" w:color="auto" w:sz="2" w:space="0"/>
                    <w:bottom w:val="single" w:color="auto" w:sz="2" w:space="0"/>
                    <w:right w:val="single" w:color="auto" w:sz="2" w:space="0"/>
                  </w:tcBorders>
                  <w:vAlign w:val="center"/>
                </w:tcPr>
                <w:p>
                  <w:pPr>
                    <w:topLinePunct/>
                    <w:adjustRightInd w:val="0"/>
                    <w:snapToGrid w:val="0"/>
                    <w:jc w:val="center"/>
                    <w:rPr>
                      <w:b/>
                      <w:spacing w:val="-10"/>
                      <w:kern w:val="0"/>
                      <w:sz w:val="18"/>
                      <w:szCs w:val="18"/>
                    </w:rPr>
                  </w:pPr>
                  <w:r>
                    <w:rPr>
                      <w:rFonts w:hAnsi="宋体"/>
                      <w:b/>
                      <w:spacing w:val="-10"/>
                      <w:kern w:val="0"/>
                      <w:sz w:val="18"/>
                      <w:szCs w:val="18"/>
                    </w:rPr>
                    <w:t>主要成分</w:t>
                  </w:r>
                </w:p>
              </w:tc>
              <w:tc>
                <w:tcPr>
                  <w:tcW w:w="339" w:type="pct"/>
                  <w:tcBorders>
                    <w:top w:val="single" w:color="auto" w:sz="2" w:space="0"/>
                    <w:left w:val="single" w:color="auto" w:sz="2" w:space="0"/>
                    <w:bottom w:val="single" w:color="auto" w:sz="2" w:space="0"/>
                    <w:right w:val="single" w:color="auto" w:sz="2" w:space="0"/>
                  </w:tcBorders>
                  <w:vAlign w:val="center"/>
                </w:tcPr>
                <w:p>
                  <w:pPr>
                    <w:topLinePunct/>
                    <w:adjustRightInd w:val="0"/>
                    <w:snapToGrid w:val="0"/>
                    <w:jc w:val="center"/>
                    <w:rPr>
                      <w:b/>
                      <w:spacing w:val="-10"/>
                      <w:kern w:val="0"/>
                      <w:sz w:val="18"/>
                      <w:szCs w:val="18"/>
                    </w:rPr>
                  </w:pPr>
                  <w:r>
                    <w:rPr>
                      <w:rFonts w:hAnsi="宋体"/>
                      <w:b/>
                      <w:spacing w:val="-10"/>
                      <w:kern w:val="0"/>
                      <w:sz w:val="18"/>
                      <w:szCs w:val="18"/>
                    </w:rPr>
                    <w:t>有害成分</w:t>
                  </w:r>
                </w:p>
              </w:tc>
              <w:tc>
                <w:tcPr>
                  <w:tcW w:w="339" w:type="pct"/>
                  <w:tcBorders>
                    <w:top w:val="single" w:color="auto" w:sz="2" w:space="0"/>
                    <w:left w:val="single" w:color="auto" w:sz="2" w:space="0"/>
                    <w:bottom w:val="single" w:color="auto" w:sz="2" w:space="0"/>
                    <w:right w:val="single" w:color="auto" w:sz="2" w:space="0"/>
                  </w:tcBorders>
                  <w:vAlign w:val="center"/>
                </w:tcPr>
                <w:p>
                  <w:pPr>
                    <w:topLinePunct/>
                    <w:adjustRightInd w:val="0"/>
                    <w:snapToGrid w:val="0"/>
                    <w:jc w:val="center"/>
                    <w:rPr>
                      <w:b/>
                      <w:spacing w:val="-10"/>
                      <w:kern w:val="0"/>
                      <w:sz w:val="18"/>
                      <w:szCs w:val="18"/>
                    </w:rPr>
                  </w:pPr>
                  <w:r>
                    <w:rPr>
                      <w:rFonts w:hAnsi="宋体"/>
                      <w:b/>
                      <w:spacing w:val="-10"/>
                      <w:kern w:val="0"/>
                      <w:sz w:val="18"/>
                      <w:szCs w:val="18"/>
                    </w:rPr>
                    <w:t>产废周期</w:t>
                  </w:r>
                </w:p>
              </w:tc>
              <w:tc>
                <w:tcPr>
                  <w:tcW w:w="339" w:type="pct"/>
                  <w:tcBorders>
                    <w:top w:val="single" w:color="auto" w:sz="2" w:space="0"/>
                    <w:left w:val="single" w:color="auto" w:sz="2" w:space="0"/>
                    <w:bottom w:val="single" w:color="auto" w:sz="2" w:space="0"/>
                    <w:right w:val="single" w:color="auto" w:sz="2" w:space="0"/>
                  </w:tcBorders>
                  <w:vAlign w:val="center"/>
                </w:tcPr>
                <w:p>
                  <w:pPr>
                    <w:topLinePunct/>
                    <w:adjustRightInd w:val="0"/>
                    <w:snapToGrid w:val="0"/>
                    <w:jc w:val="center"/>
                    <w:rPr>
                      <w:b/>
                      <w:spacing w:val="-10"/>
                      <w:kern w:val="0"/>
                      <w:sz w:val="18"/>
                      <w:szCs w:val="18"/>
                    </w:rPr>
                  </w:pPr>
                  <w:r>
                    <w:rPr>
                      <w:rFonts w:hAnsi="宋体"/>
                      <w:b/>
                      <w:spacing w:val="-10"/>
                      <w:kern w:val="0"/>
                      <w:sz w:val="18"/>
                      <w:szCs w:val="18"/>
                    </w:rPr>
                    <w:t>危险</w:t>
                  </w:r>
                </w:p>
                <w:p>
                  <w:pPr>
                    <w:topLinePunct/>
                    <w:adjustRightInd w:val="0"/>
                    <w:snapToGrid w:val="0"/>
                    <w:jc w:val="center"/>
                    <w:rPr>
                      <w:b/>
                      <w:spacing w:val="-10"/>
                      <w:kern w:val="0"/>
                      <w:sz w:val="18"/>
                      <w:szCs w:val="18"/>
                    </w:rPr>
                  </w:pPr>
                  <w:r>
                    <w:rPr>
                      <w:rFonts w:hAnsi="宋体"/>
                      <w:b/>
                      <w:spacing w:val="-10"/>
                      <w:kern w:val="0"/>
                      <w:sz w:val="18"/>
                      <w:szCs w:val="18"/>
                    </w:rPr>
                    <w:t>特性</w:t>
                  </w:r>
                </w:p>
              </w:tc>
              <w:tc>
                <w:tcPr>
                  <w:tcW w:w="687" w:type="pct"/>
                  <w:tcBorders>
                    <w:top w:val="single" w:color="auto" w:sz="2" w:space="0"/>
                    <w:left w:val="single" w:color="auto" w:sz="2" w:space="0"/>
                    <w:bottom w:val="single" w:color="auto" w:sz="2" w:space="0"/>
                    <w:right w:val="single" w:color="auto" w:sz="2" w:space="0"/>
                  </w:tcBorders>
                  <w:vAlign w:val="center"/>
                </w:tcPr>
                <w:p>
                  <w:pPr>
                    <w:topLinePunct/>
                    <w:adjustRightInd w:val="0"/>
                    <w:snapToGrid w:val="0"/>
                    <w:jc w:val="center"/>
                    <w:rPr>
                      <w:b/>
                      <w:spacing w:val="-10"/>
                      <w:kern w:val="0"/>
                      <w:sz w:val="18"/>
                      <w:szCs w:val="18"/>
                    </w:rPr>
                  </w:pPr>
                  <w:r>
                    <w:rPr>
                      <w:rFonts w:hAnsi="宋体"/>
                      <w:b/>
                      <w:spacing w:val="-10"/>
                      <w:kern w:val="0"/>
                      <w:sz w:val="18"/>
                      <w:szCs w:val="18"/>
                    </w:rPr>
                    <w:t>污染防治措施</w:t>
                  </w:r>
                  <w:r>
                    <w:rPr>
                      <w:b/>
                      <w:spacing w:val="-10"/>
                      <w:kern w:val="0"/>
                      <w:sz w:val="18"/>
                      <w:szCs w:val="18"/>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48" w:hRule="atLeast"/>
                <w:jc w:val="center"/>
              </w:trPr>
              <w:tc>
                <w:tcPr>
                  <w:tcW w:w="244" w:type="pct"/>
                  <w:tcBorders>
                    <w:top w:val="single" w:color="auto" w:sz="2" w:space="0"/>
                    <w:left w:val="single" w:color="auto" w:sz="2" w:space="0"/>
                    <w:bottom w:val="single" w:color="auto" w:sz="2" w:space="0"/>
                    <w:right w:val="single" w:color="auto" w:sz="2" w:space="0"/>
                  </w:tcBorders>
                  <w:vAlign w:val="center"/>
                </w:tcPr>
                <w:p>
                  <w:pPr>
                    <w:topLinePunct/>
                    <w:adjustRightInd w:val="0"/>
                    <w:snapToGrid w:val="0"/>
                    <w:jc w:val="center"/>
                    <w:rPr>
                      <w:spacing w:val="-10"/>
                      <w:kern w:val="0"/>
                      <w:sz w:val="18"/>
                      <w:szCs w:val="18"/>
                    </w:rPr>
                  </w:pPr>
                  <w:r>
                    <w:rPr>
                      <w:rFonts w:hint="eastAsia"/>
                      <w:spacing w:val="-10"/>
                      <w:kern w:val="0"/>
                      <w:sz w:val="18"/>
                      <w:szCs w:val="18"/>
                    </w:rPr>
                    <w:t>1</w:t>
                  </w:r>
                </w:p>
              </w:tc>
              <w:tc>
                <w:tcPr>
                  <w:tcW w:w="596" w:type="pct"/>
                  <w:tcBorders>
                    <w:top w:val="single" w:color="auto" w:sz="2" w:space="0"/>
                    <w:left w:val="single" w:color="auto" w:sz="2" w:space="0"/>
                    <w:bottom w:val="single" w:color="auto" w:sz="2" w:space="0"/>
                    <w:right w:val="single" w:color="auto" w:sz="2" w:space="0"/>
                  </w:tcBorders>
                  <w:vAlign w:val="center"/>
                </w:tcPr>
                <w:p>
                  <w:pPr>
                    <w:topLinePunct/>
                    <w:adjustRightInd w:val="0"/>
                    <w:snapToGrid w:val="0"/>
                    <w:jc w:val="center"/>
                    <w:rPr>
                      <w:spacing w:val="-10"/>
                      <w:kern w:val="0"/>
                      <w:sz w:val="18"/>
                      <w:szCs w:val="18"/>
                    </w:rPr>
                  </w:pPr>
                  <w:r>
                    <w:rPr>
                      <w:rFonts w:hAnsi="宋体"/>
                      <w:spacing w:val="-10"/>
                      <w:kern w:val="0"/>
                      <w:sz w:val="18"/>
                      <w:szCs w:val="18"/>
                    </w:rPr>
                    <w:t>废润滑油</w:t>
                  </w:r>
                </w:p>
              </w:tc>
              <w:tc>
                <w:tcPr>
                  <w:tcW w:w="424" w:type="pct"/>
                  <w:tcBorders>
                    <w:top w:val="single" w:color="auto" w:sz="2" w:space="0"/>
                    <w:left w:val="single" w:color="auto" w:sz="2" w:space="0"/>
                    <w:bottom w:val="single" w:color="auto" w:sz="2" w:space="0"/>
                    <w:right w:val="single" w:color="auto" w:sz="2" w:space="0"/>
                  </w:tcBorders>
                  <w:vAlign w:val="center"/>
                </w:tcPr>
                <w:p>
                  <w:pPr>
                    <w:topLinePunct/>
                    <w:adjustRightInd w:val="0"/>
                    <w:snapToGrid w:val="0"/>
                    <w:jc w:val="center"/>
                    <w:rPr>
                      <w:spacing w:val="-10"/>
                      <w:sz w:val="18"/>
                      <w:szCs w:val="18"/>
                    </w:rPr>
                  </w:pPr>
                  <w:r>
                    <w:rPr>
                      <w:spacing w:val="-10"/>
                      <w:sz w:val="18"/>
                      <w:szCs w:val="18"/>
                    </w:rPr>
                    <w:t>HW08</w:t>
                  </w:r>
                </w:p>
              </w:tc>
              <w:tc>
                <w:tcPr>
                  <w:tcW w:w="592" w:type="pct"/>
                  <w:tcBorders>
                    <w:top w:val="single" w:color="auto" w:sz="2" w:space="0"/>
                    <w:left w:val="single" w:color="auto" w:sz="2" w:space="0"/>
                    <w:bottom w:val="single" w:color="auto" w:sz="2" w:space="0"/>
                    <w:right w:val="single" w:color="auto" w:sz="2" w:space="0"/>
                  </w:tcBorders>
                  <w:vAlign w:val="center"/>
                </w:tcPr>
                <w:p>
                  <w:pPr>
                    <w:topLinePunct/>
                    <w:adjustRightInd w:val="0"/>
                    <w:snapToGrid w:val="0"/>
                    <w:jc w:val="center"/>
                    <w:rPr>
                      <w:spacing w:val="-10"/>
                      <w:sz w:val="18"/>
                      <w:szCs w:val="18"/>
                    </w:rPr>
                  </w:pPr>
                  <w:r>
                    <w:rPr>
                      <w:spacing w:val="-10"/>
                      <w:sz w:val="18"/>
                      <w:szCs w:val="18"/>
                    </w:rPr>
                    <w:t>900-217-08</w:t>
                  </w:r>
                </w:p>
              </w:tc>
              <w:tc>
                <w:tcPr>
                  <w:tcW w:w="424" w:type="pct"/>
                  <w:tcBorders>
                    <w:top w:val="single" w:color="auto" w:sz="2" w:space="0"/>
                    <w:left w:val="single" w:color="auto" w:sz="2" w:space="0"/>
                    <w:bottom w:val="single" w:color="auto" w:sz="2" w:space="0"/>
                    <w:right w:val="single" w:color="auto" w:sz="2" w:space="0"/>
                  </w:tcBorders>
                  <w:vAlign w:val="center"/>
                </w:tcPr>
                <w:p>
                  <w:pPr>
                    <w:topLinePunct/>
                    <w:adjustRightInd w:val="0"/>
                    <w:snapToGrid w:val="0"/>
                    <w:jc w:val="center"/>
                    <w:rPr>
                      <w:spacing w:val="-10"/>
                      <w:kern w:val="0"/>
                      <w:sz w:val="18"/>
                      <w:szCs w:val="18"/>
                    </w:rPr>
                  </w:pPr>
                  <w:r>
                    <w:rPr>
                      <w:spacing w:val="-10"/>
                      <w:kern w:val="0"/>
                      <w:sz w:val="18"/>
                      <w:szCs w:val="18"/>
                    </w:rPr>
                    <w:t>0.03</w:t>
                  </w:r>
                </w:p>
              </w:tc>
              <w:tc>
                <w:tcPr>
                  <w:tcW w:w="424" w:type="pct"/>
                  <w:tcBorders>
                    <w:top w:val="single" w:color="auto" w:sz="2" w:space="0"/>
                    <w:left w:val="single" w:color="auto" w:sz="2" w:space="0"/>
                    <w:bottom w:val="single" w:color="auto" w:sz="2" w:space="0"/>
                    <w:right w:val="single" w:color="auto" w:sz="2" w:space="0"/>
                  </w:tcBorders>
                  <w:vAlign w:val="center"/>
                </w:tcPr>
                <w:p>
                  <w:pPr>
                    <w:topLinePunct/>
                    <w:adjustRightInd w:val="0"/>
                    <w:snapToGrid w:val="0"/>
                    <w:jc w:val="center"/>
                    <w:rPr>
                      <w:spacing w:val="-10"/>
                      <w:kern w:val="0"/>
                      <w:sz w:val="18"/>
                      <w:szCs w:val="18"/>
                    </w:rPr>
                  </w:pPr>
                  <w:r>
                    <w:rPr>
                      <w:rFonts w:hAnsi="宋体"/>
                      <w:spacing w:val="-10"/>
                      <w:kern w:val="0"/>
                      <w:sz w:val="18"/>
                      <w:szCs w:val="18"/>
                    </w:rPr>
                    <w:t>设备维护</w:t>
                  </w:r>
                </w:p>
              </w:tc>
              <w:tc>
                <w:tcPr>
                  <w:tcW w:w="253" w:type="pct"/>
                  <w:tcBorders>
                    <w:top w:val="single" w:color="auto" w:sz="2" w:space="0"/>
                    <w:left w:val="single" w:color="auto" w:sz="2" w:space="0"/>
                    <w:bottom w:val="single" w:color="auto" w:sz="2" w:space="0"/>
                    <w:right w:val="single" w:color="auto" w:sz="2" w:space="0"/>
                  </w:tcBorders>
                  <w:vAlign w:val="center"/>
                </w:tcPr>
                <w:p>
                  <w:pPr>
                    <w:topLinePunct/>
                    <w:adjustRightInd w:val="0"/>
                    <w:snapToGrid w:val="0"/>
                    <w:jc w:val="center"/>
                    <w:rPr>
                      <w:spacing w:val="-10"/>
                      <w:kern w:val="0"/>
                      <w:sz w:val="18"/>
                      <w:szCs w:val="18"/>
                    </w:rPr>
                  </w:pPr>
                  <w:r>
                    <w:rPr>
                      <w:rFonts w:hAnsi="宋体"/>
                      <w:spacing w:val="-10"/>
                      <w:kern w:val="0"/>
                      <w:sz w:val="18"/>
                      <w:szCs w:val="18"/>
                    </w:rPr>
                    <w:t>液态</w:t>
                  </w:r>
                </w:p>
              </w:tc>
              <w:tc>
                <w:tcPr>
                  <w:tcW w:w="339" w:type="pct"/>
                  <w:tcBorders>
                    <w:top w:val="single" w:color="auto" w:sz="2" w:space="0"/>
                    <w:left w:val="single" w:color="auto" w:sz="2" w:space="0"/>
                    <w:bottom w:val="single" w:color="auto" w:sz="2" w:space="0"/>
                    <w:right w:val="single" w:color="auto" w:sz="2" w:space="0"/>
                  </w:tcBorders>
                  <w:vAlign w:val="center"/>
                </w:tcPr>
                <w:p>
                  <w:pPr>
                    <w:topLinePunct/>
                    <w:adjustRightInd w:val="0"/>
                    <w:snapToGrid w:val="0"/>
                    <w:jc w:val="center"/>
                    <w:rPr>
                      <w:spacing w:val="-10"/>
                      <w:kern w:val="0"/>
                      <w:sz w:val="18"/>
                      <w:szCs w:val="18"/>
                    </w:rPr>
                  </w:pPr>
                  <w:r>
                    <w:rPr>
                      <w:rFonts w:hAnsi="宋体"/>
                      <w:spacing w:val="-10"/>
                      <w:kern w:val="0"/>
                      <w:sz w:val="18"/>
                      <w:szCs w:val="18"/>
                    </w:rPr>
                    <w:t>矿物油</w:t>
                  </w:r>
                </w:p>
              </w:tc>
              <w:tc>
                <w:tcPr>
                  <w:tcW w:w="339" w:type="pct"/>
                  <w:tcBorders>
                    <w:top w:val="single" w:color="auto" w:sz="2" w:space="0"/>
                    <w:left w:val="single" w:color="auto" w:sz="2" w:space="0"/>
                    <w:bottom w:val="single" w:color="auto" w:sz="2" w:space="0"/>
                    <w:right w:val="single" w:color="auto" w:sz="2" w:space="0"/>
                  </w:tcBorders>
                  <w:vAlign w:val="center"/>
                </w:tcPr>
                <w:p>
                  <w:pPr>
                    <w:topLinePunct/>
                    <w:adjustRightInd w:val="0"/>
                    <w:snapToGrid w:val="0"/>
                    <w:jc w:val="center"/>
                    <w:rPr>
                      <w:spacing w:val="-10"/>
                      <w:kern w:val="0"/>
                      <w:sz w:val="18"/>
                      <w:szCs w:val="18"/>
                    </w:rPr>
                  </w:pPr>
                  <w:r>
                    <w:rPr>
                      <w:rFonts w:hAnsi="宋体"/>
                      <w:spacing w:val="-10"/>
                      <w:kern w:val="0"/>
                      <w:sz w:val="18"/>
                      <w:szCs w:val="18"/>
                    </w:rPr>
                    <w:t>矿物油</w:t>
                  </w:r>
                </w:p>
              </w:tc>
              <w:tc>
                <w:tcPr>
                  <w:tcW w:w="339" w:type="pct"/>
                  <w:tcBorders>
                    <w:top w:val="single" w:color="auto" w:sz="2" w:space="0"/>
                    <w:left w:val="single" w:color="auto" w:sz="2" w:space="0"/>
                    <w:bottom w:val="single" w:color="auto" w:sz="2" w:space="0"/>
                    <w:right w:val="single" w:color="auto" w:sz="2" w:space="0"/>
                  </w:tcBorders>
                  <w:vAlign w:val="center"/>
                </w:tcPr>
                <w:p>
                  <w:pPr>
                    <w:topLinePunct/>
                    <w:adjustRightInd w:val="0"/>
                    <w:snapToGrid w:val="0"/>
                    <w:jc w:val="center"/>
                    <w:rPr>
                      <w:spacing w:val="-10"/>
                      <w:kern w:val="0"/>
                      <w:sz w:val="18"/>
                      <w:szCs w:val="18"/>
                    </w:rPr>
                  </w:pPr>
                  <w:r>
                    <w:rPr>
                      <w:spacing w:val="-10"/>
                      <w:kern w:val="0"/>
                      <w:sz w:val="18"/>
                      <w:szCs w:val="18"/>
                    </w:rPr>
                    <w:t>3</w:t>
                  </w:r>
                  <w:r>
                    <w:rPr>
                      <w:rFonts w:hAnsi="宋体"/>
                      <w:spacing w:val="-10"/>
                      <w:kern w:val="0"/>
                      <w:sz w:val="18"/>
                      <w:szCs w:val="18"/>
                    </w:rPr>
                    <w:t>个月</w:t>
                  </w:r>
                </w:p>
              </w:tc>
              <w:tc>
                <w:tcPr>
                  <w:tcW w:w="339" w:type="pct"/>
                  <w:tcBorders>
                    <w:top w:val="single" w:color="auto" w:sz="2" w:space="0"/>
                    <w:left w:val="single" w:color="auto" w:sz="2" w:space="0"/>
                    <w:bottom w:val="single" w:color="auto" w:sz="2" w:space="0"/>
                    <w:right w:val="single" w:color="auto" w:sz="2" w:space="0"/>
                  </w:tcBorders>
                  <w:vAlign w:val="center"/>
                </w:tcPr>
                <w:p>
                  <w:pPr>
                    <w:widowControl/>
                    <w:jc w:val="center"/>
                    <w:rPr>
                      <w:spacing w:val="-10"/>
                      <w:kern w:val="0"/>
                      <w:sz w:val="18"/>
                      <w:szCs w:val="18"/>
                    </w:rPr>
                  </w:pPr>
                  <w:r>
                    <w:rPr>
                      <w:rFonts w:hint="eastAsia"/>
                      <w:spacing w:val="-10"/>
                      <w:kern w:val="0"/>
                      <w:sz w:val="18"/>
                      <w:szCs w:val="18"/>
                    </w:rPr>
                    <w:t>T/I</w:t>
                  </w:r>
                </w:p>
              </w:tc>
              <w:tc>
                <w:tcPr>
                  <w:tcW w:w="687" w:type="pct"/>
                  <w:tcBorders>
                    <w:top w:val="single" w:color="auto" w:sz="2" w:space="0"/>
                    <w:left w:val="single" w:color="auto" w:sz="2" w:space="0"/>
                    <w:bottom w:val="single" w:color="auto" w:sz="2" w:space="0"/>
                    <w:right w:val="single" w:color="auto" w:sz="2" w:space="0"/>
                  </w:tcBorders>
                  <w:vAlign w:val="center"/>
                </w:tcPr>
                <w:p>
                  <w:pPr>
                    <w:topLinePunct/>
                    <w:adjustRightInd w:val="0"/>
                    <w:snapToGrid w:val="0"/>
                    <w:jc w:val="center"/>
                    <w:rPr>
                      <w:spacing w:val="-10"/>
                      <w:kern w:val="0"/>
                      <w:sz w:val="18"/>
                      <w:szCs w:val="18"/>
                    </w:rPr>
                  </w:pPr>
                  <w:r>
                    <w:rPr>
                      <w:rFonts w:hAnsi="宋体"/>
                      <w:spacing w:val="-10"/>
                      <w:kern w:val="0"/>
                      <w:sz w:val="18"/>
                      <w:szCs w:val="18"/>
                    </w:rPr>
                    <w:t>废油桶收集，企业内部资源化利用。用于其它井站配制油基泥浆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48" w:hRule="atLeast"/>
                <w:jc w:val="center"/>
              </w:trPr>
              <w:tc>
                <w:tcPr>
                  <w:tcW w:w="244" w:type="pct"/>
                  <w:tcBorders>
                    <w:top w:val="single" w:color="auto" w:sz="2" w:space="0"/>
                    <w:left w:val="single" w:color="auto" w:sz="2" w:space="0"/>
                    <w:bottom w:val="single" w:color="auto" w:sz="2" w:space="0"/>
                    <w:right w:val="single" w:color="auto" w:sz="2" w:space="0"/>
                  </w:tcBorders>
                  <w:vAlign w:val="center"/>
                </w:tcPr>
                <w:p>
                  <w:pPr>
                    <w:topLinePunct/>
                    <w:adjustRightInd w:val="0"/>
                    <w:snapToGrid w:val="0"/>
                    <w:jc w:val="center"/>
                    <w:rPr>
                      <w:spacing w:val="-10"/>
                      <w:kern w:val="0"/>
                      <w:sz w:val="18"/>
                      <w:szCs w:val="18"/>
                    </w:rPr>
                  </w:pPr>
                  <w:r>
                    <w:rPr>
                      <w:spacing w:val="-10"/>
                      <w:kern w:val="0"/>
                      <w:sz w:val="18"/>
                      <w:szCs w:val="18"/>
                    </w:rPr>
                    <w:t>2</w:t>
                  </w:r>
                </w:p>
              </w:tc>
              <w:tc>
                <w:tcPr>
                  <w:tcW w:w="596" w:type="pct"/>
                  <w:tcBorders>
                    <w:top w:val="single" w:color="auto" w:sz="2" w:space="0"/>
                    <w:left w:val="single" w:color="auto" w:sz="2" w:space="0"/>
                    <w:bottom w:val="single" w:color="auto" w:sz="2" w:space="0"/>
                    <w:right w:val="single" w:color="auto" w:sz="2" w:space="0"/>
                  </w:tcBorders>
                  <w:vAlign w:val="center"/>
                </w:tcPr>
                <w:p>
                  <w:pPr>
                    <w:topLinePunct/>
                    <w:adjustRightInd w:val="0"/>
                    <w:snapToGrid w:val="0"/>
                    <w:jc w:val="center"/>
                    <w:rPr>
                      <w:rFonts w:hAnsi="宋体"/>
                      <w:spacing w:val="-10"/>
                      <w:kern w:val="0"/>
                      <w:sz w:val="18"/>
                      <w:szCs w:val="18"/>
                    </w:rPr>
                  </w:pPr>
                  <w:r>
                    <w:rPr>
                      <w:rFonts w:hint="eastAsia" w:hAnsi="宋体"/>
                      <w:spacing w:val="-10"/>
                      <w:kern w:val="0"/>
                      <w:sz w:val="18"/>
                      <w:szCs w:val="18"/>
                    </w:rPr>
                    <w:t>废油桶</w:t>
                  </w:r>
                </w:p>
              </w:tc>
              <w:tc>
                <w:tcPr>
                  <w:tcW w:w="424" w:type="pct"/>
                  <w:tcBorders>
                    <w:top w:val="single" w:color="auto" w:sz="2" w:space="0"/>
                    <w:left w:val="single" w:color="auto" w:sz="2" w:space="0"/>
                    <w:bottom w:val="single" w:color="auto" w:sz="2" w:space="0"/>
                    <w:right w:val="single" w:color="auto" w:sz="2" w:space="0"/>
                  </w:tcBorders>
                  <w:vAlign w:val="center"/>
                </w:tcPr>
                <w:p>
                  <w:pPr>
                    <w:topLinePunct/>
                    <w:adjustRightInd w:val="0"/>
                    <w:snapToGrid w:val="0"/>
                    <w:jc w:val="center"/>
                    <w:rPr>
                      <w:spacing w:val="-10"/>
                      <w:sz w:val="18"/>
                      <w:szCs w:val="18"/>
                    </w:rPr>
                  </w:pPr>
                  <w:r>
                    <w:rPr>
                      <w:rFonts w:hint="eastAsia"/>
                      <w:spacing w:val="-10"/>
                      <w:sz w:val="18"/>
                      <w:szCs w:val="18"/>
                    </w:rPr>
                    <w:t>HW08</w:t>
                  </w:r>
                </w:p>
              </w:tc>
              <w:tc>
                <w:tcPr>
                  <w:tcW w:w="592" w:type="pct"/>
                  <w:tcBorders>
                    <w:top w:val="single" w:color="auto" w:sz="2" w:space="0"/>
                    <w:left w:val="single" w:color="auto" w:sz="2" w:space="0"/>
                    <w:bottom w:val="single" w:color="auto" w:sz="2" w:space="0"/>
                    <w:right w:val="single" w:color="auto" w:sz="2" w:space="0"/>
                  </w:tcBorders>
                  <w:vAlign w:val="center"/>
                </w:tcPr>
                <w:p>
                  <w:pPr>
                    <w:topLinePunct/>
                    <w:adjustRightInd w:val="0"/>
                    <w:snapToGrid w:val="0"/>
                    <w:jc w:val="center"/>
                    <w:rPr>
                      <w:spacing w:val="-10"/>
                      <w:sz w:val="18"/>
                      <w:szCs w:val="18"/>
                    </w:rPr>
                  </w:pPr>
                  <w:r>
                    <w:rPr>
                      <w:rFonts w:hint="eastAsia"/>
                      <w:spacing w:val="-10"/>
                      <w:sz w:val="18"/>
                      <w:szCs w:val="18"/>
                    </w:rPr>
                    <w:t>900-249-08</w:t>
                  </w:r>
                </w:p>
              </w:tc>
              <w:tc>
                <w:tcPr>
                  <w:tcW w:w="424" w:type="pct"/>
                  <w:tcBorders>
                    <w:top w:val="single" w:color="auto" w:sz="2" w:space="0"/>
                    <w:left w:val="single" w:color="auto" w:sz="2" w:space="0"/>
                    <w:bottom w:val="single" w:color="auto" w:sz="2" w:space="0"/>
                    <w:right w:val="single" w:color="auto" w:sz="2" w:space="0"/>
                  </w:tcBorders>
                  <w:vAlign w:val="center"/>
                </w:tcPr>
                <w:p>
                  <w:pPr>
                    <w:topLinePunct/>
                    <w:adjustRightInd w:val="0"/>
                    <w:snapToGrid w:val="0"/>
                    <w:jc w:val="center"/>
                    <w:rPr>
                      <w:spacing w:val="-10"/>
                      <w:kern w:val="0"/>
                      <w:sz w:val="18"/>
                      <w:szCs w:val="18"/>
                    </w:rPr>
                  </w:pPr>
                  <w:r>
                    <w:rPr>
                      <w:rFonts w:hint="eastAsia"/>
                      <w:spacing w:val="-10"/>
                      <w:kern w:val="0"/>
                      <w:sz w:val="18"/>
                      <w:szCs w:val="18"/>
                    </w:rPr>
                    <w:t>0.</w:t>
                  </w:r>
                  <w:r>
                    <w:rPr>
                      <w:spacing w:val="-10"/>
                      <w:kern w:val="0"/>
                      <w:sz w:val="18"/>
                      <w:szCs w:val="18"/>
                    </w:rPr>
                    <w:t>06</w:t>
                  </w:r>
                </w:p>
              </w:tc>
              <w:tc>
                <w:tcPr>
                  <w:tcW w:w="424" w:type="pct"/>
                  <w:tcBorders>
                    <w:top w:val="single" w:color="auto" w:sz="2" w:space="0"/>
                    <w:left w:val="single" w:color="auto" w:sz="2" w:space="0"/>
                    <w:bottom w:val="single" w:color="auto" w:sz="2" w:space="0"/>
                    <w:right w:val="single" w:color="auto" w:sz="2" w:space="0"/>
                  </w:tcBorders>
                  <w:vAlign w:val="center"/>
                </w:tcPr>
                <w:p>
                  <w:pPr>
                    <w:topLinePunct/>
                    <w:adjustRightInd w:val="0"/>
                    <w:snapToGrid w:val="0"/>
                    <w:jc w:val="center"/>
                    <w:rPr>
                      <w:rFonts w:hAnsi="宋体"/>
                      <w:spacing w:val="-10"/>
                      <w:kern w:val="0"/>
                      <w:sz w:val="18"/>
                      <w:szCs w:val="18"/>
                    </w:rPr>
                  </w:pPr>
                  <w:r>
                    <w:rPr>
                      <w:rFonts w:hAnsi="宋体"/>
                      <w:spacing w:val="-10"/>
                      <w:kern w:val="0"/>
                      <w:sz w:val="18"/>
                      <w:szCs w:val="18"/>
                    </w:rPr>
                    <w:t>设备维护</w:t>
                  </w:r>
                </w:p>
              </w:tc>
              <w:tc>
                <w:tcPr>
                  <w:tcW w:w="253" w:type="pct"/>
                  <w:tcBorders>
                    <w:top w:val="single" w:color="auto" w:sz="2" w:space="0"/>
                    <w:left w:val="single" w:color="auto" w:sz="2" w:space="0"/>
                    <w:bottom w:val="single" w:color="auto" w:sz="2" w:space="0"/>
                    <w:right w:val="single" w:color="auto" w:sz="2" w:space="0"/>
                  </w:tcBorders>
                  <w:vAlign w:val="center"/>
                </w:tcPr>
                <w:p>
                  <w:pPr>
                    <w:topLinePunct/>
                    <w:adjustRightInd w:val="0"/>
                    <w:snapToGrid w:val="0"/>
                    <w:jc w:val="center"/>
                    <w:rPr>
                      <w:rFonts w:hAnsi="宋体"/>
                      <w:spacing w:val="-10"/>
                      <w:kern w:val="0"/>
                      <w:sz w:val="18"/>
                      <w:szCs w:val="18"/>
                    </w:rPr>
                  </w:pPr>
                  <w:r>
                    <w:rPr>
                      <w:rFonts w:hint="eastAsia" w:hAnsi="宋体"/>
                      <w:spacing w:val="-10"/>
                      <w:kern w:val="0"/>
                      <w:sz w:val="18"/>
                      <w:szCs w:val="18"/>
                    </w:rPr>
                    <w:t>固态</w:t>
                  </w:r>
                </w:p>
              </w:tc>
              <w:tc>
                <w:tcPr>
                  <w:tcW w:w="339" w:type="pct"/>
                  <w:tcBorders>
                    <w:top w:val="single" w:color="auto" w:sz="2" w:space="0"/>
                    <w:left w:val="single" w:color="auto" w:sz="2" w:space="0"/>
                    <w:bottom w:val="single" w:color="auto" w:sz="2" w:space="0"/>
                    <w:right w:val="single" w:color="auto" w:sz="2" w:space="0"/>
                  </w:tcBorders>
                  <w:vAlign w:val="center"/>
                </w:tcPr>
                <w:p>
                  <w:pPr>
                    <w:topLinePunct/>
                    <w:adjustRightInd w:val="0"/>
                    <w:snapToGrid w:val="0"/>
                    <w:jc w:val="center"/>
                    <w:rPr>
                      <w:rFonts w:hAnsi="宋体"/>
                      <w:spacing w:val="-10"/>
                      <w:kern w:val="0"/>
                      <w:sz w:val="18"/>
                      <w:szCs w:val="18"/>
                    </w:rPr>
                  </w:pPr>
                  <w:r>
                    <w:rPr>
                      <w:rFonts w:hint="eastAsia" w:hAnsi="宋体"/>
                      <w:spacing w:val="-10"/>
                      <w:kern w:val="0"/>
                      <w:sz w:val="18"/>
                      <w:szCs w:val="18"/>
                    </w:rPr>
                    <w:t>铁、</w:t>
                  </w:r>
                  <w:r>
                    <w:rPr>
                      <w:rFonts w:hAnsi="宋体"/>
                      <w:spacing w:val="-10"/>
                      <w:kern w:val="0"/>
                      <w:sz w:val="18"/>
                      <w:szCs w:val="18"/>
                    </w:rPr>
                    <w:t>矿物油</w:t>
                  </w:r>
                </w:p>
              </w:tc>
              <w:tc>
                <w:tcPr>
                  <w:tcW w:w="339" w:type="pct"/>
                  <w:tcBorders>
                    <w:top w:val="single" w:color="auto" w:sz="2" w:space="0"/>
                    <w:left w:val="single" w:color="auto" w:sz="2" w:space="0"/>
                    <w:bottom w:val="single" w:color="auto" w:sz="2" w:space="0"/>
                    <w:right w:val="single" w:color="auto" w:sz="2" w:space="0"/>
                  </w:tcBorders>
                  <w:vAlign w:val="center"/>
                </w:tcPr>
                <w:p>
                  <w:pPr>
                    <w:topLinePunct/>
                    <w:adjustRightInd w:val="0"/>
                    <w:snapToGrid w:val="0"/>
                    <w:jc w:val="center"/>
                    <w:rPr>
                      <w:rFonts w:hAnsi="宋体"/>
                      <w:spacing w:val="-10"/>
                      <w:kern w:val="0"/>
                      <w:sz w:val="18"/>
                      <w:szCs w:val="18"/>
                    </w:rPr>
                  </w:pPr>
                  <w:r>
                    <w:rPr>
                      <w:rFonts w:hAnsi="宋体"/>
                      <w:spacing w:val="-10"/>
                      <w:kern w:val="0"/>
                      <w:sz w:val="18"/>
                      <w:szCs w:val="18"/>
                    </w:rPr>
                    <w:t>矿物油</w:t>
                  </w:r>
                </w:p>
              </w:tc>
              <w:tc>
                <w:tcPr>
                  <w:tcW w:w="339" w:type="pct"/>
                  <w:tcBorders>
                    <w:top w:val="single" w:color="auto" w:sz="2" w:space="0"/>
                    <w:left w:val="single" w:color="auto" w:sz="2" w:space="0"/>
                    <w:bottom w:val="single" w:color="auto" w:sz="2" w:space="0"/>
                    <w:right w:val="single" w:color="auto" w:sz="2" w:space="0"/>
                  </w:tcBorders>
                  <w:vAlign w:val="center"/>
                </w:tcPr>
                <w:p>
                  <w:pPr>
                    <w:topLinePunct/>
                    <w:adjustRightInd w:val="0"/>
                    <w:snapToGrid w:val="0"/>
                    <w:jc w:val="center"/>
                    <w:rPr>
                      <w:spacing w:val="-10"/>
                      <w:kern w:val="0"/>
                      <w:sz w:val="18"/>
                      <w:szCs w:val="18"/>
                    </w:rPr>
                  </w:pPr>
                  <w:r>
                    <w:rPr>
                      <w:spacing w:val="-10"/>
                      <w:kern w:val="0"/>
                      <w:sz w:val="18"/>
                      <w:szCs w:val="18"/>
                    </w:rPr>
                    <w:t>3</w:t>
                  </w:r>
                  <w:r>
                    <w:rPr>
                      <w:rFonts w:hAnsi="宋体"/>
                      <w:spacing w:val="-10"/>
                      <w:kern w:val="0"/>
                      <w:sz w:val="18"/>
                      <w:szCs w:val="18"/>
                    </w:rPr>
                    <w:t>个月</w:t>
                  </w:r>
                </w:p>
              </w:tc>
              <w:tc>
                <w:tcPr>
                  <w:tcW w:w="339" w:type="pct"/>
                  <w:vMerge w:val="restart"/>
                  <w:tcBorders>
                    <w:top w:val="single" w:color="auto" w:sz="2" w:space="0"/>
                    <w:left w:val="single" w:color="auto" w:sz="2" w:space="0"/>
                    <w:right w:val="single" w:color="auto" w:sz="2" w:space="0"/>
                  </w:tcBorders>
                  <w:vAlign w:val="center"/>
                </w:tcPr>
                <w:p>
                  <w:pPr>
                    <w:widowControl/>
                    <w:jc w:val="center"/>
                    <w:rPr>
                      <w:spacing w:val="-10"/>
                      <w:kern w:val="0"/>
                      <w:sz w:val="18"/>
                      <w:szCs w:val="18"/>
                    </w:rPr>
                  </w:pPr>
                  <w:r>
                    <w:rPr>
                      <w:rFonts w:hint="eastAsia"/>
                      <w:spacing w:val="-10"/>
                      <w:kern w:val="0"/>
                      <w:sz w:val="18"/>
                      <w:szCs w:val="18"/>
                    </w:rPr>
                    <w:t>T/In</w:t>
                  </w:r>
                </w:p>
              </w:tc>
              <w:tc>
                <w:tcPr>
                  <w:tcW w:w="687" w:type="pct"/>
                  <w:vMerge w:val="restart"/>
                  <w:tcBorders>
                    <w:top w:val="single" w:color="auto" w:sz="2" w:space="0"/>
                    <w:left w:val="single" w:color="auto" w:sz="2" w:space="0"/>
                    <w:right w:val="single" w:color="auto" w:sz="2" w:space="0"/>
                  </w:tcBorders>
                  <w:vAlign w:val="center"/>
                </w:tcPr>
                <w:p>
                  <w:pPr>
                    <w:topLinePunct/>
                    <w:adjustRightInd w:val="0"/>
                    <w:snapToGrid w:val="0"/>
                    <w:jc w:val="center"/>
                    <w:rPr>
                      <w:rFonts w:hAnsi="宋体"/>
                      <w:spacing w:val="-10"/>
                      <w:kern w:val="0"/>
                      <w:sz w:val="18"/>
                      <w:szCs w:val="18"/>
                    </w:rPr>
                  </w:pPr>
                  <w:r>
                    <w:rPr>
                      <w:rFonts w:hint="eastAsia" w:hAnsi="宋体"/>
                      <w:spacing w:val="-10"/>
                      <w:kern w:val="0"/>
                      <w:sz w:val="18"/>
                      <w:szCs w:val="18"/>
                    </w:rPr>
                    <w:t>暂存于危废暂存间，交有资质单位进行处置</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48" w:hRule="atLeast"/>
                <w:jc w:val="center"/>
              </w:trPr>
              <w:tc>
                <w:tcPr>
                  <w:tcW w:w="244" w:type="pct"/>
                  <w:tcBorders>
                    <w:top w:val="single" w:color="auto" w:sz="2" w:space="0"/>
                    <w:left w:val="single" w:color="auto" w:sz="2" w:space="0"/>
                    <w:bottom w:val="single" w:color="auto" w:sz="2" w:space="0"/>
                    <w:right w:val="single" w:color="auto" w:sz="2" w:space="0"/>
                  </w:tcBorders>
                  <w:vAlign w:val="center"/>
                </w:tcPr>
                <w:p>
                  <w:pPr>
                    <w:topLinePunct/>
                    <w:adjustRightInd w:val="0"/>
                    <w:snapToGrid w:val="0"/>
                    <w:jc w:val="center"/>
                    <w:rPr>
                      <w:spacing w:val="-10"/>
                      <w:kern w:val="0"/>
                      <w:sz w:val="18"/>
                      <w:szCs w:val="18"/>
                    </w:rPr>
                  </w:pPr>
                  <w:r>
                    <w:rPr>
                      <w:rFonts w:hint="eastAsia"/>
                      <w:spacing w:val="-10"/>
                      <w:kern w:val="0"/>
                      <w:sz w:val="18"/>
                      <w:szCs w:val="18"/>
                    </w:rPr>
                    <w:t>3</w:t>
                  </w:r>
                </w:p>
              </w:tc>
              <w:tc>
                <w:tcPr>
                  <w:tcW w:w="596" w:type="pct"/>
                  <w:tcBorders>
                    <w:top w:val="single" w:color="auto" w:sz="2" w:space="0"/>
                    <w:left w:val="single" w:color="auto" w:sz="2" w:space="0"/>
                    <w:bottom w:val="single" w:color="auto" w:sz="2" w:space="0"/>
                    <w:right w:val="single" w:color="auto" w:sz="2" w:space="0"/>
                  </w:tcBorders>
                  <w:vAlign w:val="center"/>
                </w:tcPr>
                <w:p>
                  <w:pPr>
                    <w:topLinePunct/>
                    <w:adjustRightInd w:val="0"/>
                    <w:snapToGrid w:val="0"/>
                    <w:jc w:val="center"/>
                    <w:rPr>
                      <w:rFonts w:hAnsi="宋体"/>
                      <w:spacing w:val="-10"/>
                      <w:kern w:val="0"/>
                      <w:sz w:val="18"/>
                      <w:szCs w:val="18"/>
                    </w:rPr>
                  </w:pPr>
                  <w:r>
                    <w:rPr>
                      <w:rFonts w:hint="eastAsia" w:hAnsi="宋体"/>
                      <w:spacing w:val="-10"/>
                      <w:kern w:val="0"/>
                      <w:sz w:val="18"/>
                      <w:szCs w:val="18"/>
                    </w:rPr>
                    <w:t>废棉纱/手套</w:t>
                  </w:r>
                </w:p>
              </w:tc>
              <w:tc>
                <w:tcPr>
                  <w:tcW w:w="424" w:type="pct"/>
                  <w:tcBorders>
                    <w:top w:val="single" w:color="auto" w:sz="2" w:space="0"/>
                    <w:left w:val="single" w:color="auto" w:sz="2" w:space="0"/>
                    <w:bottom w:val="single" w:color="auto" w:sz="2" w:space="0"/>
                    <w:right w:val="single" w:color="auto" w:sz="2" w:space="0"/>
                  </w:tcBorders>
                  <w:vAlign w:val="center"/>
                </w:tcPr>
                <w:p>
                  <w:pPr>
                    <w:topLinePunct/>
                    <w:adjustRightInd w:val="0"/>
                    <w:snapToGrid w:val="0"/>
                    <w:jc w:val="center"/>
                    <w:rPr>
                      <w:spacing w:val="-10"/>
                      <w:sz w:val="18"/>
                      <w:szCs w:val="18"/>
                    </w:rPr>
                  </w:pPr>
                  <w:r>
                    <w:rPr>
                      <w:rFonts w:hint="eastAsia"/>
                      <w:spacing w:val="-10"/>
                      <w:sz w:val="18"/>
                      <w:szCs w:val="18"/>
                    </w:rPr>
                    <w:t>HW49</w:t>
                  </w:r>
                </w:p>
              </w:tc>
              <w:tc>
                <w:tcPr>
                  <w:tcW w:w="592" w:type="pct"/>
                  <w:tcBorders>
                    <w:top w:val="single" w:color="auto" w:sz="2" w:space="0"/>
                    <w:left w:val="single" w:color="auto" w:sz="2" w:space="0"/>
                    <w:bottom w:val="single" w:color="auto" w:sz="2" w:space="0"/>
                    <w:right w:val="single" w:color="auto" w:sz="2" w:space="0"/>
                  </w:tcBorders>
                  <w:vAlign w:val="center"/>
                </w:tcPr>
                <w:p>
                  <w:pPr>
                    <w:topLinePunct/>
                    <w:adjustRightInd w:val="0"/>
                    <w:snapToGrid w:val="0"/>
                    <w:jc w:val="center"/>
                    <w:rPr>
                      <w:spacing w:val="-10"/>
                      <w:sz w:val="18"/>
                      <w:szCs w:val="18"/>
                    </w:rPr>
                  </w:pPr>
                  <w:r>
                    <w:rPr>
                      <w:rFonts w:hint="eastAsia"/>
                      <w:spacing w:val="-10"/>
                      <w:sz w:val="18"/>
                      <w:szCs w:val="18"/>
                    </w:rPr>
                    <w:t>900-041-49</w:t>
                  </w:r>
                </w:p>
              </w:tc>
              <w:tc>
                <w:tcPr>
                  <w:tcW w:w="424" w:type="pct"/>
                  <w:tcBorders>
                    <w:top w:val="single" w:color="auto" w:sz="2" w:space="0"/>
                    <w:left w:val="single" w:color="auto" w:sz="2" w:space="0"/>
                    <w:bottom w:val="single" w:color="auto" w:sz="2" w:space="0"/>
                    <w:right w:val="single" w:color="auto" w:sz="2" w:space="0"/>
                  </w:tcBorders>
                  <w:vAlign w:val="center"/>
                </w:tcPr>
                <w:p>
                  <w:pPr>
                    <w:topLinePunct/>
                    <w:adjustRightInd w:val="0"/>
                    <w:snapToGrid w:val="0"/>
                    <w:jc w:val="center"/>
                    <w:rPr>
                      <w:spacing w:val="-10"/>
                      <w:kern w:val="0"/>
                      <w:sz w:val="18"/>
                      <w:szCs w:val="18"/>
                    </w:rPr>
                  </w:pPr>
                  <w:r>
                    <w:rPr>
                      <w:rFonts w:hint="eastAsia"/>
                      <w:spacing w:val="-10"/>
                      <w:kern w:val="0"/>
                      <w:sz w:val="18"/>
                      <w:szCs w:val="18"/>
                    </w:rPr>
                    <w:t>0.</w:t>
                  </w:r>
                  <w:r>
                    <w:rPr>
                      <w:spacing w:val="-10"/>
                      <w:kern w:val="0"/>
                      <w:sz w:val="18"/>
                      <w:szCs w:val="18"/>
                    </w:rPr>
                    <w:t>2</w:t>
                  </w:r>
                </w:p>
              </w:tc>
              <w:tc>
                <w:tcPr>
                  <w:tcW w:w="424" w:type="pct"/>
                  <w:tcBorders>
                    <w:top w:val="single" w:color="auto" w:sz="2" w:space="0"/>
                    <w:left w:val="single" w:color="auto" w:sz="2" w:space="0"/>
                    <w:bottom w:val="single" w:color="auto" w:sz="2" w:space="0"/>
                    <w:right w:val="single" w:color="auto" w:sz="2" w:space="0"/>
                  </w:tcBorders>
                  <w:vAlign w:val="center"/>
                </w:tcPr>
                <w:p>
                  <w:pPr>
                    <w:topLinePunct/>
                    <w:adjustRightInd w:val="0"/>
                    <w:snapToGrid w:val="0"/>
                    <w:jc w:val="center"/>
                    <w:rPr>
                      <w:rFonts w:hAnsi="宋体"/>
                      <w:spacing w:val="-10"/>
                      <w:kern w:val="0"/>
                      <w:sz w:val="18"/>
                      <w:szCs w:val="18"/>
                    </w:rPr>
                  </w:pPr>
                  <w:r>
                    <w:rPr>
                      <w:rFonts w:hAnsi="宋体"/>
                      <w:spacing w:val="-10"/>
                      <w:kern w:val="0"/>
                      <w:sz w:val="18"/>
                      <w:szCs w:val="18"/>
                    </w:rPr>
                    <w:t>设备维护</w:t>
                  </w:r>
                </w:p>
              </w:tc>
              <w:tc>
                <w:tcPr>
                  <w:tcW w:w="253" w:type="pct"/>
                  <w:tcBorders>
                    <w:top w:val="single" w:color="auto" w:sz="2" w:space="0"/>
                    <w:left w:val="single" w:color="auto" w:sz="2" w:space="0"/>
                    <w:bottom w:val="single" w:color="auto" w:sz="2" w:space="0"/>
                    <w:right w:val="single" w:color="auto" w:sz="2" w:space="0"/>
                  </w:tcBorders>
                  <w:vAlign w:val="center"/>
                </w:tcPr>
                <w:p>
                  <w:pPr>
                    <w:topLinePunct/>
                    <w:adjustRightInd w:val="0"/>
                    <w:snapToGrid w:val="0"/>
                    <w:jc w:val="center"/>
                    <w:rPr>
                      <w:rFonts w:hAnsi="宋体"/>
                      <w:spacing w:val="-10"/>
                      <w:kern w:val="0"/>
                      <w:sz w:val="18"/>
                      <w:szCs w:val="18"/>
                    </w:rPr>
                  </w:pPr>
                  <w:r>
                    <w:rPr>
                      <w:rFonts w:hint="eastAsia" w:hAnsi="宋体"/>
                      <w:spacing w:val="-10"/>
                      <w:kern w:val="0"/>
                      <w:sz w:val="18"/>
                      <w:szCs w:val="18"/>
                    </w:rPr>
                    <w:t>固态</w:t>
                  </w:r>
                </w:p>
              </w:tc>
              <w:tc>
                <w:tcPr>
                  <w:tcW w:w="339" w:type="pct"/>
                  <w:tcBorders>
                    <w:top w:val="single" w:color="auto" w:sz="2" w:space="0"/>
                    <w:left w:val="single" w:color="auto" w:sz="2" w:space="0"/>
                    <w:bottom w:val="single" w:color="auto" w:sz="2" w:space="0"/>
                    <w:right w:val="single" w:color="auto" w:sz="2" w:space="0"/>
                  </w:tcBorders>
                  <w:vAlign w:val="center"/>
                </w:tcPr>
                <w:p>
                  <w:pPr>
                    <w:topLinePunct/>
                    <w:adjustRightInd w:val="0"/>
                    <w:snapToGrid w:val="0"/>
                    <w:jc w:val="center"/>
                    <w:rPr>
                      <w:rFonts w:hAnsi="宋体"/>
                      <w:spacing w:val="-10"/>
                      <w:kern w:val="0"/>
                      <w:sz w:val="18"/>
                      <w:szCs w:val="18"/>
                    </w:rPr>
                  </w:pPr>
                  <w:r>
                    <w:rPr>
                      <w:rFonts w:hint="eastAsia" w:hAnsi="宋体"/>
                      <w:spacing w:val="-10"/>
                      <w:kern w:val="0"/>
                      <w:sz w:val="18"/>
                      <w:szCs w:val="18"/>
                    </w:rPr>
                    <w:t>棉纱、矿物油</w:t>
                  </w:r>
                </w:p>
              </w:tc>
              <w:tc>
                <w:tcPr>
                  <w:tcW w:w="339" w:type="pct"/>
                  <w:tcBorders>
                    <w:top w:val="single" w:color="auto" w:sz="2" w:space="0"/>
                    <w:left w:val="single" w:color="auto" w:sz="2" w:space="0"/>
                    <w:bottom w:val="single" w:color="auto" w:sz="2" w:space="0"/>
                    <w:right w:val="single" w:color="auto" w:sz="2" w:space="0"/>
                  </w:tcBorders>
                  <w:vAlign w:val="center"/>
                </w:tcPr>
                <w:p>
                  <w:pPr>
                    <w:topLinePunct/>
                    <w:adjustRightInd w:val="0"/>
                    <w:snapToGrid w:val="0"/>
                    <w:jc w:val="center"/>
                    <w:rPr>
                      <w:rFonts w:hAnsi="宋体"/>
                      <w:spacing w:val="-10"/>
                      <w:kern w:val="0"/>
                      <w:sz w:val="18"/>
                      <w:szCs w:val="18"/>
                    </w:rPr>
                  </w:pPr>
                  <w:r>
                    <w:rPr>
                      <w:rFonts w:hint="eastAsia" w:hAnsi="宋体"/>
                      <w:spacing w:val="-10"/>
                      <w:kern w:val="0"/>
                      <w:sz w:val="18"/>
                      <w:szCs w:val="18"/>
                    </w:rPr>
                    <w:t>矿物油</w:t>
                  </w:r>
                </w:p>
              </w:tc>
              <w:tc>
                <w:tcPr>
                  <w:tcW w:w="339" w:type="pct"/>
                  <w:tcBorders>
                    <w:top w:val="single" w:color="auto" w:sz="2" w:space="0"/>
                    <w:left w:val="single" w:color="auto" w:sz="2" w:space="0"/>
                    <w:bottom w:val="single" w:color="auto" w:sz="2" w:space="0"/>
                    <w:right w:val="single" w:color="auto" w:sz="2" w:space="0"/>
                  </w:tcBorders>
                  <w:vAlign w:val="center"/>
                </w:tcPr>
                <w:p>
                  <w:pPr>
                    <w:topLinePunct/>
                    <w:adjustRightInd w:val="0"/>
                    <w:snapToGrid w:val="0"/>
                    <w:jc w:val="center"/>
                    <w:rPr>
                      <w:spacing w:val="-10"/>
                      <w:kern w:val="0"/>
                      <w:sz w:val="18"/>
                      <w:szCs w:val="18"/>
                    </w:rPr>
                  </w:pPr>
                  <w:r>
                    <w:rPr>
                      <w:spacing w:val="-10"/>
                      <w:kern w:val="0"/>
                      <w:sz w:val="18"/>
                      <w:szCs w:val="18"/>
                    </w:rPr>
                    <w:t>3</w:t>
                  </w:r>
                  <w:r>
                    <w:rPr>
                      <w:rFonts w:hAnsi="宋体"/>
                      <w:spacing w:val="-10"/>
                      <w:kern w:val="0"/>
                      <w:sz w:val="18"/>
                      <w:szCs w:val="18"/>
                    </w:rPr>
                    <w:t>个月</w:t>
                  </w:r>
                </w:p>
              </w:tc>
              <w:tc>
                <w:tcPr>
                  <w:tcW w:w="339" w:type="pct"/>
                  <w:vMerge w:val="continue"/>
                  <w:tcBorders>
                    <w:left w:val="single" w:color="auto" w:sz="2" w:space="0"/>
                    <w:bottom w:val="single" w:color="auto" w:sz="2" w:space="0"/>
                    <w:right w:val="single" w:color="auto" w:sz="2" w:space="0"/>
                  </w:tcBorders>
                  <w:vAlign w:val="center"/>
                </w:tcPr>
                <w:p>
                  <w:pPr>
                    <w:widowControl/>
                    <w:jc w:val="center"/>
                    <w:rPr>
                      <w:spacing w:val="-10"/>
                      <w:kern w:val="0"/>
                      <w:sz w:val="18"/>
                      <w:szCs w:val="18"/>
                    </w:rPr>
                  </w:pPr>
                </w:p>
              </w:tc>
              <w:tc>
                <w:tcPr>
                  <w:tcW w:w="687" w:type="pct"/>
                  <w:vMerge w:val="continue"/>
                  <w:tcBorders>
                    <w:left w:val="single" w:color="auto" w:sz="2" w:space="0"/>
                    <w:bottom w:val="single" w:color="auto" w:sz="2" w:space="0"/>
                    <w:right w:val="single" w:color="auto" w:sz="2" w:space="0"/>
                  </w:tcBorders>
                  <w:vAlign w:val="center"/>
                </w:tcPr>
                <w:p>
                  <w:pPr>
                    <w:topLinePunct/>
                    <w:adjustRightInd w:val="0"/>
                    <w:snapToGrid w:val="0"/>
                    <w:jc w:val="center"/>
                    <w:rPr>
                      <w:rFonts w:hAnsi="宋体"/>
                      <w:spacing w:val="-10"/>
                      <w:kern w:val="0"/>
                      <w:sz w:val="18"/>
                      <w:szCs w:val="18"/>
                    </w:rPr>
                  </w:pPr>
                </w:p>
              </w:tc>
            </w:tr>
          </w:tbl>
          <w:p>
            <w:pPr>
              <w:adjustRightInd w:val="0"/>
              <w:snapToGrid w:val="0"/>
              <w:spacing w:line="360" w:lineRule="auto"/>
              <w:ind w:firstLine="422" w:firstLineChars="200"/>
              <w:rPr>
                <w:b/>
                <w:bCs/>
                <w:szCs w:val="21"/>
              </w:rPr>
            </w:pPr>
          </w:p>
          <w:p>
            <w:pPr>
              <w:adjustRightInd w:val="0"/>
              <w:snapToGrid w:val="0"/>
              <w:spacing w:line="360" w:lineRule="auto"/>
              <w:ind w:firstLine="420" w:firstLineChars="200"/>
              <w:rPr>
                <w:bCs/>
                <w:szCs w:val="21"/>
              </w:rPr>
            </w:pPr>
            <w:r>
              <w:rPr>
                <w:bCs/>
                <w:szCs w:val="21"/>
              </w:rPr>
              <w:fldChar w:fldCharType="begin"/>
            </w:r>
            <w:r>
              <w:rPr>
                <w:bCs/>
                <w:szCs w:val="21"/>
              </w:rPr>
              <w:instrText xml:space="preserve"> </w:instrText>
            </w:r>
            <w:r>
              <w:rPr>
                <w:rFonts w:hint="eastAsia"/>
                <w:bCs/>
                <w:szCs w:val="21"/>
              </w:rPr>
              <w:instrText xml:space="preserve">= 4 \* GB3</w:instrText>
            </w:r>
            <w:r>
              <w:rPr>
                <w:bCs/>
                <w:szCs w:val="21"/>
              </w:rPr>
              <w:instrText xml:space="preserve"> </w:instrText>
            </w:r>
            <w:r>
              <w:rPr>
                <w:bCs/>
                <w:szCs w:val="21"/>
              </w:rPr>
              <w:fldChar w:fldCharType="separate"/>
            </w:r>
            <w:r>
              <w:rPr>
                <w:rFonts w:hint="eastAsia"/>
                <w:bCs/>
                <w:szCs w:val="21"/>
              </w:rPr>
              <w:t>④</w:t>
            </w:r>
            <w:r>
              <w:rPr>
                <w:bCs/>
                <w:szCs w:val="21"/>
              </w:rPr>
              <w:fldChar w:fldCharType="end"/>
            </w:r>
            <w:r>
              <w:rPr>
                <w:rFonts w:hint="eastAsia"/>
                <w:bCs/>
                <w:szCs w:val="21"/>
              </w:rPr>
              <w:t>废包装材料</w:t>
            </w:r>
          </w:p>
          <w:p>
            <w:pPr>
              <w:adjustRightInd w:val="0"/>
              <w:snapToGrid w:val="0"/>
              <w:spacing w:line="360" w:lineRule="auto"/>
              <w:ind w:firstLine="420" w:firstLineChars="200"/>
              <w:rPr>
                <w:bCs/>
                <w:szCs w:val="21"/>
              </w:rPr>
            </w:pPr>
            <w:r>
              <w:rPr>
                <w:rFonts w:hint="eastAsia"/>
                <w:bCs/>
                <w:szCs w:val="21"/>
              </w:rPr>
              <w:t>完井测试期间产生的废包装材料主要为各原辅材料的包装袋/箱，为一般废物，其产生量约0.3t，集中收集后定期运至就近的废品回收站进行处理。</w:t>
            </w:r>
          </w:p>
          <w:p>
            <w:pPr>
              <w:adjustRightInd w:val="0"/>
              <w:snapToGrid w:val="0"/>
              <w:spacing w:line="360" w:lineRule="auto"/>
              <w:ind w:firstLine="420" w:firstLineChars="200"/>
              <w:rPr>
                <w:bCs/>
                <w:szCs w:val="21"/>
              </w:rPr>
            </w:pPr>
            <w:r>
              <w:rPr>
                <w:bCs/>
                <w:szCs w:val="21"/>
              </w:rPr>
              <w:fldChar w:fldCharType="begin"/>
            </w:r>
            <w:r>
              <w:rPr>
                <w:bCs/>
                <w:szCs w:val="21"/>
              </w:rPr>
              <w:instrText xml:space="preserve"> </w:instrText>
            </w:r>
            <w:r>
              <w:rPr>
                <w:rFonts w:hint="eastAsia"/>
                <w:bCs/>
                <w:szCs w:val="21"/>
              </w:rPr>
              <w:instrText xml:space="preserve">= 5 \* GB3</w:instrText>
            </w:r>
            <w:r>
              <w:rPr>
                <w:bCs/>
                <w:szCs w:val="21"/>
              </w:rPr>
              <w:instrText xml:space="preserve"> </w:instrText>
            </w:r>
            <w:r>
              <w:rPr>
                <w:bCs/>
                <w:szCs w:val="21"/>
              </w:rPr>
              <w:fldChar w:fldCharType="separate"/>
            </w:r>
            <w:r>
              <w:rPr>
                <w:rFonts w:hint="eastAsia"/>
                <w:bCs/>
                <w:szCs w:val="21"/>
              </w:rPr>
              <w:t>⑤</w:t>
            </w:r>
            <w:r>
              <w:rPr>
                <w:bCs/>
                <w:szCs w:val="21"/>
              </w:rPr>
              <w:fldChar w:fldCharType="end"/>
            </w:r>
            <w:r>
              <w:rPr>
                <w:rFonts w:hint="eastAsia"/>
                <w:bCs/>
                <w:szCs w:val="21"/>
              </w:rPr>
              <w:t>生活垃圾</w:t>
            </w:r>
          </w:p>
          <w:p>
            <w:pPr>
              <w:adjustRightInd w:val="0"/>
              <w:snapToGrid w:val="0"/>
              <w:spacing w:line="360" w:lineRule="auto"/>
              <w:ind w:firstLine="420" w:firstLineChars="200"/>
              <w:rPr>
                <w:bCs/>
                <w:szCs w:val="21"/>
              </w:rPr>
            </w:pPr>
            <w:r>
              <w:rPr>
                <w:rFonts w:hint="eastAsia"/>
                <w:bCs/>
                <w:szCs w:val="21"/>
              </w:rPr>
              <w:t>完井测试员工约40人，生活垃圾产生量按每人每天产生0.5kg计算，完井测试时长约1个月（30天），则生活垃圾产生量为0.6t。</w:t>
            </w:r>
          </w:p>
          <w:p>
            <w:pPr>
              <w:adjustRightInd w:val="0"/>
              <w:snapToGrid w:val="0"/>
              <w:spacing w:line="360" w:lineRule="auto"/>
              <w:ind w:firstLine="420" w:firstLineChars="200"/>
              <w:rPr>
                <w:bCs/>
                <w:szCs w:val="21"/>
              </w:rPr>
            </w:pPr>
            <w:r>
              <w:rPr>
                <w:rFonts w:hint="eastAsia"/>
                <w:bCs/>
                <w:szCs w:val="21"/>
              </w:rPr>
              <w:t>本工程完井测试固废产生量见表4-</w:t>
            </w:r>
            <w:r>
              <w:rPr>
                <w:bCs/>
                <w:szCs w:val="21"/>
              </w:rPr>
              <w:t>24</w:t>
            </w:r>
            <w:r>
              <w:rPr>
                <w:rFonts w:hint="eastAsia"/>
                <w:bCs/>
                <w:szCs w:val="21"/>
              </w:rPr>
              <w:t>。</w:t>
            </w:r>
          </w:p>
          <w:p>
            <w:pPr>
              <w:adjustRightInd w:val="0"/>
              <w:snapToGrid w:val="0"/>
              <w:spacing w:line="360" w:lineRule="auto"/>
              <w:jc w:val="center"/>
              <w:rPr>
                <w:b/>
                <w:bCs/>
                <w:szCs w:val="21"/>
              </w:rPr>
            </w:pPr>
            <w:r>
              <w:rPr>
                <w:rFonts w:hint="eastAsia"/>
                <w:b/>
                <w:bCs/>
                <w:szCs w:val="21"/>
              </w:rPr>
              <w:t>表4-</w:t>
            </w:r>
            <w:r>
              <w:rPr>
                <w:b/>
                <w:bCs/>
                <w:szCs w:val="21"/>
              </w:rPr>
              <w:t>24</w:t>
            </w:r>
            <w:r>
              <w:rPr>
                <w:rFonts w:hint="eastAsia"/>
                <w:b/>
                <w:bCs/>
                <w:szCs w:val="21"/>
              </w:rPr>
              <w:t xml:space="preserve">  本工程固体废物统计表</w:t>
            </w:r>
          </w:p>
          <w:tbl>
            <w:tblPr>
              <w:tblStyle w:val="42"/>
              <w:tblW w:w="5000"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369"/>
              <w:gridCol w:w="966"/>
              <w:gridCol w:w="1381"/>
              <w:gridCol w:w="1654"/>
              <w:gridCol w:w="2771"/>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jc w:val="center"/>
              </w:trPr>
              <w:tc>
                <w:tcPr>
                  <w:tcW w:w="841" w:type="pct"/>
                  <w:tcBorders>
                    <w:top w:val="single" w:color="auto" w:sz="2" w:space="0"/>
                    <w:left w:val="single" w:color="auto" w:sz="2" w:space="0"/>
                    <w:bottom w:val="single" w:color="auto" w:sz="2" w:space="0"/>
                    <w:right w:val="single" w:color="auto" w:sz="2" w:space="0"/>
                  </w:tcBorders>
                  <w:vAlign w:val="center"/>
                </w:tcPr>
                <w:p>
                  <w:pPr>
                    <w:pStyle w:val="25"/>
                    <w:spacing w:after="0" w:line="240" w:lineRule="auto"/>
                    <w:ind w:left="0" w:leftChars="0"/>
                    <w:jc w:val="center"/>
                    <w:rPr>
                      <w:b/>
                      <w:szCs w:val="21"/>
                    </w:rPr>
                  </w:pPr>
                  <w:r>
                    <w:rPr>
                      <w:rFonts w:hAnsi="宋体"/>
                      <w:b/>
                      <w:szCs w:val="21"/>
                    </w:rPr>
                    <w:t>固废类型</w:t>
                  </w:r>
                </w:p>
              </w:tc>
              <w:tc>
                <w:tcPr>
                  <w:tcW w:w="593" w:type="pct"/>
                  <w:tcBorders>
                    <w:top w:val="single" w:color="auto" w:sz="2" w:space="0"/>
                    <w:left w:val="single" w:color="auto" w:sz="2" w:space="0"/>
                    <w:bottom w:val="single" w:color="auto" w:sz="2" w:space="0"/>
                    <w:right w:val="single" w:color="auto" w:sz="2" w:space="0"/>
                  </w:tcBorders>
                  <w:vAlign w:val="center"/>
                </w:tcPr>
                <w:p>
                  <w:pPr>
                    <w:pStyle w:val="25"/>
                    <w:spacing w:after="0" w:line="240" w:lineRule="auto"/>
                    <w:ind w:left="0" w:leftChars="0"/>
                    <w:jc w:val="center"/>
                    <w:rPr>
                      <w:b/>
                      <w:szCs w:val="21"/>
                    </w:rPr>
                  </w:pPr>
                  <w:r>
                    <w:rPr>
                      <w:rFonts w:hAnsi="宋体"/>
                      <w:b/>
                      <w:szCs w:val="21"/>
                    </w:rPr>
                    <w:t>产生量</w:t>
                  </w:r>
                  <w:r>
                    <w:rPr>
                      <w:b/>
                      <w:szCs w:val="21"/>
                    </w:rPr>
                    <w:t>t</w:t>
                  </w:r>
                </w:p>
              </w:tc>
              <w:tc>
                <w:tcPr>
                  <w:tcW w:w="848" w:type="pct"/>
                  <w:tcBorders>
                    <w:top w:val="single" w:color="auto" w:sz="2" w:space="0"/>
                    <w:left w:val="single" w:color="auto" w:sz="2" w:space="0"/>
                    <w:bottom w:val="single" w:color="auto" w:sz="2" w:space="0"/>
                    <w:right w:val="single" w:color="auto" w:sz="2" w:space="0"/>
                  </w:tcBorders>
                  <w:vAlign w:val="center"/>
                </w:tcPr>
                <w:p>
                  <w:pPr>
                    <w:pStyle w:val="25"/>
                    <w:spacing w:after="0" w:line="240" w:lineRule="auto"/>
                    <w:ind w:left="0" w:leftChars="0"/>
                    <w:jc w:val="center"/>
                    <w:rPr>
                      <w:b/>
                      <w:szCs w:val="21"/>
                    </w:rPr>
                  </w:pPr>
                  <w:r>
                    <w:rPr>
                      <w:rFonts w:hAnsi="宋体"/>
                      <w:b/>
                      <w:szCs w:val="21"/>
                    </w:rPr>
                    <w:t>固废性质</w:t>
                  </w:r>
                </w:p>
              </w:tc>
              <w:tc>
                <w:tcPr>
                  <w:tcW w:w="1016" w:type="pct"/>
                  <w:tcBorders>
                    <w:top w:val="single" w:color="auto" w:sz="2" w:space="0"/>
                    <w:left w:val="single" w:color="auto" w:sz="2" w:space="0"/>
                    <w:bottom w:val="single" w:color="auto" w:sz="2" w:space="0"/>
                    <w:right w:val="single" w:color="auto" w:sz="4" w:space="0"/>
                  </w:tcBorders>
                  <w:vAlign w:val="center"/>
                </w:tcPr>
                <w:p>
                  <w:pPr>
                    <w:pStyle w:val="25"/>
                    <w:spacing w:after="0" w:line="240" w:lineRule="auto"/>
                    <w:ind w:left="0" w:leftChars="0"/>
                    <w:jc w:val="center"/>
                    <w:rPr>
                      <w:b/>
                      <w:szCs w:val="21"/>
                    </w:rPr>
                  </w:pPr>
                  <w:r>
                    <w:rPr>
                      <w:b/>
                      <w:szCs w:val="21"/>
                    </w:rPr>
                    <w:t>代码</w:t>
                  </w:r>
                </w:p>
              </w:tc>
              <w:tc>
                <w:tcPr>
                  <w:tcW w:w="1702" w:type="pct"/>
                  <w:tcBorders>
                    <w:top w:val="single" w:color="auto" w:sz="2" w:space="0"/>
                    <w:left w:val="single" w:color="auto" w:sz="4" w:space="0"/>
                    <w:bottom w:val="single" w:color="auto" w:sz="2" w:space="0"/>
                    <w:right w:val="single" w:color="auto" w:sz="2" w:space="0"/>
                  </w:tcBorders>
                  <w:vAlign w:val="center"/>
                </w:tcPr>
                <w:p>
                  <w:pPr>
                    <w:pStyle w:val="25"/>
                    <w:spacing w:after="0" w:line="240" w:lineRule="auto"/>
                    <w:jc w:val="center"/>
                    <w:rPr>
                      <w:b/>
                      <w:szCs w:val="21"/>
                    </w:rPr>
                  </w:pPr>
                  <w:r>
                    <w:rPr>
                      <w:rFonts w:hAnsi="宋体"/>
                      <w:b/>
                      <w:szCs w:val="21"/>
                    </w:rPr>
                    <w:t>处置方式</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841" w:type="pct"/>
                  <w:tcBorders>
                    <w:top w:val="single" w:color="auto" w:sz="2" w:space="0"/>
                    <w:left w:val="single" w:color="auto" w:sz="2" w:space="0"/>
                    <w:bottom w:val="single" w:color="auto" w:sz="2" w:space="0"/>
                    <w:right w:val="single" w:color="auto" w:sz="2" w:space="0"/>
                  </w:tcBorders>
                  <w:vAlign w:val="center"/>
                </w:tcPr>
                <w:p>
                  <w:pPr>
                    <w:pStyle w:val="25"/>
                    <w:spacing w:after="0" w:line="240" w:lineRule="auto"/>
                    <w:ind w:left="0" w:leftChars="0"/>
                    <w:jc w:val="center"/>
                    <w:rPr>
                      <w:szCs w:val="21"/>
                    </w:rPr>
                  </w:pPr>
                  <w:r>
                    <w:rPr>
                      <w:rFonts w:hAnsi="宋体"/>
                      <w:szCs w:val="21"/>
                    </w:rPr>
                    <w:t>废油</w:t>
                  </w:r>
                </w:p>
              </w:tc>
              <w:tc>
                <w:tcPr>
                  <w:tcW w:w="593" w:type="pct"/>
                  <w:tcBorders>
                    <w:top w:val="single" w:color="auto" w:sz="2" w:space="0"/>
                    <w:left w:val="single" w:color="auto" w:sz="2" w:space="0"/>
                    <w:bottom w:val="single" w:color="auto" w:sz="2" w:space="0"/>
                    <w:right w:val="single" w:color="auto" w:sz="2" w:space="0"/>
                  </w:tcBorders>
                  <w:vAlign w:val="center"/>
                </w:tcPr>
                <w:p>
                  <w:pPr>
                    <w:pStyle w:val="25"/>
                    <w:spacing w:after="0" w:line="240" w:lineRule="auto"/>
                    <w:ind w:left="0" w:leftChars="0"/>
                    <w:jc w:val="center"/>
                    <w:rPr>
                      <w:szCs w:val="21"/>
                    </w:rPr>
                  </w:pPr>
                  <w:r>
                    <w:rPr>
                      <w:szCs w:val="21"/>
                    </w:rPr>
                    <w:t>0.03</w:t>
                  </w:r>
                </w:p>
              </w:tc>
              <w:tc>
                <w:tcPr>
                  <w:tcW w:w="848" w:type="pct"/>
                  <w:vMerge w:val="restart"/>
                  <w:tcBorders>
                    <w:left w:val="single" w:color="auto" w:sz="2" w:space="0"/>
                    <w:right w:val="single" w:color="auto" w:sz="2" w:space="0"/>
                  </w:tcBorders>
                  <w:vAlign w:val="center"/>
                </w:tcPr>
                <w:p>
                  <w:pPr>
                    <w:widowControl/>
                    <w:jc w:val="center"/>
                    <w:rPr>
                      <w:szCs w:val="21"/>
                    </w:rPr>
                  </w:pPr>
                  <w:r>
                    <w:rPr>
                      <w:rFonts w:hAnsi="宋体"/>
                      <w:szCs w:val="21"/>
                    </w:rPr>
                    <w:t>危险废物</w:t>
                  </w:r>
                </w:p>
              </w:tc>
              <w:tc>
                <w:tcPr>
                  <w:tcW w:w="1016" w:type="pct"/>
                  <w:tcBorders>
                    <w:top w:val="single" w:color="auto" w:sz="2" w:space="0"/>
                    <w:left w:val="single" w:color="auto" w:sz="2" w:space="0"/>
                    <w:bottom w:val="single" w:color="auto" w:sz="2" w:space="0"/>
                    <w:right w:val="single" w:color="auto" w:sz="4" w:space="0"/>
                  </w:tcBorders>
                  <w:vAlign w:val="center"/>
                </w:tcPr>
                <w:p>
                  <w:pPr>
                    <w:topLinePunct/>
                    <w:adjustRightInd w:val="0"/>
                    <w:snapToGrid w:val="0"/>
                    <w:jc w:val="center"/>
                    <w:rPr>
                      <w:spacing w:val="-10"/>
                      <w:szCs w:val="21"/>
                    </w:rPr>
                  </w:pPr>
                  <w:r>
                    <w:rPr>
                      <w:spacing w:val="-10"/>
                      <w:szCs w:val="21"/>
                    </w:rPr>
                    <w:t>HW08：</w:t>
                  </w:r>
                  <w:r>
                    <w:rPr>
                      <w:spacing w:val="-10"/>
                    </w:rPr>
                    <w:t>900-217-08</w:t>
                  </w:r>
                </w:p>
              </w:tc>
              <w:tc>
                <w:tcPr>
                  <w:tcW w:w="1702" w:type="pct"/>
                  <w:tcBorders>
                    <w:top w:val="single" w:color="auto" w:sz="2" w:space="0"/>
                    <w:left w:val="single" w:color="auto" w:sz="4" w:space="0"/>
                    <w:bottom w:val="single" w:color="auto" w:sz="2" w:space="0"/>
                    <w:right w:val="single" w:color="auto" w:sz="2" w:space="0"/>
                  </w:tcBorders>
                  <w:vAlign w:val="center"/>
                </w:tcPr>
                <w:p>
                  <w:pPr>
                    <w:pStyle w:val="25"/>
                    <w:spacing w:after="0" w:line="240" w:lineRule="auto"/>
                    <w:ind w:left="0" w:leftChars="0"/>
                    <w:jc w:val="center"/>
                    <w:rPr>
                      <w:szCs w:val="21"/>
                    </w:rPr>
                  </w:pPr>
                  <w:r>
                    <w:rPr>
                      <w:rFonts w:hAnsi="宋体"/>
                      <w:szCs w:val="21"/>
                    </w:rPr>
                    <w:t>废油桶收集，用于其它井站配制油基泥浆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841" w:type="pct"/>
                  <w:tcBorders>
                    <w:top w:val="single" w:color="auto" w:sz="2" w:space="0"/>
                    <w:left w:val="single" w:color="auto" w:sz="2" w:space="0"/>
                    <w:bottom w:val="single" w:color="auto" w:sz="2" w:space="0"/>
                    <w:right w:val="single" w:color="auto" w:sz="2" w:space="0"/>
                  </w:tcBorders>
                  <w:vAlign w:val="center"/>
                </w:tcPr>
                <w:p>
                  <w:pPr>
                    <w:topLinePunct/>
                    <w:adjustRightInd w:val="0"/>
                    <w:snapToGrid w:val="0"/>
                    <w:jc w:val="center"/>
                    <w:rPr>
                      <w:spacing w:val="-10"/>
                      <w:kern w:val="0"/>
                      <w:szCs w:val="21"/>
                    </w:rPr>
                  </w:pPr>
                  <w:r>
                    <w:rPr>
                      <w:rFonts w:hAnsi="宋体"/>
                      <w:spacing w:val="-10"/>
                      <w:kern w:val="0"/>
                      <w:szCs w:val="21"/>
                    </w:rPr>
                    <w:t>废油桶</w:t>
                  </w:r>
                </w:p>
              </w:tc>
              <w:tc>
                <w:tcPr>
                  <w:tcW w:w="593" w:type="pct"/>
                  <w:tcBorders>
                    <w:top w:val="single" w:color="auto" w:sz="2" w:space="0"/>
                    <w:left w:val="single" w:color="auto" w:sz="2" w:space="0"/>
                    <w:bottom w:val="single" w:color="auto" w:sz="2" w:space="0"/>
                    <w:right w:val="single" w:color="auto" w:sz="2" w:space="0"/>
                  </w:tcBorders>
                  <w:vAlign w:val="center"/>
                </w:tcPr>
                <w:p>
                  <w:pPr>
                    <w:topLinePunct/>
                    <w:adjustRightInd w:val="0"/>
                    <w:snapToGrid w:val="0"/>
                    <w:jc w:val="center"/>
                    <w:rPr>
                      <w:spacing w:val="-10"/>
                      <w:kern w:val="0"/>
                      <w:szCs w:val="21"/>
                    </w:rPr>
                  </w:pPr>
                  <w:r>
                    <w:rPr>
                      <w:spacing w:val="-10"/>
                      <w:kern w:val="0"/>
                      <w:szCs w:val="21"/>
                    </w:rPr>
                    <w:t>0.06</w:t>
                  </w:r>
                </w:p>
              </w:tc>
              <w:tc>
                <w:tcPr>
                  <w:tcW w:w="848" w:type="pct"/>
                  <w:vMerge w:val="continue"/>
                  <w:tcBorders>
                    <w:left w:val="single" w:color="auto" w:sz="2" w:space="0"/>
                    <w:right w:val="single" w:color="auto" w:sz="2" w:space="0"/>
                  </w:tcBorders>
                  <w:vAlign w:val="center"/>
                </w:tcPr>
                <w:p>
                  <w:pPr>
                    <w:widowControl/>
                    <w:jc w:val="center"/>
                    <w:rPr>
                      <w:szCs w:val="21"/>
                    </w:rPr>
                  </w:pPr>
                </w:p>
              </w:tc>
              <w:tc>
                <w:tcPr>
                  <w:tcW w:w="1016" w:type="pct"/>
                  <w:tcBorders>
                    <w:top w:val="single" w:color="auto" w:sz="2" w:space="0"/>
                    <w:left w:val="single" w:color="auto" w:sz="2" w:space="0"/>
                    <w:bottom w:val="single" w:color="auto" w:sz="4" w:space="0"/>
                    <w:right w:val="single" w:color="auto" w:sz="4" w:space="0"/>
                  </w:tcBorders>
                  <w:vAlign w:val="center"/>
                </w:tcPr>
                <w:p>
                  <w:pPr>
                    <w:topLinePunct/>
                    <w:adjustRightInd w:val="0"/>
                    <w:snapToGrid w:val="0"/>
                    <w:jc w:val="center"/>
                    <w:rPr>
                      <w:spacing w:val="-10"/>
                      <w:szCs w:val="21"/>
                    </w:rPr>
                  </w:pPr>
                  <w:r>
                    <w:rPr>
                      <w:spacing w:val="-10"/>
                      <w:szCs w:val="21"/>
                    </w:rPr>
                    <w:t>HW08：</w:t>
                  </w:r>
                  <w:r>
                    <w:rPr>
                      <w:rFonts w:hint="eastAsia"/>
                      <w:spacing w:val="-10"/>
                      <w:szCs w:val="21"/>
                    </w:rPr>
                    <w:t>900-249-08</w:t>
                  </w:r>
                </w:p>
              </w:tc>
              <w:tc>
                <w:tcPr>
                  <w:tcW w:w="1702" w:type="pct"/>
                  <w:vMerge w:val="restart"/>
                  <w:tcBorders>
                    <w:top w:val="single" w:color="auto" w:sz="2" w:space="0"/>
                    <w:left w:val="single" w:color="auto" w:sz="4" w:space="0"/>
                    <w:right w:val="single" w:color="auto" w:sz="2" w:space="0"/>
                  </w:tcBorders>
                  <w:vAlign w:val="center"/>
                </w:tcPr>
                <w:p>
                  <w:pPr>
                    <w:pStyle w:val="25"/>
                    <w:spacing w:after="0" w:line="240" w:lineRule="auto"/>
                    <w:ind w:left="0" w:leftChars="0"/>
                    <w:jc w:val="center"/>
                    <w:rPr>
                      <w:szCs w:val="21"/>
                    </w:rPr>
                  </w:pPr>
                  <w:r>
                    <w:rPr>
                      <w:rFonts w:hAnsi="宋体"/>
                      <w:szCs w:val="21"/>
                    </w:rPr>
                    <w:t>废油桶收集暂存于危废暂存间，交有资质单位进行处置</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841" w:type="pct"/>
                  <w:tcBorders>
                    <w:top w:val="single" w:color="auto" w:sz="2" w:space="0"/>
                    <w:left w:val="single" w:color="auto" w:sz="2" w:space="0"/>
                    <w:bottom w:val="single" w:color="auto" w:sz="2" w:space="0"/>
                    <w:right w:val="single" w:color="auto" w:sz="2" w:space="0"/>
                  </w:tcBorders>
                  <w:vAlign w:val="center"/>
                </w:tcPr>
                <w:p>
                  <w:pPr>
                    <w:topLinePunct/>
                    <w:adjustRightInd w:val="0"/>
                    <w:snapToGrid w:val="0"/>
                    <w:jc w:val="center"/>
                    <w:rPr>
                      <w:spacing w:val="-10"/>
                      <w:kern w:val="0"/>
                      <w:szCs w:val="21"/>
                    </w:rPr>
                  </w:pPr>
                  <w:r>
                    <w:rPr>
                      <w:rFonts w:hAnsi="宋体"/>
                      <w:spacing w:val="-10"/>
                      <w:kern w:val="0"/>
                      <w:szCs w:val="21"/>
                    </w:rPr>
                    <w:t>废棉纱</w:t>
                  </w:r>
                  <w:r>
                    <w:rPr>
                      <w:spacing w:val="-10"/>
                      <w:kern w:val="0"/>
                      <w:szCs w:val="21"/>
                    </w:rPr>
                    <w:t>/</w:t>
                  </w:r>
                  <w:r>
                    <w:rPr>
                      <w:rFonts w:hAnsi="宋体"/>
                      <w:spacing w:val="-10"/>
                      <w:kern w:val="0"/>
                      <w:szCs w:val="21"/>
                    </w:rPr>
                    <w:t>手套</w:t>
                  </w:r>
                </w:p>
              </w:tc>
              <w:tc>
                <w:tcPr>
                  <w:tcW w:w="593" w:type="pct"/>
                  <w:tcBorders>
                    <w:top w:val="single" w:color="auto" w:sz="2" w:space="0"/>
                    <w:left w:val="single" w:color="auto" w:sz="2" w:space="0"/>
                    <w:bottom w:val="single" w:color="auto" w:sz="2" w:space="0"/>
                    <w:right w:val="single" w:color="auto" w:sz="2" w:space="0"/>
                  </w:tcBorders>
                  <w:vAlign w:val="center"/>
                </w:tcPr>
                <w:p>
                  <w:pPr>
                    <w:topLinePunct/>
                    <w:adjustRightInd w:val="0"/>
                    <w:snapToGrid w:val="0"/>
                    <w:jc w:val="center"/>
                    <w:rPr>
                      <w:spacing w:val="-10"/>
                      <w:kern w:val="0"/>
                      <w:szCs w:val="21"/>
                    </w:rPr>
                  </w:pPr>
                  <w:r>
                    <w:rPr>
                      <w:spacing w:val="-10"/>
                      <w:kern w:val="0"/>
                      <w:szCs w:val="21"/>
                    </w:rPr>
                    <w:t>0.2</w:t>
                  </w:r>
                </w:p>
              </w:tc>
              <w:tc>
                <w:tcPr>
                  <w:tcW w:w="848" w:type="pct"/>
                  <w:vMerge w:val="continue"/>
                  <w:tcBorders>
                    <w:left w:val="single" w:color="auto" w:sz="2" w:space="0"/>
                    <w:bottom w:val="single" w:color="auto" w:sz="2" w:space="0"/>
                    <w:right w:val="single" w:color="auto" w:sz="2" w:space="0"/>
                  </w:tcBorders>
                  <w:vAlign w:val="center"/>
                </w:tcPr>
                <w:p>
                  <w:pPr>
                    <w:widowControl/>
                    <w:jc w:val="center"/>
                    <w:rPr>
                      <w:szCs w:val="21"/>
                    </w:rPr>
                  </w:pPr>
                </w:p>
              </w:tc>
              <w:tc>
                <w:tcPr>
                  <w:tcW w:w="1016" w:type="pct"/>
                  <w:tcBorders>
                    <w:top w:val="single" w:color="auto" w:sz="4" w:space="0"/>
                    <w:left w:val="single" w:color="auto" w:sz="2" w:space="0"/>
                    <w:bottom w:val="single" w:color="auto" w:sz="2" w:space="0"/>
                    <w:right w:val="single" w:color="auto" w:sz="4" w:space="0"/>
                  </w:tcBorders>
                  <w:vAlign w:val="center"/>
                </w:tcPr>
                <w:p>
                  <w:pPr>
                    <w:topLinePunct/>
                    <w:adjustRightInd w:val="0"/>
                    <w:snapToGrid w:val="0"/>
                    <w:jc w:val="center"/>
                    <w:rPr>
                      <w:spacing w:val="-10"/>
                      <w:szCs w:val="21"/>
                    </w:rPr>
                  </w:pPr>
                  <w:r>
                    <w:rPr>
                      <w:spacing w:val="-10"/>
                      <w:szCs w:val="21"/>
                    </w:rPr>
                    <w:t>HW49</w:t>
                  </w:r>
                  <w:r>
                    <w:rPr>
                      <w:rFonts w:hAnsi="宋体"/>
                      <w:spacing w:val="-10"/>
                      <w:szCs w:val="21"/>
                    </w:rPr>
                    <w:t>：</w:t>
                  </w:r>
                  <w:r>
                    <w:rPr>
                      <w:spacing w:val="-10"/>
                      <w:szCs w:val="21"/>
                    </w:rPr>
                    <w:t>900-041-49</w:t>
                  </w:r>
                </w:p>
              </w:tc>
              <w:tc>
                <w:tcPr>
                  <w:tcW w:w="1702" w:type="pct"/>
                  <w:vMerge w:val="continue"/>
                  <w:tcBorders>
                    <w:left w:val="single" w:color="auto" w:sz="4" w:space="0"/>
                    <w:bottom w:val="single" w:color="auto" w:sz="2" w:space="0"/>
                    <w:right w:val="single" w:color="auto" w:sz="2" w:space="0"/>
                  </w:tcBorders>
                  <w:vAlign w:val="center"/>
                </w:tcPr>
                <w:p>
                  <w:pPr>
                    <w:pStyle w:val="25"/>
                    <w:spacing w:after="0" w:line="240" w:lineRule="auto"/>
                    <w:jc w:val="center"/>
                    <w:rPr>
                      <w:rFonts w:hAnsi="宋体"/>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841" w:type="pct"/>
                  <w:tcBorders>
                    <w:top w:val="single" w:color="auto" w:sz="2" w:space="0"/>
                    <w:left w:val="single" w:color="auto" w:sz="2" w:space="0"/>
                    <w:bottom w:val="single" w:color="auto" w:sz="2" w:space="0"/>
                    <w:right w:val="single" w:color="auto" w:sz="2" w:space="0"/>
                  </w:tcBorders>
                  <w:vAlign w:val="center"/>
                </w:tcPr>
                <w:p>
                  <w:pPr>
                    <w:pStyle w:val="25"/>
                    <w:spacing w:after="0" w:line="240" w:lineRule="auto"/>
                    <w:ind w:left="0" w:leftChars="0"/>
                    <w:jc w:val="center"/>
                    <w:rPr>
                      <w:szCs w:val="21"/>
                    </w:rPr>
                  </w:pPr>
                  <w:r>
                    <w:rPr>
                      <w:rFonts w:hAnsi="宋体"/>
                      <w:szCs w:val="21"/>
                    </w:rPr>
                    <w:t>废包装材料</w:t>
                  </w:r>
                </w:p>
              </w:tc>
              <w:tc>
                <w:tcPr>
                  <w:tcW w:w="593" w:type="pct"/>
                  <w:tcBorders>
                    <w:top w:val="single" w:color="auto" w:sz="2" w:space="0"/>
                    <w:left w:val="single" w:color="auto" w:sz="2" w:space="0"/>
                    <w:bottom w:val="single" w:color="auto" w:sz="2" w:space="0"/>
                    <w:right w:val="single" w:color="auto" w:sz="2" w:space="0"/>
                  </w:tcBorders>
                  <w:vAlign w:val="center"/>
                </w:tcPr>
                <w:p>
                  <w:pPr>
                    <w:pStyle w:val="25"/>
                    <w:spacing w:after="0" w:line="240" w:lineRule="auto"/>
                    <w:ind w:left="0" w:leftChars="0"/>
                    <w:jc w:val="center"/>
                    <w:rPr>
                      <w:szCs w:val="21"/>
                    </w:rPr>
                  </w:pPr>
                  <w:r>
                    <w:rPr>
                      <w:szCs w:val="21"/>
                    </w:rPr>
                    <w:t>0.3</w:t>
                  </w:r>
                </w:p>
              </w:tc>
              <w:tc>
                <w:tcPr>
                  <w:tcW w:w="848" w:type="pct"/>
                  <w:tcBorders>
                    <w:top w:val="single" w:color="auto" w:sz="2" w:space="0"/>
                    <w:left w:val="single" w:color="auto" w:sz="2" w:space="0"/>
                    <w:bottom w:val="single" w:color="auto" w:sz="2" w:space="0"/>
                    <w:right w:val="single" w:color="auto" w:sz="2" w:space="0"/>
                  </w:tcBorders>
                  <w:vAlign w:val="center"/>
                </w:tcPr>
                <w:p>
                  <w:pPr>
                    <w:pStyle w:val="25"/>
                    <w:spacing w:after="0" w:line="240" w:lineRule="auto"/>
                    <w:ind w:left="0" w:leftChars="0"/>
                    <w:jc w:val="center"/>
                    <w:rPr>
                      <w:szCs w:val="21"/>
                    </w:rPr>
                  </w:pPr>
                  <w:r>
                    <w:rPr>
                      <w:rFonts w:hAnsi="宋体"/>
                      <w:szCs w:val="21"/>
                    </w:rPr>
                    <w:t>一般固废</w:t>
                  </w:r>
                </w:p>
              </w:tc>
              <w:tc>
                <w:tcPr>
                  <w:tcW w:w="1016" w:type="pct"/>
                  <w:tcBorders>
                    <w:top w:val="single" w:color="auto" w:sz="2" w:space="0"/>
                    <w:left w:val="single" w:color="auto" w:sz="2" w:space="0"/>
                    <w:bottom w:val="single" w:color="auto" w:sz="2" w:space="0"/>
                    <w:right w:val="single" w:color="auto" w:sz="4" w:space="0"/>
                  </w:tcBorders>
                  <w:vAlign w:val="center"/>
                </w:tcPr>
                <w:p>
                  <w:pPr>
                    <w:pStyle w:val="25"/>
                    <w:spacing w:after="0" w:line="240" w:lineRule="auto"/>
                    <w:ind w:left="0" w:leftChars="0"/>
                    <w:jc w:val="center"/>
                    <w:rPr>
                      <w:szCs w:val="21"/>
                    </w:rPr>
                  </w:pPr>
                  <w:r>
                    <w:rPr>
                      <w:rFonts w:hint="eastAsia"/>
                      <w:szCs w:val="21"/>
                    </w:rPr>
                    <w:t>900-999-99</w:t>
                  </w:r>
                </w:p>
              </w:tc>
              <w:tc>
                <w:tcPr>
                  <w:tcW w:w="1702" w:type="pct"/>
                  <w:tcBorders>
                    <w:top w:val="single" w:color="auto" w:sz="2" w:space="0"/>
                    <w:left w:val="single" w:color="auto" w:sz="4" w:space="0"/>
                    <w:bottom w:val="single" w:color="auto" w:sz="2" w:space="0"/>
                    <w:right w:val="single" w:color="auto" w:sz="2" w:space="0"/>
                  </w:tcBorders>
                  <w:vAlign w:val="center"/>
                </w:tcPr>
                <w:p>
                  <w:pPr>
                    <w:pStyle w:val="25"/>
                    <w:spacing w:after="0" w:line="240" w:lineRule="auto"/>
                    <w:ind w:left="0" w:leftChars="0"/>
                    <w:jc w:val="center"/>
                    <w:rPr>
                      <w:szCs w:val="21"/>
                    </w:rPr>
                  </w:pPr>
                  <w:r>
                    <w:rPr>
                      <w:rFonts w:hAnsi="宋体"/>
                      <w:szCs w:val="21"/>
                    </w:rPr>
                    <w:t>收集后定期运至就近的废品回收站进行处理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841" w:type="pct"/>
                  <w:tcBorders>
                    <w:top w:val="single" w:color="auto" w:sz="2" w:space="0"/>
                    <w:left w:val="single" w:color="auto" w:sz="2" w:space="0"/>
                    <w:bottom w:val="single" w:color="auto" w:sz="2" w:space="0"/>
                    <w:right w:val="single" w:color="auto" w:sz="2" w:space="0"/>
                  </w:tcBorders>
                  <w:vAlign w:val="center"/>
                </w:tcPr>
                <w:p>
                  <w:pPr>
                    <w:pStyle w:val="25"/>
                    <w:spacing w:after="0" w:line="240" w:lineRule="auto"/>
                    <w:ind w:left="0" w:leftChars="0"/>
                    <w:jc w:val="center"/>
                    <w:rPr>
                      <w:szCs w:val="21"/>
                    </w:rPr>
                  </w:pPr>
                  <w:r>
                    <w:rPr>
                      <w:rFonts w:hAnsi="宋体"/>
                      <w:szCs w:val="21"/>
                    </w:rPr>
                    <w:t>生活垃圾</w:t>
                  </w:r>
                </w:p>
              </w:tc>
              <w:tc>
                <w:tcPr>
                  <w:tcW w:w="593" w:type="pct"/>
                  <w:tcBorders>
                    <w:top w:val="single" w:color="auto" w:sz="2" w:space="0"/>
                    <w:left w:val="single" w:color="auto" w:sz="2" w:space="0"/>
                    <w:bottom w:val="single" w:color="auto" w:sz="2" w:space="0"/>
                    <w:right w:val="single" w:color="auto" w:sz="2" w:space="0"/>
                  </w:tcBorders>
                  <w:vAlign w:val="center"/>
                </w:tcPr>
                <w:p>
                  <w:pPr>
                    <w:pStyle w:val="25"/>
                    <w:spacing w:after="0" w:line="240" w:lineRule="auto"/>
                    <w:ind w:left="0" w:leftChars="0"/>
                    <w:jc w:val="center"/>
                    <w:rPr>
                      <w:szCs w:val="21"/>
                    </w:rPr>
                  </w:pPr>
                  <w:r>
                    <w:rPr>
                      <w:szCs w:val="21"/>
                    </w:rPr>
                    <w:t>0.6</w:t>
                  </w:r>
                </w:p>
              </w:tc>
              <w:tc>
                <w:tcPr>
                  <w:tcW w:w="848" w:type="pct"/>
                  <w:tcBorders>
                    <w:top w:val="single" w:color="auto" w:sz="2" w:space="0"/>
                    <w:left w:val="single" w:color="auto" w:sz="2" w:space="0"/>
                    <w:bottom w:val="single" w:color="auto" w:sz="2" w:space="0"/>
                    <w:right w:val="single" w:color="auto" w:sz="2" w:space="0"/>
                  </w:tcBorders>
                  <w:vAlign w:val="center"/>
                </w:tcPr>
                <w:p>
                  <w:pPr>
                    <w:pStyle w:val="25"/>
                    <w:spacing w:after="0" w:line="240" w:lineRule="auto"/>
                    <w:ind w:left="0" w:leftChars="0"/>
                    <w:jc w:val="center"/>
                    <w:rPr>
                      <w:szCs w:val="21"/>
                    </w:rPr>
                  </w:pPr>
                  <w:r>
                    <w:rPr>
                      <w:rFonts w:hAnsi="宋体"/>
                      <w:szCs w:val="21"/>
                    </w:rPr>
                    <w:t>生活垃圾</w:t>
                  </w:r>
                </w:p>
              </w:tc>
              <w:tc>
                <w:tcPr>
                  <w:tcW w:w="1016" w:type="pct"/>
                  <w:tcBorders>
                    <w:top w:val="single" w:color="auto" w:sz="2" w:space="0"/>
                    <w:left w:val="single" w:color="auto" w:sz="2" w:space="0"/>
                    <w:bottom w:val="single" w:color="auto" w:sz="2" w:space="0"/>
                    <w:right w:val="single" w:color="auto" w:sz="4" w:space="0"/>
                  </w:tcBorders>
                  <w:vAlign w:val="center"/>
                </w:tcPr>
                <w:p>
                  <w:pPr>
                    <w:pStyle w:val="25"/>
                    <w:spacing w:after="0" w:line="240" w:lineRule="auto"/>
                    <w:ind w:left="0" w:leftChars="0"/>
                    <w:jc w:val="center"/>
                    <w:rPr>
                      <w:szCs w:val="21"/>
                    </w:rPr>
                  </w:pPr>
                  <w:r>
                    <w:rPr>
                      <w:rFonts w:hint="eastAsia"/>
                      <w:szCs w:val="21"/>
                    </w:rPr>
                    <w:t>900-999-99</w:t>
                  </w:r>
                </w:p>
              </w:tc>
              <w:tc>
                <w:tcPr>
                  <w:tcW w:w="1702" w:type="pct"/>
                  <w:tcBorders>
                    <w:top w:val="single" w:color="auto" w:sz="2" w:space="0"/>
                    <w:left w:val="single" w:color="auto" w:sz="4" w:space="0"/>
                    <w:bottom w:val="single" w:color="auto" w:sz="2" w:space="0"/>
                    <w:right w:val="single" w:color="auto" w:sz="2" w:space="0"/>
                  </w:tcBorders>
                  <w:vAlign w:val="center"/>
                </w:tcPr>
                <w:p>
                  <w:pPr>
                    <w:pStyle w:val="25"/>
                    <w:spacing w:after="0" w:line="240" w:lineRule="auto"/>
                    <w:jc w:val="center"/>
                    <w:rPr>
                      <w:szCs w:val="21"/>
                    </w:rPr>
                  </w:pPr>
                  <w:r>
                    <w:rPr>
                      <w:rFonts w:hAnsi="宋体"/>
                      <w:szCs w:val="21"/>
                    </w:rPr>
                    <w:t>垃圾桶集中收集后，交当地环卫部门处理</w:t>
                  </w:r>
                </w:p>
              </w:tc>
            </w:tr>
          </w:tbl>
          <w:p>
            <w:pPr>
              <w:adjustRightInd w:val="0"/>
              <w:snapToGrid w:val="0"/>
              <w:spacing w:line="360" w:lineRule="auto"/>
              <w:ind w:firstLine="420" w:firstLineChars="200"/>
              <w:rPr>
                <w:bCs/>
                <w:szCs w:val="21"/>
              </w:rPr>
            </w:pPr>
          </w:p>
          <w:p>
            <w:pPr>
              <w:adjustRightInd w:val="0"/>
              <w:snapToGrid w:val="0"/>
              <w:spacing w:line="360" w:lineRule="auto"/>
              <w:ind w:firstLine="420" w:firstLineChars="200"/>
              <w:rPr>
                <w:bCs/>
                <w:szCs w:val="21"/>
              </w:rPr>
            </w:pPr>
            <w:r>
              <w:rPr>
                <w:bCs/>
                <w:szCs w:val="21"/>
              </w:rPr>
              <w:t>根据上表，完井测试期间各类固废分类收集，得到有效处置，</w:t>
            </w:r>
            <w:r>
              <w:rPr>
                <w:rFonts w:hint="eastAsia"/>
                <w:bCs/>
                <w:szCs w:val="21"/>
              </w:rPr>
              <w:t>可合理处置各类固废，对周围环境不会造成污染影响。</w:t>
            </w:r>
          </w:p>
          <w:p>
            <w:pPr>
              <w:spacing w:line="360" w:lineRule="auto"/>
              <w:rPr>
                <w:b/>
                <w:bCs/>
                <w:szCs w:val="21"/>
              </w:rPr>
            </w:pPr>
            <w:r>
              <w:rPr>
                <w:b/>
                <w:bCs/>
                <w:szCs w:val="21"/>
              </w:rPr>
              <w:t>4.4地下水环境影响分析</w:t>
            </w:r>
          </w:p>
          <w:p>
            <w:pPr>
              <w:spacing w:line="360" w:lineRule="auto"/>
              <w:ind w:firstLine="420" w:firstLineChars="200"/>
              <w:rPr>
                <w:bCs/>
                <w:szCs w:val="21"/>
              </w:rPr>
            </w:pPr>
            <w:r>
              <w:rPr>
                <w:rFonts w:hint="eastAsia"/>
                <w:bCs/>
                <w:szCs w:val="21"/>
              </w:rPr>
              <w:t>根据地下水环境影响评价专题报告可知，事故工况下，应急池废水泄漏在</w:t>
            </w:r>
            <w:r>
              <w:rPr>
                <w:bCs/>
                <w:szCs w:val="21"/>
              </w:rPr>
              <w:t>3650</w:t>
            </w:r>
            <w:r>
              <w:rPr>
                <w:rFonts w:hint="eastAsia"/>
                <w:bCs/>
                <w:szCs w:val="21"/>
              </w:rPr>
              <w:t>天内污染物COD</w:t>
            </w:r>
            <w:r>
              <w:rPr>
                <w:bCs/>
                <w:szCs w:val="21"/>
              </w:rPr>
              <w:t>、氯化物、石油类均无超标现场</w:t>
            </w:r>
            <w:r>
              <w:rPr>
                <w:rFonts w:hint="eastAsia"/>
                <w:bCs/>
                <w:szCs w:val="21"/>
              </w:rPr>
              <w:t>。项目所处的位置，地下水径流速度慢，含水层有效孔隙度小，污染物扩散速度较慢，污染影响范围小，且水文地质条件简单，一旦事故发生后可以有足够的时间来处理，并可达到良好的效果，对居民饮用水井的影响可接受。</w:t>
            </w:r>
          </w:p>
          <w:p>
            <w:pPr>
              <w:spacing w:line="360" w:lineRule="auto"/>
              <w:ind w:firstLine="422" w:firstLineChars="200"/>
              <w:rPr>
                <w:szCs w:val="21"/>
              </w:rPr>
            </w:pPr>
            <w:r>
              <w:rPr>
                <w:rFonts w:hint="eastAsia"/>
                <w:b/>
                <w:bCs/>
                <w:szCs w:val="21"/>
              </w:rPr>
              <w:t>项目地下水环境影响分析详见《地下水环境影响评价专题报告》</w:t>
            </w:r>
            <w:r>
              <w:rPr>
                <w:szCs w:val="21"/>
              </w:rPr>
              <w:t>。</w:t>
            </w:r>
          </w:p>
          <w:p>
            <w:pPr>
              <w:spacing w:line="360" w:lineRule="auto"/>
              <w:rPr>
                <w:b/>
                <w:bCs/>
                <w:szCs w:val="21"/>
              </w:rPr>
            </w:pPr>
            <w:r>
              <w:rPr>
                <w:b/>
                <w:bCs/>
                <w:szCs w:val="21"/>
              </w:rPr>
              <w:t>4.5环境风险影响分析</w:t>
            </w:r>
          </w:p>
          <w:p>
            <w:pPr>
              <w:spacing w:line="360" w:lineRule="auto"/>
              <w:ind w:firstLine="420" w:firstLineChars="200"/>
              <w:rPr>
                <w:szCs w:val="21"/>
              </w:rPr>
            </w:pPr>
            <w:r>
              <w:rPr>
                <w:rFonts w:hint="eastAsia" w:ascii="宋体" w:hAnsi="宋体" w:cs="宋体"/>
                <w:szCs w:val="21"/>
              </w:rPr>
              <w:t>（1）</w:t>
            </w:r>
            <w:r>
              <w:rPr>
                <w:szCs w:val="21"/>
              </w:rPr>
              <w:t>井喷失控天然气泄漏环境风险</w:t>
            </w:r>
          </w:p>
          <w:p>
            <w:pPr>
              <w:spacing w:line="360" w:lineRule="auto"/>
              <w:ind w:firstLine="420" w:firstLineChars="200"/>
              <w:rPr>
                <w:szCs w:val="21"/>
              </w:rPr>
            </w:pPr>
            <w:r>
              <w:rPr>
                <w:szCs w:val="21"/>
              </w:rPr>
              <w:t>设计在钻井现场配备自动、手动和高压高能电子点火三套独立点火系统，按照</w:t>
            </w:r>
            <w:r>
              <w:rPr>
                <w:rFonts w:hint="eastAsia"/>
                <w:szCs w:val="21"/>
              </w:rPr>
              <w:t>建设单位</w:t>
            </w:r>
            <w:r>
              <w:rPr>
                <w:szCs w:val="21"/>
              </w:rPr>
              <w:t>对发生井喷环境风险事故时的井控管理要求，在出现井喷事故征兆时，现场作业人员应立即进行点火准备工作</w:t>
            </w:r>
            <w:r>
              <w:rPr>
                <w:rFonts w:ascii="宋体" w:hAnsi="宋体"/>
                <w:szCs w:val="21"/>
              </w:rPr>
              <w:t>”</w:t>
            </w:r>
            <w:r>
              <w:rPr>
                <w:szCs w:val="21"/>
              </w:rPr>
              <w:t>。事故状态下在15min内启动点火程序实施点火，井场内同时配备自动、手动和高压高能电子点火三套独立点火系统，可确保按要求在井喷失控后15min内成功实施点火作业，环境风险可控。</w:t>
            </w:r>
          </w:p>
          <w:p>
            <w:pPr>
              <w:spacing w:line="360" w:lineRule="auto"/>
              <w:ind w:firstLine="420" w:firstLineChars="200"/>
              <w:rPr>
                <w:szCs w:val="21"/>
              </w:rPr>
            </w:pPr>
            <w:r>
              <w:rPr>
                <w:rFonts w:hint="eastAsia" w:ascii="宋体" w:hAnsi="宋体" w:cs="宋体"/>
                <w:szCs w:val="21"/>
              </w:rPr>
              <w:t>（2）</w:t>
            </w:r>
            <w:r>
              <w:rPr>
                <w:szCs w:val="21"/>
              </w:rPr>
              <w:t>套管破裂天然气窜层泄漏进入地表环境风险影响分析</w:t>
            </w:r>
          </w:p>
          <w:p>
            <w:pPr>
              <w:spacing w:line="360" w:lineRule="auto"/>
              <w:ind w:firstLine="420" w:firstLineChars="200"/>
              <w:rPr>
                <w:szCs w:val="21"/>
              </w:rPr>
            </w:pPr>
            <w:r>
              <w:rPr>
                <w:szCs w:val="21"/>
              </w:rPr>
              <w:t>套管破裂在钻井中出现的几率非常小，在严把质量关的前提下发生该事故的几率极其小，主要表现为可燃气体的泄漏遇火爆炸环境风险。由于通过地下岩层的阻隔，事故发生后窜层泄漏进入地表的量、压力、速率比井喷量小很多，影响程度比井喷小很多。</w:t>
            </w:r>
          </w:p>
          <w:p>
            <w:pPr>
              <w:spacing w:line="360" w:lineRule="auto"/>
              <w:ind w:firstLine="420" w:firstLineChars="200"/>
              <w:rPr>
                <w:szCs w:val="21"/>
              </w:rPr>
            </w:pPr>
            <w:r>
              <w:rPr>
                <w:rFonts w:hint="eastAsia" w:ascii="宋体" w:hAnsi="宋体" w:cs="宋体"/>
                <w:szCs w:val="21"/>
              </w:rPr>
              <w:t>（3）</w:t>
            </w:r>
            <w:r>
              <w:rPr>
                <w:szCs w:val="21"/>
              </w:rPr>
              <w:t>钻井泥浆漏失环境风险</w:t>
            </w:r>
          </w:p>
          <w:p>
            <w:pPr>
              <w:spacing w:line="360" w:lineRule="auto"/>
              <w:ind w:firstLine="420" w:firstLineChars="200"/>
              <w:rPr>
                <w:szCs w:val="21"/>
              </w:rPr>
            </w:pPr>
            <w:r>
              <w:rPr>
                <w:szCs w:val="21"/>
              </w:rPr>
              <w:t>井漏是钻井过程中遇到复杂地层，钻井液或其他介质（固井水泥浆等）漏入地层孔隙、裂缝等空间的现象。若漏失地层与含水层之间存在较多的断裂或裂隙，漏失的钻井液就有可能顺着岩层断裂、裂隙进入地下水，造成地下水污染。</w:t>
            </w:r>
          </w:p>
          <w:p>
            <w:pPr>
              <w:spacing w:line="360" w:lineRule="auto"/>
              <w:ind w:firstLine="420" w:firstLineChars="200"/>
              <w:rPr>
                <w:szCs w:val="21"/>
              </w:rPr>
            </w:pPr>
            <w:r>
              <w:rPr>
                <w:rFonts w:hint="eastAsia" w:ascii="宋体" w:hAnsi="宋体" w:cs="宋体"/>
                <w:szCs w:val="21"/>
              </w:rPr>
              <w:t>（4）</w:t>
            </w:r>
            <w:r>
              <w:rPr>
                <w:szCs w:val="21"/>
              </w:rPr>
              <w:t>柴油泄漏环境风险</w:t>
            </w:r>
          </w:p>
          <w:p>
            <w:pPr>
              <w:spacing w:line="360" w:lineRule="auto"/>
              <w:ind w:firstLine="420" w:firstLineChars="200"/>
              <w:rPr>
                <w:szCs w:val="21"/>
              </w:rPr>
            </w:pPr>
            <w:r>
              <w:rPr>
                <w:szCs w:val="21"/>
              </w:rPr>
              <w:t>油罐密闭，柴油发生大量泄漏的几率很小，一般情况管道阀门泄漏，少量跑冒漏滴均收集在隔油池内，可有效进行防止污染。罐体破裂导致柴油大量泄漏的机率很小，发生时可能污染罐体周边土壤、地表水及地下水，对生态环境造成影响。</w:t>
            </w:r>
          </w:p>
          <w:p>
            <w:pPr>
              <w:spacing w:line="360" w:lineRule="auto"/>
              <w:ind w:firstLine="420" w:firstLineChars="200"/>
              <w:rPr>
                <w:szCs w:val="21"/>
              </w:rPr>
            </w:pPr>
            <w:r>
              <w:rPr>
                <w:rFonts w:hint="eastAsia" w:ascii="宋体" w:hAnsi="宋体" w:cs="宋体"/>
                <w:szCs w:val="21"/>
              </w:rPr>
              <w:t>（5）</w:t>
            </w:r>
            <w:r>
              <w:rPr>
                <w:szCs w:val="21"/>
              </w:rPr>
              <w:t>压裂前置酸</w:t>
            </w:r>
            <w:r>
              <w:rPr>
                <w:color w:val="auto"/>
                <w:szCs w:val="21"/>
              </w:rPr>
              <w:t>泄漏</w:t>
            </w:r>
            <w:r>
              <w:rPr>
                <w:szCs w:val="21"/>
              </w:rPr>
              <w:t>事故影响分析</w:t>
            </w:r>
          </w:p>
          <w:p>
            <w:pPr>
              <w:spacing w:line="360" w:lineRule="auto"/>
              <w:ind w:firstLine="420" w:firstLineChars="200"/>
              <w:rPr>
                <w:szCs w:val="21"/>
              </w:rPr>
            </w:pPr>
            <w:r>
              <w:rPr>
                <w:szCs w:val="21"/>
              </w:rPr>
              <w:t>钻井至目的层下套管固井射孔后，采用盐酸作为前置液，对岩层进行侵蚀。现场用酸由具有相关资质的单位用玻璃钢罐车拉运至现场使用，在井场内采用玻璃内衬钢罐临时储存。酸发生泄漏后的影响将引起土壤酸化，破坏土壤的结构，危害植物生长。</w:t>
            </w:r>
          </w:p>
          <w:p>
            <w:pPr>
              <w:spacing w:line="360" w:lineRule="auto"/>
              <w:ind w:firstLine="420" w:firstLineChars="200"/>
              <w:rPr>
                <w:szCs w:val="21"/>
              </w:rPr>
            </w:pPr>
            <w:r>
              <w:rPr>
                <w:rFonts w:hint="eastAsia" w:ascii="宋体" w:hAnsi="宋体" w:cs="宋体"/>
                <w:szCs w:val="21"/>
              </w:rPr>
              <w:t>（6）</w:t>
            </w:r>
            <w:r>
              <w:rPr>
                <w:rFonts w:hint="eastAsia"/>
                <w:szCs w:val="21"/>
              </w:rPr>
              <w:t>应急池</w:t>
            </w:r>
            <w:r>
              <w:rPr>
                <w:szCs w:val="21"/>
              </w:rPr>
              <w:t>废水外溢等环境风险</w:t>
            </w:r>
          </w:p>
          <w:p>
            <w:pPr>
              <w:spacing w:line="360" w:lineRule="auto"/>
              <w:ind w:firstLine="420" w:firstLineChars="200"/>
              <w:rPr>
                <w:szCs w:val="21"/>
              </w:rPr>
            </w:pPr>
            <w:r>
              <w:rPr>
                <w:szCs w:val="21"/>
              </w:rPr>
              <w:t>本工程</w:t>
            </w:r>
            <w:r>
              <w:rPr>
                <w:rFonts w:hint="eastAsia"/>
                <w:szCs w:val="21"/>
              </w:rPr>
              <w:t>应急池</w:t>
            </w:r>
            <w:r>
              <w:rPr>
                <w:szCs w:val="21"/>
              </w:rPr>
              <w:t>为半地下式结构，发生泄漏事故的可能性小，发生</w:t>
            </w:r>
            <w:r>
              <w:rPr>
                <w:color w:val="auto"/>
                <w:szCs w:val="21"/>
              </w:rPr>
              <w:t>泄漏时</w:t>
            </w:r>
            <w:r>
              <w:rPr>
                <w:szCs w:val="21"/>
              </w:rPr>
              <w:t>主要的环境影响为对</w:t>
            </w:r>
            <w:r>
              <w:rPr>
                <w:rFonts w:hint="eastAsia"/>
                <w:szCs w:val="21"/>
              </w:rPr>
              <w:t>应急池</w:t>
            </w:r>
            <w:r>
              <w:rPr>
                <w:szCs w:val="21"/>
              </w:rPr>
              <w:t>附近土壤、地表水及地下水产生污染影响。本项目</w:t>
            </w:r>
            <w:r>
              <w:rPr>
                <w:rFonts w:hint="eastAsia"/>
                <w:szCs w:val="21"/>
              </w:rPr>
              <w:t>应急池</w:t>
            </w:r>
            <w:r>
              <w:rPr>
                <w:szCs w:val="21"/>
              </w:rPr>
              <w:t>临时贮存的废水</w:t>
            </w:r>
            <w:r>
              <w:rPr>
                <w:rFonts w:hint="eastAsia"/>
                <w:szCs w:val="21"/>
              </w:rPr>
              <w:t>，</w:t>
            </w:r>
            <w:r>
              <w:rPr>
                <w:szCs w:val="21"/>
              </w:rPr>
              <w:t>泄漏的废水中pH值呈碱性、可溶性盐含量高、含石油类，影响土壤的结构，危害植物生长。</w:t>
            </w:r>
          </w:p>
          <w:p>
            <w:pPr>
              <w:spacing w:line="360" w:lineRule="auto"/>
              <w:ind w:firstLine="420" w:firstLineChars="200"/>
              <w:rPr>
                <w:szCs w:val="21"/>
              </w:rPr>
            </w:pPr>
            <w:r>
              <w:rPr>
                <w:rFonts w:hint="eastAsia"/>
                <w:szCs w:val="21"/>
              </w:rPr>
              <w:t>（7）集液池废水外溢环境风险</w:t>
            </w:r>
          </w:p>
          <w:p>
            <w:pPr>
              <w:spacing w:line="360" w:lineRule="auto"/>
              <w:ind w:firstLine="420" w:firstLineChars="200"/>
              <w:rPr>
                <w:szCs w:val="21"/>
              </w:rPr>
            </w:pPr>
            <w:r>
              <w:rPr>
                <w:rFonts w:hint="eastAsia"/>
                <w:szCs w:val="21"/>
              </w:rPr>
              <w:t>本项目测试放喷过程中将产生部分返排液，由集液池暂存后泵入应急池内暂存，根据现场调查，集液池为半地下式结构，且放喷过程中及时关注集液池内空间情况，集液池已做重点防渗，发生泄漏事故的可能性较小。</w:t>
            </w:r>
            <w:r>
              <w:rPr>
                <w:szCs w:val="21"/>
              </w:rPr>
              <w:t>发生泄漏时主要的环境影响为对</w:t>
            </w:r>
            <w:r>
              <w:rPr>
                <w:rFonts w:hint="eastAsia"/>
                <w:szCs w:val="21"/>
              </w:rPr>
              <w:t>应急池</w:t>
            </w:r>
            <w:r>
              <w:rPr>
                <w:szCs w:val="21"/>
              </w:rPr>
              <w:t>附近土壤、地表水及地下水产生污染影响。</w:t>
            </w:r>
            <w:r>
              <w:rPr>
                <w:rFonts w:hint="eastAsia"/>
                <w:szCs w:val="21"/>
              </w:rPr>
              <w:t>返排液</w:t>
            </w:r>
            <w:r>
              <w:rPr>
                <w:szCs w:val="21"/>
              </w:rPr>
              <w:t>中pH值呈</w:t>
            </w:r>
            <w:r>
              <w:rPr>
                <w:rFonts w:hint="eastAsia"/>
                <w:szCs w:val="21"/>
              </w:rPr>
              <w:t>酸性</w:t>
            </w:r>
            <w:r>
              <w:rPr>
                <w:szCs w:val="21"/>
              </w:rPr>
              <w:t>、可溶性盐含量高、含石油类，影响土壤的结构，危害植物生长</w:t>
            </w:r>
            <w:r>
              <w:rPr>
                <w:rFonts w:hint="eastAsia"/>
                <w:szCs w:val="21"/>
              </w:rPr>
              <w:t>。</w:t>
            </w:r>
          </w:p>
          <w:p>
            <w:pPr>
              <w:spacing w:line="360" w:lineRule="auto"/>
              <w:ind w:firstLine="420" w:firstLineChars="200"/>
              <w:rPr>
                <w:szCs w:val="21"/>
              </w:rPr>
            </w:pPr>
            <w:r>
              <w:rPr>
                <w:rFonts w:hint="eastAsia" w:ascii="宋体" w:hAnsi="宋体" w:cs="宋体"/>
                <w:szCs w:val="21"/>
              </w:rPr>
              <w:t>（</w:t>
            </w:r>
            <w:r>
              <w:rPr>
                <w:rFonts w:ascii="宋体" w:hAnsi="宋体" w:cs="宋体"/>
                <w:szCs w:val="21"/>
              </w:rPr>
              <w:t>8</w:t>
            </w:r>
            <w:r>
              <w:rPr>
                <w:rFonts w:hint="eastAsia" w:ascii="宋体" w:hAnsi="宋体" w:cs="宋体"/>
                <w:szCs w:val="21"/>
              </w:rPr>
              <w:t>）</w:t>
            </w:r>
            <w:r>
              <w:rPr>
                <w:szCs w:val="21"/>
              </w:rPr>
              <w:t>废水外运过程事故影响分析</w:t>
            </w:r>
          </w:p>
          <w:p>
            <w:pPr>
              <w:spacing w:line="360" w:lineRule="auto"/>
              <w:ind w:firstLine="420" w:firstLineChars="200"/>
              <w:rPr>
                <w:szCs w:val="21"/>
              </w:rPr>
            </w:pPr>
            <w:r>
              <w:rPr>
                <w:szCs w:val="21"/>
              </w:rPr>
              <w:t>本项目压裂返排液外运处理，运输过程中可能会发生事故泄漏风险而产生环境影响。压裂返排液转运采用罐体装载污水，罐体为钢板密封罐，发生翻车泄漏的机率很小；压裂返排液罐车转运过程中发生事故污染的可能性极小，在环境所能接受的范围内。</w:t>
            </w:r>
          </w:p>
          <w:p>
            <w:pPr>
              <w:spacing w:line="360" w:lineRule="auto"/>
              <w:ind w:firstLine="420" w:firstLineChars="200"/>
              <w:rPr>
                <w:szCs w:val="21"/>
              </w:rPr>
            </w:pPr>
            <w:r>
              <w:rPr>
                <w:rFonts w:hint="eastAsia"/>
                <w:szCs w:val="21"/>
              </w:rPr>
              <w:t>详见环境风险专项分析。</w:t>
            </w:r>
          </w:p>
          <w:p>
            <w:pPr>
              <w:spacing w:line="360" w:lineRule="auto"/>
              <w:rPr>
                <w:szCs w:val="21"/>
              </w:rPr>
            </w:pPr>
            <w:r>
              <w:rPr>
                <w:b/>
                <w:bCs/>
                <w:szCs w:val="21"/>
              </w:rPr>
              <w:t>4.6土壤环境影响分析</w:t>
            </w:r>
          </w:p>
          <w:p>
            <w:pPr>
              <w:spacing w:line="360" w:lineRule="auto"/>
              <w:rPr>
                <w:b/>
                <w:bCs/>
                <w:szCs w:val="21"/>
              </w:rPr>
            </w:pPr>
            <w:r>
              <w:rPr>
                <w:b/>
                <w:bCs/>
                <w:szCs w:val="21"/>
              </w:rPr>
              <w:t>4.6.1影响途径</w:t>
            </w:r>
          </w:p>
          <w:p>
            <w:pPr>
              <w:spacing w:line="360" w:lineRule="auto"/>
              <w:ind w:firstLine="420" w:firstLineChars="200"/>
              <w:rPr>
                <w:szCs w:val="21"/>
              </w:rPr>
            </w:pPr>
            <w:r>
              <w:rPr>
                <w:szCs w:val="21"/>
              </w:rPr>
              <w:t>本项目施工期对土壤的影响主要有两方面，一是工程排放的污染物对土壤质地性状的影响，对土壤的污染主要是落地油污、钻井泥浆等泄漏后可能导致土壤污染；二是工程建设钻井和地面工程建设的开挖、填埋对土壤结构的破坏，挖掘、碾压、践踏及堆积物等均会使土壤结构破坏，土壤生产力下降。土壤环境影响类型与影响途径表见下表。</w:t>
            </w:r>
          </w:p>
          <w:p>
            <w:pPr>
              <w:pStyle w:val="19"/>
              <w:widowControl w:val="0"/>
              <w:tabs>
                <w:tab w:val="left" w:pos="0"/>
                <w:tab w:val="left" w:pos="833"/>
              </w:tabs>
              <w:spacing w:before="0" w:after="0" w:line="360" w:lineRule="auto"/>
              <w:ind w:left="420" w:right="0"/>
              <w:jc w:val="center"/>
              <w:rPr>
                <w:b/>
                <w:sz w:val="21"/>
                <w:szCs w:val="21"/>
              </w:rPr>
            </w:pPr>
            <w:r>
              <w:rPr>
                <w:rFonts w:hint="eastAsia"/>
                <w:b/>
                <w:sz w:val="21"/>
                <w:szCs w:val="21"/>
              </w:rPr>
              <w:t xml:space="preserve">表4-25 </w:t>
            </w:r>
            <w:r>
              <w:rPr>
                <w:b/>
                <w:sz w:val="21"/>
                <w:szCs w:val="21"/>
              </w:rPr>
              <w:t>建设项目土壤环境影响类型与影响途径表</w:t>
            </w:r>
          </w:p>
          <w:tbl>
            <w:tblPr>
              <w:tblStyle w:val="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939"/>
              <w:gridCol w:w="1538"/>
              <w:gridCol w:w="1647"/>
              <w:gridCol w:w="1440"/>
              <w:gridCol w:w="12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1" w:hRule="atLeast"/>
                <w:jc w:val="center"/>
              </w:trPr>
              <w:tc>
                <w:tcPr>
                  <w:tcW w:w="1939" w:type="dxa"/>
                  <w:vMerge w:val="restart"/>
                  <w:vAlign w:val="center"/>
                </w:tcPr>
                <w:p>
                  <w:pPr>
                    <w:pStyle w:val="249"/>
                    <w:jc w:val="center"/>
                    <w:rPr>
                      <w:rFonts w:ascii="Times New Roman" w:hAnsi="Times New Roman" w:cs="Times New Roman"/>
                      <w:szCs w:val="21"/>
                    </w:rPr>
                  </w:pPr>
                  <w:r>
                    <w:rPr>
                      <w:rFonts w:ascii="Times New Roman" w:hAnsi="Times New Roman" w:eastAsia="宋体" w:cs="Times New Roman"/>
                      <w:szCs w:val="21"/>
                    </w:rPr>
                    <w:t>不同时段</w:t>
                  </w:r>
                </w:p>
              </w:tc>
              <w:tc>
                <w:tcPr>
                  <w:tcW w:w="5861" w:type="dxa"/>
                  <w:gridSpan w:val="4"/>
                  <w:vAlign w:val="center"/>
                </w:tcPr>
                <w:p>
                  <w:pPr>
                    <w:pStyle w:val="249"/>
                    <w:jc w:val="center"/>
                    <w:rPr>
                      <w:rFonts w:ascii="Times New Roman" w:hAnsi="Times New Roman" w:cs="Times New Roman"/>
                      <w:szCs w:val="21"/>
                    </w:rPr>
                  </w:pPr>
                  <w:r>
                    <w:rPr>
                      <w:rFonts w:ascii="Times New Roman" w:hAnsi="Times New Roman" w:eastAsia="宋体" w:cs="Times New Roman"/>
                      <w:szCs w:val="21"/>
                    </w:rPr>
                    <w:t>污染影响型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1" w:hRule="atLeast"/>
                <w:jc w:val="center"/>
              </w:trPr>
              <w:tc>
                <w:tcPr>
                  <w:tcW w:w="1939" w:type="dxa"/>
                  <w:vMerge w:val="continue"/>
                  <w:vAlign w:val="center"/>
                </w:tcPr>
                <w:p>
                  <w:pPr>
                    <w:widowControl/>
                    <w:jc w:val="center"/>
                    <w:rPr>
                      <w:szCs w:val="21"/>
                      <w:lang w:val="zh-CN" w:bidi="zh-CN"/>
                    </w:rPr>
                  </w:pPr>
                </w:p>
              </w:tc>
              <w:tc>
                <w:tcPr>
                  <w:tcW w:w="1538" w:type="dxa"/>
                  <w:vAlign w:val="center"/>
                </w:tcPr>
                <w:p>
                  <w:pPr>
                    <w:pStyle w:val="249"/>
                    <w:jc w:val="center"/>
                    <w:rPr>
                      <w:rFonts w:ascii="Times New Roman" w:hAnsi="Times New Roman" w:cs="Times New Roman"/>
                      <w:szCs w:val="21"/>
                    </w:rPr>
                  </w:pPr>
                  <w:r>
                    <w:rPr>
                      <w:rFonts w:ascii="Times New Roman" w:hAnsi="Times New Roman" w:eastAsia="宋体" w:cs="Times New Roman"/>
                      <w:szCs w:val="21"/>
                    </w:rPr>
                    <w:t>大气沉降</w:t>
                  </w:r>
                </w:p>
              </w:tc>
              <w:tc>
                <w:tcPr>
                  <w:tcW w:w="1647" w:type="dxa"/>
                  <w:vAlign w:val="center"/>
                </w:tcPr>
                <w:p>
                  <w:pPr>
                    <w:pStyle w:val="249"/>
                    <w:jc w:val="center"/>
                    <w:rPr>
                      <w:rFonts w:ascii="Times New Roman" w:hAnsi="Times New Roman" w:cs="Times New Roman"/>
                      <w:szCs w:val="21"/>
                    </w:rPr>
                  </w:pPr>
                  <w:r>
                    <w:rPr>
                      <w:rFonts w:ascii="Times New Roman" w:hAnsi="Times New Roman" w:eastAsia="宋体" w:cs="Times New Roman"/>
                      <w:szCs w:val="21"/>
                    </w:rPr>
                    <w:t>地面漫流</w:t>
                  </w:r>
                </w:p>
              </w:tc>
              <w:tc>
                <w:tcPr>
                  <w:tcW w:w="1440" w:type="dxa"/>
                  <w:vAlign w:val="center"/>
                </w:tcPr>
                <w:p>
                  <w:pPr>
                    <w:pStyle w:val="249"/>
                    <w:jc w:val="center"/>
                    <w:rPr>
                      <w:rFonts w:ascii="Times New Roman" w:hAnsi="Times New Roman" w:cs="Times New Roman"/>
                      <w:szCs w:val="21"/>
                    </w:rPr>
                  </w:pPr>
                  <w:r>
                    <w:rPr>
                      <w:rFonts w:ascii="Times New Roman" w:hAnsi="Times New Roman" w:eastAsia="宋体" w:cs="Times New Roman"/>
                      <w:szCs w:val="21"/>
                    </w:rPr>
                    <w:t>垂直入渗</w:t>
                  </w:r>
                </w:p>
              </w:tc>
              <w:tc>
                <w:tcPr>
                  <w:tcW w:w="1233" w:type="dxa"/>
                  <w:vAlign w:val="center"/>
                </w:tcPr>
                <w:p>
                  <w:pPr>
                    <w:pStyle w:val="249"/>
                    <w:jc w:val="center"/>
                    <w:rPr>
                      <w:rFonts w:ascii="Times New Roman" w:hAnsi="Times New Roman" w:cs="Times New Roman"/>
                      <w:szCs w:val="21"/>
                    </w:rPr>
                  </w:pPr>
                  <w:r>
                    <w:rPr>
                      <w:rFonts w:ascii="Times New Roman" w:hAnsi="Times New Roman" w:eastAsia="宋体" w:cs="Times New Roman"/>
                      <w:szCs w:val="21"/>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1" w:hRule="atLeast"/>
                <w:jc w:val="center"/>
              </w:trPr>
              <w:tc>
                <w:tcPr>
                  <w:tcW w:w="1939" w:type="dxa"/>
                  <w:vAlign w:val="center"/>
                </w:tcPr>
                <w:p>
                  <w:pPr>
                    <w:pStyle w:val="249"/>
                    <w:jc w:val="center"/>
                    <w:rPr>
                      <w:rFonts w:ascii="Times New Roman" w:hAnsi="Times New Roman" w:cs="Times New Roman"/>
                      <w:szCs w:val="21"/>
                    </w:rPr>
                  </w:pPr>
                  <w:r>
                    <w:rPr>
                      <w:rFonts w:ascii="Times New Roman" w:hAnsi="Times New Roman" w:eastAsia="宋体" w:cs="Times New Roman"/>
                      <w:szCs w:val="21"/>
                    </w:rPr>
                    <w:t>钻井期</w:t>
                  </w:r>
                </w:p>
              </w:tc>
              <w:tc>
                <w:tcPr>
                  <w:tcW w:w="1538" w:type="dxa"/>
                  <w:vAlign w:val="center"/>
                </w:tcPr>
                <w:p>
                  <w:pPr>
                    <w:pStyle w:val="249"/>
                    <w:jc w:val="center"/>
                    <w:rPr>
                      <w:rFonts w:ascii="Times New Roman" w:hAnsi="Times New Roman" w:eastAsia="等线" w:cs="Times New Roman"/>
                      <w:szCs w:val="21"/>
                    </w:rPr>
                  </w:pPr>
                  <w:r>
                    <w:rPr>
                      <w:rFonts w:ascii="Times New Roman" w:hAnsi="Times New Roman" w:eastAsia="等线" w:cs="Times New Roman"/>
                      <w:szCs w:val="21"/>
                    </w:rPr>
                    <w:t>-</w:t>
                  </w:r>
                </w:p>
              </w:tc>
              <w:tc>
                <w:tcPr>
                  <w:tcW w:w="1647" w:type="dxa"/>
                  <w:vAlign w:val="center"/>
                </w:tcPr>
                <w:p>
                  <w:pPr>
                    <w:pStyle w:val="249"/>
                    <w:jc w:val="center"/>
                    <w:rPr>
                      <w:rFonts w:ascii="Times New Roman" w:hAnsi="Times New Roman" w:cs="Times New Roman"/>
                      <w:szCs w:val="21"/>
                    </w:rPr>
                  </w:pPr>
                  <w:r>
                    <w:rPr>
                      <w:rFonts w:ascii="Times New Roman" w:hAnsi="Times New Roman" w:cs="Times New Roman"/>
                      <w:szCs w:val="21"/>
                    </w:rPr>
                    <w:t>√</w:t>
                  </w:r>
                </w:p>
              </w:tc>
              <w:tc>
                <w:tcPr>
                  <w:tcW w:w="1440" w:type="dxa"/>
                  <w:vAlign w:val="center"/>
                </w:tcPr>
                <w:p>
                  <w:pPr>
                    <w:pStyle w:val="249"/>
                    <w:jc w:val="center"/>
                    <w:rPr>
                      <w:rFonts w:ascii="Times New Roman" w:hAnsi="Times New Roman" w:cs="Times New Roman"/>
                      <w:szCs w:val="21"/>
                    </w:rPr>
                  </w:pPr>
                  <w:r>
                    <w:rPr>
                      <w:rFonts w:ascii="Times New Roman" w:hAnsi="Times New Roman" w:cs="Times New Roman"/>
                      <w:szCs w:val="21"/>
                    </w:rPr>
                    <w:t>√</w:t>
                  </w:r>
                </w:p>
              </w:tc>
              <w:tc>
                <w:tcPr>
                  <w:tcW w:w="1233" w:type="dxa"/>
                  <w:vAlign w:val="center"/>
                </w:tcPr>
                <w:p>
                  <w:pPr>
                    <w:pStyle w:val="249"/>
                    <w:jc w:val="center"/>
                    <w:rPr>
                      <w:rFonts w:ascii="Times New Roman" w:hAnsi="Times New Roman" w:eastAsia="等线" w:cs="Times New Roman"/>
                      <w:szCs w:val="21"/>
                    </w:rPr>
                  </w:pPr>
                  <w:r>
                    <w:rPr>
                      <w:rFonts w:ascii="Times New Roman" w:hAnsi="Times New Roman" w:eastAsia="等线" w:cs="Times New Roman"/>
                      <w:szCs w:val="21"/>
                    </w:rPr>
                    <w:t>-</w:t>
                  </w:r>
                </w:p>
              </w:tc>
            </w:tr>
          </w:tbl>
          <w:p>
            <w:pPr>
              <w:spacing w:line="360" w:lineRule="auto"/>
              <w:rPr>
                <w:b/>
                <w:bCs/>
                <w:szCs w:val="21"/>
              </w:rPr>
            </w:pPr>
            <w:r>
              <w:rPr>
                <w:b/>
                <w:bCs/>
                <w:szCs w:val="21"/>
              </w:rPr>
              <w:t>4.6.2影响源与影响因子</w:t>
            </w:r>
          </w:p>
          <w:p>
            <w:pPr>
              <w:spacing w:line="360" w:lineRule="auto"/>
              <w:ind w:firstLine="420" w:firstLineChars="200"/>
              <w:jc w:val="left"/>
              <w:rPr>
                <w:szCs w:val="21"/>
              </w:rPr>
            </w:pPr>
            <w:r>
              <w:rPr>
                <w:kern w:val="0"/>
                <w:szCs w:val="21"/>
                <w:lang w:bidi="ar"/>
              </w:rPr>
              <w:t>根据工程分析，项目的主要土壤影响源为井场</w:t>
            </w:r>
            <w:r>
              <w:rPr>
                <w:szCs w:val="21"/>
              </w:rPr>
              <w:t>污染区（泥浆循环区、井口区、动力机组区、清洁生产操作平台）废水、固废入渗影响，应急池废水的入渗影响，油罐区废水的入渗影响</w:t>
            </w:r>
            <w:r>
              <w:rPr>
                <w:rFonts w:hint="eastAsia"/>
                <w:szCs w:val="21"/>
              </w:rPr>
              <w:t>，</w:t>
            </w:r>
            <w:r>
              <w:rPr>
                <w:szCs w:val="21"/>
              </w:rPr>
              <w:t>井场区雨水的漫流影响。</w:t>
            </w:r>
          </w:p>
          <w:p>
            <w:pPr>
              <w:pStyle w:val="19"/>
              <w:widowControl w:val="0"/>
              <w:tabs>
                <w:tab w:val="left" w:pos="0"/>
                <w:tab w:val="left" w:pos="833"/>
              </w:tabs>
              <w:spacing w:before="0" w:after="0" w:line="360" w:lineRule="auto"/>
              <w:ind w:left="420" w:right="0"/>
              <w:jc w:val="center"/>
              <w:rPr>
                <w:b/>
                <w:sz w:val="21"/>
                <w:szCs w:val="21"/>
              </w:rPr>
            </w:pPr>
            <w:r>
              <w:rPr>
                <w:rFonts w:hint="eastAsia"/>
                <w:b/>
                <w:sz w:val="21"/>
                <w:szCs w:val="21"/>
              </w:rPr>
              <w:t>表4-</w:t>
            </w:r>
            <w:r>
              <w:rPr>
                <w:b/>
                <w:sz w:val="21"/>
                <w:szCs w:val="21"/>
              </w:rPr>
              <w:t>26 土壤环境影响源及影响因子识别表</w:t>
            </w:r>
          </w:p>
          <w:tbl>
            <w:tblPr>
              <w:tblStyle w:val="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331"/>
              <w:gridCol w:w="1515"/>
              <w:gridCol w:w="1101"/>
              <w:gridCol w:w="1627"/>
              <w:gridCol w:w="1430"/>
              <w:gridCol w:w="9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3" w:hRule="atLeast"/>
                <w:jc w:val="center"/>
              </w:trPr>
              <w:tc>
                <w:tcPr>
                  <w:tcW w:w="1331" w:type="dxa"/>
                  <w:vAlign w:val="center"/>
                </w:tcPr>
                <w:p>
                  <w:pPr>
                    <w:pStyle w:val="249"/>
                    <w:spacing w:before="41" w:line="280" w:lineRule="exact"/>
                    <w:ind w:firstLine="3"/>
                    <w:jc w:val="center"/>
                    <w:rPr>
                      <w:rFonts w:ascii="Times New Roman" w:hAnsi="Times New Roman" w:cs="Times New Roman"/>
                      <w:szCs w:val="21"/>
                    </w:rPr>
                  </w:pPr>
                  <w:r>
                    <w:rPr>
                      <w:rFonts w:ascii="Times New Roman" w:hAnsi="Times New Roman" w:eastAsia="宋体" w:cs="Times New Roman"/>
                      <w:szCs w:val="21"/>
                    </w:rPr>
                    <w:t>污染源</w:t>
                  </w:r>
                </w:p>
              </w:tc>
              <w:tc>
                <w:tcPr>
                  <w:tcW w:w="1515" w:type="dxa"/>
                  <w:vAlign w:val="center"/>
                </w:tcPr>
                <w:p>
                  <w:pPr>
                    <w:pStyle w:val="249"/>
                    <w:spacing w:before="41" w:line="280" w:lineRule="exact"/>
                    <w:ind w:firstLine="3"/>
                    <w:jc w:val="center"/>
                    <w:rPr>
                      <w:rFonts w:ascii="Times New Roman" w:hAnsi="Times New Roman" w:cs="Times New Roman"/>
                      <w:szCs w:val="21"/>
                    </w:rPr>
                  </w:pPr>
                  <w:r>
                    <w:rPr>
                      <w:rFonts w:ascii="Times New Roman" w:hAnsi="Times New Roman" w:eastAsia="宋体" w:cs="Times New Roman"/>
                      <w:szCs w:val="21"/>
                    </w:rPr>
                    <w:t>工艺流程</w:t>
                  </w:r>
                  <w:r>
                    <w:rPr>
                      <w:rFonts w:ascii="Times New Roman" w:hAnsi="Times New Roman" w:cs="Times New Roman"/>
                      <w:szCs w:val="21"/>
                    </w:rPr>
                    <w:t>/</w:t>
                  </w:r>
                  <w:r>
                    <w:rPr>
                      <w:rFonts w:ascii="Times New Roman" w:hAnsi="Times New Roman" w:eastAsia="宋体" w:cs="Times New Roman"/>
                      <w:szCs w:val="21"/>
                    </w:rPr>
                    <w:t>节点</w:t>
                  </w:r>
                </w:p>
              </w:tc>
              <w:tc>
                <w:tcPr>
                  <w:tcW w:w="1101" w:type="dxa"/>
                  <w:vAlign w:val="center"/>
                </w:tcPr>
                <w:p>
                  <w:pPr>
                    <w:pStyle w:val="249"/>
                    <w:spacing w:before="41" w:line="280" w:lineRule="exact"/>
                    <w:ind w:firstLine="3"/>
                    <w:jc w:val="center"/>
                    <w:rPr>
                      <w:rFonts w:ascii="Times New Roman" w:hAnsi="Times New Roman" w:cs="Times New Roman"/>
                      <w:szCs w:val="21"/>
                    </w:rPr>
                  </w:pPr>
                  <w:r>
                    <w:rPr>
                      <w:rFonts w:ascii="Times New Roman" w:hAnsi="Times New Roman" w:eastAsia="宋体" w:cs="Times New Roman"/>
                      <w:szCs w:val="21"/>
                    </w:rPr>
                    <w:t>污染途径</w:t>
                  </w:r>
                </w:p>
              </w:tc>
              <w:tc>
                <w:tcPr>
                  <w:tcW w:w="1627" w:type="dxa"/>
                  <w:vAlign w:val="center"/>
                </w:tcPr>
                <w:p>
                  <w:pPr>
                    <w:pStyle w:val="249"/>
                    <w:spacing w:before="41" w:line="280" w:lineRule="exact"/>
                    <w:ind w:firstLine="3"/>
                    <w:jc w:val="center"/>
                    <w:rPr>
                      <w:rFonts w:ascii="Times New Roman" w:hAnsi="Times New Roman" w:eastAsia="等线" w:cs="Times New Roman"/>
                      <w:szCs w:val="21"/>
                    </w:rPr>
                  </w:pPr>
                  <w:r>
                    <w:rPr>
                      <w:rFonts w:ascii="Times New Roman" w:hAnsi="Times New Roman" w:eastAsia="宋体" w:cs="Times New Roman"/>
                      <w:szCs w:val="21"/>
                    </w:rPr>
                    <w:t>全部污染物指标</w:t>
                  </w:r>
                </w:p>
              </w:tc>
              <w:tc>
                <w:tcPr>
                  <w:tcW w:w="1430" w:type="dxa"/>
                  <w:vAlign w:val="center"/>
                </w:tcPr>
                <w:p>
                  <w:pPr>
                    <w:pStyle w:val="249"/>
                    <w:spacing w:before="41" w:line="280" w:lineRule="exact"/>
                    <w:ind w:firstLine="3"/>
                    <w:jc w:val="center"/>
                    <w:rPr>
                      <w:rFonts w:ascii="Times New Roman" w:hAnsi="Times New Roman" w:cs="Times New Roman"/>
                      <w:szCs w:val="21"/>
                    </w:rPr>
                  </w:pPr>
                  <w:r>
                    <w:rPr>
                      <w:rFonts w:ascii="Times New Roman" w:hAnsi="Times New Roman" w:eastAsia="宋体" w:cs="Times New Roman"/>
                      <w:szCs w:val="21"/>
                    </w:rPr>
                    <w:t>特征因子</w:t>
                  </w:r>
                </w:p>
              </w:tc>
              <w:tc>
                <w:tcPr>
                  <w:tcW w:w="941" w:type="dxa"/>
                  <w:vAlign w:val="center"/>
                </w:tcPr>
                <w:p>
                  <w:pPr>
                    <w:pStyle w:val="249"/>
                    <w:spacing w:before="41" w:line="280" w:lineRule="exact"/>
                    <w:ind w:firstLine="3"/>
                    <w:jc w:val="center"/>
                    <w:rPr>
                      <w:rFonts w:ascii="Times New Roman" w:hAnsi="Times New Roman" w:eastAsia="等线" w:cs="Times New Roman"/>
                      <w:szCs w:val="21"/>
                    </w:rPr>
                  </w:pPr>
                  <w:r>
                    <w:rPr>
                      <w:rFonts w:ascii="Times New Roman" w:hAnsi="Times New Roman" w:eastAsia="宋体" w:cs="Times New Roman"/>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3" w:hRule="atLeast"/>
                <w:jc w:val="center"/>
              </w:trPr>
              <w:tc>
                <w:tcPr>
                  <w:tcW w:w="1331" w:type="dxa"/>
                  <w:vMerge w:val="restart"/>
                  <w:vAlign w:val="center"/>
                </w:tcPr>
                <w:p>
                  <w:pPr>
                    <w:pStyle w:val="249"/>
                    <w:spacing w:line="280" w:lineRule="exact"/>
                    <w:ind w:firstLine="3"/>
                    <w:jc w:val="center"/>
                    <w:rPr>
                      <w:rFonts w:ascii="Times New Roman" w:hAnsi="Times New Roman" w:cs="Times New Roman"/>
                      <w:szCs w:val="21"/>
                    </w:rPr>
                  </w:pPr>
                  <w:r>
                    <w:rPr>
                      <w:rFonts w:ascii="Times New Roman" w:hAnsi="Times New Roman" w:eastAsia="宋体" w:cs="Times New Roman"/>
                      <w:szCs w:val="21"/>
                    </w:rPr>
                    <w:t>井场</w:t>
                  </w:r>
                </w:p>
              </w:tc>
              <w:tc>
                <w:tcPr>
                  <w:tcW w:w="1515" w:type="dxa"/>
                  <w:vAlign w:val="center"/>
                </w:tcPr>
                <w:p>
                  <w:pPr>
                    <w:pStyle w:val="249"/>
                    <w:spacing w:line="280" w:lineRule="exact"/>
                    <w:ind w:firstLine="3"/>
                    <w:jc w:val="center"/>
                    <w:rPr>
                      <w:rFonts w:ascii="Times New Roman" w:hAnsi="Times New Roman" w:cs="Times New Roman"/>
                      <w:szCs w:val="21"/>
                    </w:rPr>
                  </w:pPr>
                  <w:r>
                    <w:rPr>
                      <w:rFonts w:ascii="Times New Roman" w:hAnsi="Times New Roman" w:eastAsia="宋体" w:cs="Times New Roman"/>
                      <w:szCs w:val="21"/>
                    </w:rPr>
                    <w:t>污染区（泥浆循环区、井口区、动力机组区、清洁生产操作平台）</w:t>
                  </w:r>
                </w:p>
              </w:tc>
              <w:tc>
                <w:tcPr>
                  <w:tcW w:w="1101" w:type="dxa"/>
                  <w:vAlign w:val="center"/>
                </w:tcPr>
                <w:p>
                  <w:pPr>
                    <w:pStyle w:val="249"/>
                    <w:spacing w:before="42" w:line="280" w:lineRule="exact"/>
                    <w:ind w:firstLine="3"/>
                    <w:jc w:val="center"/>
                    <w:rPr>
                      <w:rFonts w:ascii="Times New Roman" w:hAnsi="Times New Roman" w:cs="Times New Roman"/>
                      <w:szCs w:val="21"/>
                    </w:rPr>
                  </w:pPr>
                  <w:r>
                    <w:rPr>
                      <w:rFonts w:ascii="Times New Roman" w:hAnsi="Times New Roman" w:eastAsia="宋体" w:cs="Times New Roman"/>
                      <w:szCs w:val="21"/>
                    </w:rPr>
                    <w:t>垂直入渗</w:t>
                  </w:r>
                </w:p>
              </w:tc>
              <w:tc>
                <w:tcPr>
                  <w:tcW w:w="1627" w:type="dxa"/>
                  <w:vAlign w:val="center"/>
                </w:tcPr>
                <w:p>
                  <w:pPr>
                    <w:pStyle w:val="249"/>
                    <w:spacing w:line="280" w:lineRule="exact"/>
                    <w:ind w:firstLine="3"/>
                    <w:jc w:val="center"/>
                    <w:rPr>
                      <w:rFonts w:ascii="Times New Roman" w:hAnsi="Times New Roman" w:cs="Times New Roman"/>
                      <w:szCs w:val="21"/>
                    </w:rPr>
                  </w:pPr>
                  <w:r>
                    <w:rPr>
                      <w:rFonts w:ascii="Times New Roman" w:hAnsi="Times New Roman" w:cs="Times New Roman"/>
                      <w:szCs w:val="21"/>
                    </w:rPr>
                    <w:t>COD</w:t>
                  </w:r>
                  <w:r>
                    <w:rPr>
                      <w:rFonts w:ascii="Times New Roman" w:hAnsi="Times New Roman" w:eastAsia="宋体" w:cs="Times New Roman"/>
                      <w:szCs w:val="21"/>
                    </w:rPr>
                    <w:t>、</w:t>
                  </w:r>
                  <w:r>
                    <w:rPr>
                      <w:rFonts w:ascii="Times New Roman" w:hAnsi="Times New Roman" w:cs="Times New Roman"/>
                      <w:szCs w:val="21"/>
                    </w:rPr>
                    <w:t>SS</w:t>
                  </w:r>
                  <w:r>
                    <w:rPr>
                      <w:rFonts w:ascii="Times New Roman" w:hAnsi="Times New Roman" w:eastAsia="宋体" w:cs="Times New Roman"/>
                      <w:szCs w:val="21"/>
                    </w:rPr>
                    <w:t>、硫化物、石油类</w:t>
                  </w:r>
                </w:p>
              </w:tc>
              <w:tc>
                <w:tcPr>
                  <w:tcW w:w="1430" w:type="dxa"/>
                  <w:vAlign w:val="center"/>
                </w:tcPr>
                <w:p>
                  <w:pPr>
                    <w:pStyle w:val="249"/>
                    <w:spacing w:line="280" w:lineRule="exact"/>
                    <w:ind w:firstLine="3"/>
                    <w:jc w:val="center"/>
                    <w:rPr>
                      <w:rFonts w:ascii="Times New Roman" w:hAnsi="Times New Roman" w:cs="Times New Roman"/>
                      <w:szCs w:val="21"/>
                    </w:rPr>
                  </w:pPr>
                  <w:r>
                    <w:rPr>
                      <w:rFonts w:ascii="Times New Roman" w:hAnsi="Times New Roman" w:eastAsia="宋体" w:cs="Times New Roman"/>
                      <w:szCs w:val="21"/>
                    </w:rPr>
                    <w:t>石油烃、硫化物</w:t>
                  </w:r>
                </w:p>
              </w:tc>
              <w:tc>
                <w:tcPr>
                  <w:tcW w:w="941" w:type="dxa"/>
                  <w:vAlign w:val="center"/>
                </w:tcPr>
                <w:p>
                  <w:pPr>
                    <w:pStyle w:val="249"/>
                    <w:spacing w:line="280" w:lineRule="exact"/>
                    <w:ind w:firstLine="3"/>
                    <w:jc w:val="center"/>
                    <w:rPr>
                      <w:rFonts w:ascii="Times New Roman" w:hAnsi="Times New Roman" w:cs="Times New Roman"/>
                      <w:szCs w:val="21"/>
                    </w:rPr>
                  </w:pPr>
                  <w:r>
                    <w:rPr>
                      <w:rFonts w:ascii="Times New Roman" w:hAnsi="Times New Roman" w:eastAsia="宋体" w:cs="Times New Roman"/>
                      <w:szCs w:val="21"/>
                    </w:rPr>
                    <w:t>连续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3" w:hRule="atLeast"/>
                <w:jc w:val="center"/>
              </w:trPr>
              <w:tc>
                <w:tcPr>
                  <w:tcW w:w="1331" w:type="dxa"/>
                  <w:vMerge w:val="continue"/>
                  <w:vAlign w:val="center"/>
                </w:tcPr>
                <w:p>
                  <w:pPr>
                    <w:widowControl/>
                    <w:jc w:val="left"/>
                    <w:rPr>
                      <w:szCs w:val="21"/>
                      <w:lang w:val="zh-CN" w:bidi="zh-CN"/>
                    </w:rPr>
                  </w:pPr>
                </w:p>
              </w:tc>
              <w:tc>
                <w:tcPr>
                  <w:tcW w:w="1515" w:type="dxa"/>
                  <w:vMerge w:val="restart"/>
                  <w:vAlign w:val="center"/>
                </w:tcPr>
                <w:p>
                  <w:pPr>
                    <w:pStyle w:val="249"/>
                    <w:spacing w:line="280" w:lineRule="exact"/>
                    <w:ind w:firstLine="3"/>
                    <w:jc w:val="center"/>
                    <w:rPr>
                      <w:rFonts w:ascii="Times New Roman" w:hAnsi="Times New Roman" w:cs="Times New Roman"/>
                      <w:szCs w:val="21"/>
                    </w:rPr>
                  </w:pPr>
                  <w:r>
                    <w:rPr>
                      <w:rFonts w:ascii="Times New Roman" w:hAnsi="Times New Roman" w:eastAsia="宋体" w:cs="Times New Roman"/>
                      <w:szCs w:val="21"/>
                    </w:rPr>
                    <w:t>清洁区</w:t>
                  </w:r>
                </w:p>
              </w:tc>
              <w:tc>
                <w:tcPr>
                  <w:tcW w:w="1101" w:type="dxa"/>
                  <w:vAlign w:val="center"/>
                </w:tcPr>
                <w:p>
                  <w:pPr>
                    <w:pStyle w:val="249"/>
                    <w:spacing w:line="280" w:lineRule="exact"/>
                    <w:ind w:firstLine="3"/>
                    <w:jc w:val="center"/>
                    <w:rPr>
                      <w:rFonts w:ascii="Times New Roman" w:hAnsi="Times New Roman" w:cs="Times New Roman"/>
                      <w:szCs w:val="21"/>
                    </w:rPr>
                  </w:pPr>
                  <w:r>
                    <w:rPr>
                      <w:rFonts w:ascii="Times New Roman" w:hAnsi="Times New Roman" w:eastAsia="宋体" w:cs="Times New Roman"/>
                      <w:szCs w:val="21"/>
                    </w:rPr>
                    <w:t>垂直入渗</w:t>
                  </w:r>
                </w:p>
              </w:tc>
              <w:tc>
                <w:tcPr>
                  <w:tcW w:w="1627" w:type="dxa"/>
                  <w:vMerge w:val="restart"/>
                  <w:vAlign w:val="center"/>
                </w:tcPr>
                <w:p>
                  <w:pPr>
                    <w:pStyle w:val="249"/>
                    <w:spacing w:line="280" w:lineRule="exact"/>
                    <w:ind w:firstLine="3"/>
                    <w:jc w:val="center"/>
                    <w:rPr>
                      <w:rFonts w:ascii="Times New Roman" w:hAnsi="Times New Roman" w:cs="Times New Roman"/>
                      <w:szCs w:val="21"/>
                    </w:rPr>
                  </w:pPr>
                  <w:r>
                    <w:rPr>
                      <w:rFonts w:ascii="Times New Roman" w:hAnsi="Times New Roman" w:cs="Times New Roman"/>
                      <w:szCs w:val="21"/>
                    </w:rPr>
                    <w:t>COD</w:t>
                  </w:r>
                  <w:r>
                    <w:rPr>
                      <w:rFonts w:ascii="Times New Roman" w:hAnsi="Times New Roman" w:eastAsia="宋体" w:cs="Times New Roman"/>
                      <w:szCs w:val="21"/>
                    </w:rPr>
                    <w:t>、</w:t>
                  </w:r>
                  <w:r>
                    <w:rPr>
                      <w:rFonts w:ascii="Times New Roman" w:hAnsi="Times New Roman" w:cs="Times New Roman"/>
                      <w:szCs w:val="21"/>
                    </w:rPr>
                    <w:t>SS</w:t>
                  </w:r>
                  <w:r>
                    <w:rPr>
                      <w:rFonts w:ascii="Times New Roman" w:hAnsi="Times New Roman" w:eastAsia="宋体" w:cs="Times New Roman"/>
                      <w:szCs w:val="21"/>
                    </w:rPr>
                    <w:t>、硫化物、石油类</w:t>
                  </w:r>
                </w:p>
              </w:tc>
              <w:tc>
                <w:tcPr>
                  <w:tcW w:w="1430" w:type="dxa"/>
                  <w:vMerge w:val="restart"/>
                  <w:vAlign w:val="center"/>
                </w:tcPr>
                <w:p>
                  <w:pPr>
                    <w:pStyle w:val="249"/>
                    <w:spacing w:line="280" w:lineRule="exact"/>
                    <w:ind w:firstLine="3"/>
                    <w:jc w:val="center"/>
                    <w:rPr>
                      <w:rFonts w:ascii="Times New Roman" w:hAnsi="Times New Roman" w:cs="Times New Roman"/>
                      <w:szCs w:val="21"/>
                    </w:rPr>
                  </w:pPr>
                  <w:r>
                    <w:rPr>
                      <w:rFonts w:ascii="Times New Roman" w:hAnsi="Times New Roman" w:eastAsia="宋体" w:cs="Times New Roman"/>
                      <w:szCs w:val="21"/>
                    </w:rPr>
                    <w:t>石油烃、硫化物</w:t>
                  </w:r>
                </w:p>
              </w:tc>
              <w:tc>
                <w:tcPr>
                  <w:tcW w:w="941" w:type="dxa"/>
                  <w:vAlign w:val="center"/>
                </w:tcPr>
                <w:p>
                  <w:pPr>
                    <w:pStyle w:val="249"/>
                    <w:spacing w:line="280" w:lineRule="exact"/>
                    <w:ind w:firstLine="3"/>
                    <w:jc w:val="center"/>
                    <w:rPr>
                      <w:rFonts w:ascii="Times New Roman" w:hAnsi="Times New Roman" w:cs="Times New Roman"/>
                      <w:szCs w:val="21"/>
                    </w:rPr>
                  </w:pPr>
                  <w:r>
                    <w:rPr>
                      <w:rFonts w:ascii="Times New Roman" w:hAnsi="Times New Roman" w:eastAsia="宋体" w:cs="Times New Roman"/>
                      <w:szCs w:val="21"/>
                    </w:rPr>
                    <w:t>连续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3" w:hRule="atLeast"/>
                <w:jc w:val="center"/>
              </w:trPr>
              <w:tc>
                <w:tcPr>
                  <w:tcW w:w="1331" w:type="dxa"/>
                  <w:vMerge w:val="continue"/>
                  <w:vAlign w:val="center"/>
                </w:tcPr>
                <w:p>
                  <w:pPr>
                    <w:widowControl/>
                    <w:jc w:val="left"/>
                    <w:rPr>
                      <w:szCs w:val="21"/>
                      <w:lang w:val="zh-CN" w:bidi="zh-CN"/>
                    </w:rPr>
                  </w:pPr>
                </w:p>
              </w:tc>
              <w:tc>
                <w:tcPr>
                  <w:tcW w:w="1515" w:type="dxa"/>
                  <w:vMerge w:val="continue"/>
                  <w:vAlign w:val="center"/>
                </w:tcPr>
                <w:p>
                  <w:pPr>
                    <w:widowControl/>
                    <w:jc w:val="left"/>
                    <w:rPr>
                      <w:szCs w:val="21"/>
                      <w:lang w:val="zh-CN" w:bidi="zh-CN"/>
                    </w:rPr>
                  </w:pPr>
                </w:p>
              </w:tc>
              <w:tc>
                <w:tcPr>
                  <w:tcW w:w="1101" w:type="dxa"/>
                  <w:vAlign w:val="center"/>
                </w:tcPr>
                <w:p>
                  <w:pPr>
                    <w:pStyle w:val="249"/>
                    <w:spacing w:line="280" w:lineRule="exact"/>
                    <w:ind w:firstLine="3"/>
                    <w:jc w:val="center"/>
                    <w:rPr>
                      <w:rFonts w:ascii="Times New Roman" w:hAnsi="Times New Roman" w:cs="Times New Roman"/>
                      <w:szCs w:val="21"/>
                    </w:rPr>
                  </w:pPr>
                  <w:r>
                    <w:rPr>
                      <w:rFonts w:ascii="Times New Roman" w:hAnsi="Times New Roman" w:eastAsia="宋体" w:cs="Times New Roman"/>
                      <w:szCs w:val="21"/>
                    </w:rPr>
                    <w:t>地面漫流</w:t>
                  </w:r>
                </w:p>
              </w:tc>
              <w:tc>
                <w:tcPr>
                  <w:tcW w:w="1627" w:type="dxa"/>
                  <w:vMerge w:val="continue"/>
                  <w:vAlign w:val="center"/>
                </w:tcPr>
                <w:p>
                  <w:pPr>
                    <w:widowControl/>
                    <w:jc w:val="left"/>
                    <w:rPr>
                      <w:szCs w:val="21"/>
                      <w:lang w:val="zh-CN" w:bidi="zh-CN"/>
                    </w:rPr>
                  </w:pPr>
                </w:p>
              </w:tc>
              <w:tc>
                <w:tcPr>
                  <w:tcW w:w="1430" w:type="dxa"/>
                  <w:vMerge w:val="continue"/>
                  <w:vAlign w:val="center"/>
                </w:tcPr>
                <w:p>
                  <w:pPr>
                    <w:widowControl/>
                    <w:jc w:val="left"/>
                    <w:rPr>
                      <w:szCs w:val="21"/>
                      <w:lang w:val="zh-CN" w:bidi="zh-CN"/>
                    </w:rPr>
                  </w:pPr>
                </w:p>
              </w:tc>
              <w:tc>
                <w:tcPr>
                  <w:tcW w:w="941" w:type="dxa"/>
                  <w:vAlign w:val="center"/>
                </w:tcPr>
                <w:p>
                  <w:pPr>
                    <w:pStyle w:val="249"/>
                    <w:spacing w:line="280" w:lineRule="exact"/>
                    <w:ind w:firstLine="3"/>
                    <w:jc w:val="center"/>
                    <w:rPr>
                      <w:rFonts w:ascii="Times New Roman" w:hAnsi="Times New Roman" w:cs="Times New Roman"/>
                      <w:szCs w:val="21"/>
                    </w:rPr>
                  </w:pPr>
                  <w:r>
                    <w:rPr>
                      <w:rFonts w:ascii="Times New Roman" w:hAnsi="Times New Roman" w:eastAsia="宋体" w:cs="Times New Roman"/>
                      <w:szCs w:val="21"/>
                    </w:rPr>
                    <w:t>连续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3" w:hRule="atLeast"/>
                <w:jc w:val="center"/>
              </w:trPr>
              <w:tc>
                <w:tcPr>
                  <w:tcW w:w="1331" w:type="dxa"/>
                  <w:vAlign w:val="center"/>
                </w:tcPr>
                <w:p>
                  <w:pPr>
                    <w:pStyle w:val="249"/>
                    <w:spacing w:line="280" w:lineRule="exact"/>
                    <w:ind w:firstLine="3"/>
                    <w:jc w:val="center"/>
                    <w:rPr>
                      <w:rFonts w:ascii="Times New Roman" w:hAnsi="Times New Roman" w:cs="Times New Roman"/>
                      <w:szCs w:val="21"/>
                    </w:rPr>
                  </w:pPr>
                  <w:r>
                    <w:rPr>
                      <w:rFonts w:ascii="Times New Roman" w:hAnsi="Times New Roman" w:eastAsia="宋体" w:cs="Times New Roman"/>
                      <w:szCs w:val="21"/>
                    </w:rPr>
                    <w:t>应急池</w:t>
                  </w:r>
                </w:p>
              </w:tc>
              <w:tc>
                <w:tcPr>
                  <w:tcW w:w="1515" w:type="dxa"/>
                  <w:vAlign w:val="center"/>
                </w:tcPr>
                <w:p>
                  <w:pPr>
                    <w:pStyle w:val="249"/>
                    <w:spacing w:line="280" w:lineRule="exact"/>
                    <w:ind w:firstLine="3"/>
                    <w:jc w:val="center"/>
                    <w:rPr>
                      <w:rFonts w:ascii="Times New Roman" w:hAnsi="Times New Roman" w:eastAsia="宋体" w:cs="Times New Roman"/>
                      <w:szCs w:val="21"/>
                      <w:lang w:val="en-US"/>
                    </w:rPr>
                  </w:pPr>
                  <w:r>
                    <w:rPr>
                      <w:rFonts w:ascii="Times New Roman" w:hAnsi="Times New Roman" w:eastAsia="宋体" w:cs="Times New Roman"/>
                      <w:szCs w:val="21"/>
                      <w:lang w:val="en-US"/>
                    </w:rPr>
                    <w:t>/</w:t>
                  </w:r>
                </w:p>
              </w:tc>
              <w:tc>
                <w:tcPr>
                  <w:tcW w:w="1101" w:type="dxa"/>
                  <w:vAlign w:val="center"/>
                </w:tcPr>
                <w:p>
                  <w:pPr>
                    <w:pStyle w:val="249"/>
                    <w:spacing w:line="280" w:lineRule="exact"/>
                    <w:ind w:firstLine="3"/>
                    <w:jc w:val="center"/>
                    <w:rPr>
                      <w:rFonts w:ascii="Times New Roman" w:hAnsi="Times New Roman" w:cs="Times New Roman"/>
                      <w:szCs w:val="21"/>
                    </w:rPr>
                  </w:pPr>
                  <w:r>
                    <w:rPr>
                      <w:rFonts w:ascii="Times New Roman" w:hAnsi="Times New Roman" w:eastAsia="宋体" w:cs="Times New Roman"/>
                      <w:szCs w:val="21"/>
                    </w:rPr>
                    <w:t>垂直入渗</w:t>
                  </w:r>
                </w:p>
              </w:tc>
              <w:tc>
                <w:tcPr>
                  <w:tcW w:w="1627" w:type="dxa"/>
                  <w:vAlign w:val="center"/>
                </w:tcPr>
                <w:p>
                  <w:pPr>
                    <w:pStyle w:val="249"/>
                    <w:spacing w:line="280" w:lineRule="exact"/>
                    <w:ind w:firstLine="3"/>
                    <w:jc w:val="center"/>
                    <w:rPr>
                      <w:rFonts w:ascii="Times New Roman" w:hAnsi="Times New Roman" w:cs="Times New Roman"/>
                      <w:szCs w:val="21"/>
                    </w:rPr>
                  </w:pPr>
                  <w:r>
                    <w:rPr>
                      <w:rFonts w:ascii="Times New Roman" w:hAnsi="Times New Roman" w:cs="Times New Roman"/>
                      <w:szCs w:val="21"/>
                    </w:rPr>
                    <w:t>COD</w:t>
                  </w:r>
                  <w:r>
                    <w:rPr>
                      <w:rFonts w:ascii="Times New Roman" w:hAnsi="Times New Roman" w:eastAsia="宋体" w:cs="Times New Roman"/>
                      <w:szCs w:val="21"/>
                    </w:rPr>
                    <w:t>、</w:t>
                  </w:r>
                  <w:r>
                    <w:rPr>
                      <w:rFonts w:ascii="Times New Roman" w:hAnsi="Times New Roman" w:cs="Times New Roman"/>
                      <w:szCs w:val="21"/>
                    </w:rPr>
                    <w:t>SS</w:t>
                  </w:r>
                  <w:r>
                    <w:rPr>
                      <w:rFonts w:ascii="Times New Roman" w:hAnsi="Times New Roman" w:eastAsia="宋体" w:cs="Times New Roman"/>
                      <w:szCs w:val="21"/>
                    </w:rPr>
                    <w:t>、硫化物、石油类</w:t>
                  </w:r>
                </w:p>
              </w:tc>
              <w:tc>
                <w:tcPr>
                  <w:tcW w:w="1430" w:type="dxa"/>
                  <w:vAlign w:val="center"/>
                </w:tcPr>
                <w:p>
                  <w:pPr>
                    <w:pStyle w:val="249"/>
                    <w:spacing w:line="280" w:lineRule="exact"/>
                    <w:ind w:firstLine="3"/>
                    <w:jc w:val="center"/>
                    <w:rPr>
                      <w:rFonts w:ascii="Times New Roman" w:hAnsi="Times New Roman" w:cs="Times New Roman"/>
                      <w:szCs w:val="21"/>
                    </w:rPr>
                  </w:pPr>
                  <w:r>
                    <w:rPr>
                      <w:rFonts w:ascii="Times New Roman" w:hAnsi="Times New Roman" w:eastAsia="宋体" w:cs="Times New Roman"/>
                      <w:szCs w:val="21"/>
                    </w:rPr>
                    <w:t>石油烃、硫化物</w:t>
                  </w:r>
                </w:p>
              </w:tc>
              <w:tc>
                <w:tcPr>
                  <w:tcW w:w="941" w:type="dxa"/>
                  <w:vAlign w:val="center"/>
                </w:tcPr>
                <w:p>
                  <w:pPr>
                    <w:pStyle w:val="249"/>
                    <w:spacing w:line="280" w:lineRule="exact"/>
                    <w:ind w:firstLine="3"/>
                    <w:jc w:val="center"/>
                    <w:rPr>
                      <w:rFonts w:ascii="Times New Roman" w:hAnsi="Times New Roman" w:cs="Times New Roman"/>
                      <w:szCs w:val="21"/>
                    </w:rPr>
                  </w:pPr>
                  <w:r>
                    <w:rPr>
                      <w:rFonts w:ascii="Times New Roman" w:hAnsi="Times New Roman" w:eastAsia="宋体" w:cs="Times New Roman"/>
                      <w:szCs w:val="21"/>
                    </w:rPr>
                    <w:t>连续、事故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3" w:hRule="atLeast"/>
                <w:jc w:val="center"/>
              </w:trPr>
              <w:tc>
                <w:tcPr>
                  <w:tcW w:w="1331" w:type="dxa"/>
                  <w:vMerge w:val="restart"/>
                  <w:vAlign w:val="center"/>
                </w:tcPr>
                <w:p>
                  <w:pPr>
                    <w:pStyle w:val="249"/>
                    <w:spacing w:line="280" w:lineRule="exact"/>
                    <w:ind w:firstLine="3"/>
                    <w:jc w:val="center"/>
                    <w:rPr>
                      <w:rFonts w:ascii="Times New Roman" w:hAnsi="Times New Roman" w:cs="Times New Roman"/>
                      <w:szCs w:val="21"/>
                    </w:rPr>
                  </w:pPr>
                  <w:r>
                    <w:rPr>
                      <w:rFonts w:ascii="Times New Roman" w:hAnsi="Times New Roman" w:eastAsia="宋体" w:cs="Times New Roman"/>
                      <w:szCs w:val="21"/>
                    </w:rPr>
                    <w:t>油罐区、隔油池</w:t>
                  </w:r>
                </w:p>
              </w:tc>
              <w:tc>
                <w:tcPr>
                  <w:tcW w:w="1515" w:type="dxa"/>
                  <w:vAlign w:val="center"/>
                </w:tcPr>
                <w:p>
                  <w:pPr>
                    <w:pStyle w:val="249"/>
                    <w:spacing w:line="280" w:lineRule="exact"/>
                    <w:ind w:firstLine="3"/>
                    <w:jc w:val="center"/>
                    <w:rPr>
                      <w:rFonts w:ascii="Times New Roman" w:hAnsi="Times New Roman" w:eastAsia="宋体" w:cs="Times New Roman"/>
                      <w:szCs w:val="21"/>
                      <w:lang w:val="en-US"/>
                    </w:rPr>
                  </w:pPr>
                  <w:r>
                    <w:rPr>
                      <w:rFonts w:ascii="Times New Roman" w:hAnsi="Times New Roman" w:eastAsia="宋体" w:cs="Times New Roman"/>
                      <w:szCs w:val="21"/>
                      <w:lang w:val="en-US"/>
                    </w:rPr>
                    <w:t>/</w:t>
                  </w:r>
                </w:p>
              </w:tc>
              <w:tc>
                <w:tcPr>
                  <w:tcW w:w="1101" w:type="dxa"/>
                  <w:vAlign w:val="center"/>
                </w:tcPr>
                <w:p>
                  <w:pPr>
                    <w:pStyle w:val="249"/>
                    <w:spacing w:line="280" w:lineRule="exact"/>
                    <w:ind w:firstLine="3"/>
                    <w:jc w:val="center"/>
                    <w:rPr>
                      <w:rFonts w:ascii="Times New Roman" w:hAnsi="Times New Roman" w:cs="Times New Roman"/>
                      <w:szCs w:val="21"/>
                    </w:rPr>
                  </w:pPr>
                  <w:r>
                    <w:rPr>
                      <w:rFonts w:ascii="Times New Roman" w:hAnsi="Times New Roman" w:eastAsia="宋体" w:cs="Times New Roman"/>
                      <w:szCs w:val="21"/>
                    </w:rPr>
                    <w:t>垂直入渗</w:t>
                  </w:r>
                </w:p>
              </w:tc>
              <w:tc>
                <w:tcPr>
                  <w:tcW w:w="1627" w:type="dxa"/>
                  <w:vMerge w:val="restart"/>
                  <w:vAlign w:val="center"/>
                </w:tcPr>
                <w:p>
                  <w:pPr>
                    <w:pStyle w:val="249"/>
                    <w:spacing w:line="280" w:lineRule="exact"/>
                    <w:ind w:firstLine="3"/>
                    <w:jc w:val="center"/>
                    <w:rPr>
                      <w:rFonts w:ascii="Times New Roman" w:hAnsi="Times New Roman" w:cs="Times New Roman"/>
                      <w:szCs w:val="21"/>
                    </w:rPr>
                  </w:pPr>
                  <w:r>
                    <w:rPr>
                      <w:rFonts w:ascii="Times New Roman" w:hAnsi="Times New Roman" w:eastAsia="宋体" w:cs="Times New Roman"/>
                      <w:szCs w:val="21"/>
                    </w:rPr>
                    <w:t>石油类</w:t>
                  </w:r>
                </w:p>
              </w:tc>
              <w:tc>
                <w:tcPr>
                  <w:tcW w:w="1430" w:type="dxa"/>
                  <w:vMerge w:val="restart"/>
                  <w:vAlign w:val="center"/>
                </w:tcPr>
                <w:p>
                  <w:pPr>
                    <w:pStyle w:val="249"/>
                    <w:spacing w:line="280" w:lineRule="exact"/>
                    <w:ind w:firstLine="3"/>
                    <w:jc w:val="center"/>
                    <w:rPr>
                      <w:rFonts w:ascii="Times New Roman" w:hAnsi="Times New Roman" w:cs="Times New Roman"/>
                      <w:szCs w:val="21"/>
                    </w:rPr>
                  </w:pPr>
                  <w:r>
                    <w:rPr>
                      <w:rFonts w:ascii="Times New Roman" w:hAnsi="Times New Roman" w:eastAsia="宋体" w:cs="Times New Roman"/>
                      <w:szCs w:val="21"/>
                    </w:rPr>
                    <w:t>石油烃</w:t>
                  </w:r>
                </w:p>
              </w:tc>
              <w:tc>
                <w:tcPr>
                  <w:tcW w:w="941" w:type="dxa"/>
                  <w:vAlign w:val="center"/>
                </w:tcPr>
                <w:p>
                  <w:pPr>
                    <w:pStyle w:val="249"/>
                    <w:spacing w:line="280" w:lineRule="exact"/>
                    <w:ind w:firstLine="3"/>
                    <w:jc w:val="center"/>
                    <w:rPr>
                      <w:rFonts w:ascii="Times New Roman" w:hAnsi="Times New Roman" w:eastAsia="宋体" w:cs="Times New Roman"/>
                      <w:szCs w:val="21"/>
                      <w:lang w:val="en-US"/>
                    </w:rPr>
                  </w:pPr>
                  <w:r>
                    <w:rPr>
                      <w:rFonts w:ascii="Times New Roman" w:hAnsi="Times New Roman" w:eastAsia="宋体" w:cs="Times New Roman"/>
                      <w:szCs w:val="21"/>
                      <w:lang w:val="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3" w:hRule="atLeast"/>
                <w:jc w:val="center"/>
              </w:trPr>
              <w:tc>
                <w:tcPr>
                  <w:tcW w:w="1331" w:type="dxa"/>
                  <w:vMerge w:val="continue"/>
                  <w:vAlign w:val="center"/>
                </w:tcPr>
                <w:p>
                  <w:pPr>
                    <w:widowControl/>
                    <w:jc w:val="left"/>
                    <w:rPr>
                      <w:szCs w:val="21"/>
                      <w:lang w:val="zh-CN" w:bidi="zh-CN"/>
                    </w:rPr>
                  </w:pPr>
                </w:p>
              </w:tc>
              <w:tc>
                <w:tcPr>
                  <w:tcW w:w="1515" w:type="dxa"/>
                  <w:vAlign w:val="center"/>
                </w:tcPr>
                <w:p>
                  <w:pPr>
                    <w:pStyle w:val="249"/>
                    <w:spacing w:line="280" w:lineRule="exact"/>
                    <w:jc w:val="center"/>
                    <w:rPr>
                      <w:rFonts w:ascii="Times New Roman" w:hAnsi="Times New Roman" w:eastAsia="宋体" w:cs="Times New Roman"/>
                      <w:szCs w:val="21"/>
                      <w:lang w:val="en-US"/>
                    </w:rPr>
                  </w:pPr>
                  <w:r>
                    <w:rPr>
                      <w:rFonts w:ascii="Times New Roman" w:hAnsi="Times New Roman" w:eastAsia="宋体" w:cs="Times New Roman"/>
                      <w:szCs w:val="21"/>
                      <w:lang w:val="en-US"/>
                    </w:rPr>
                    <w:t>/</w:t>
                  </w:r>
                </w:p>
              </w:tc>
              <w:tc>
                <w:tcPr>
                  <w:tcW w:w="1101" w:type="dxa"/>
                  <w:vAlign w:val="center"/>
                </w:tcPr>
                <w:p>
                  <w:pPr>
                    <w:pStyle w:val="249"/>
                    <w:spacing w:line="280" w:lineRule="exact"/>
                    <w:jc w:val="center"/>
                    <w:rPr>
                      <w:rFonts w:ascii="Times New Roman" w:hAnsi="Times New Roman" w:cs="Times New Roman"/>
                      <w:szCs w:val="21"/>
                    </w:rPr>
                  </w:pPr>
                  <w:r>
                    <w:rPr>
                      <w:rFonts w:ascii="Times New Roman" w:hAnsi="Times New Roman" w:eastAsia="宋体" w:cs="Times New Roman"/>
                      <w:szCs w:val="21"/>
                    </w:rPr>
                    <w:t>地面漫流</w:t>
                  </w:r>
                </w:p>
              </w:tc>
              <w:tc>
                <w:tcPr>
                  <w:tcW w:w="1627" w:type="dxa"/>
                  <w:vMerge w:val="continue"/>
                  <w:vAlign w:val="center"/>
                </w:tcPr>
                <w:p>
                  <w:pPr>
                    <w:widowControl/>
                    <w:jc w:val="left"/>
                    <w:rPr>
                      <w:szCs w:val="21"/>
                      <w:lang w:val="zh-CN" w:bidi="zh-CN"/>
                    </w:rPr>
                  </w:pPr>
                </w:p>
              </w:tc>
              <w:tc>
                <w:tcPr>
                  <w:tcW w:w="1430" w:type="dxa"/>
                  <w:vMerge w:val="continue"/>
                  <w:vAlign w:val="center"/>
                </w:tcPr>
                <w:p>
                  <w:pPr>
                    <w:widowControl/>
                    <w:jc w:val="left"/>
                    <w:rPr>
                      <w:szCs w:val="21"/>
                      <w:lang w:val="zh-CN" w:bidi="zh-CN"/>
                    </w:rPr>
                  </w:pPr>
                </w:p>
              </w:tc>
              <w:tc>
                <w:tcPr>
                  <w:tcW w:w="941" w:type="dxa"/>
                  <w:vAlign w:val="center"/>
                </w:tcPr>
                <w:p>
                  <w:pPr>
                    <w:pStyle w:val="249"/>
                    <w:spacing w:line="280" w:lineRule="exact"/>
                    <w:jc w:val="center"/>
                    <w:rPr>
                      <w:rFonts w:ascii="Times New Roman" w:hAnsi="Times New Roman" w:eastAsia="宋体" w:cs="Times New Roman"/>
                      <w:szCs w:val="21"/>
                      <w:lang w:val="en-US"/>
                    </w:rPr>
                  </w:pPr>
                  <w:r>
                    <w:rPr>
                      <w:rFonts w:ascii="Times New Roman" w:hAnsi="Times New Roman" w:eastAsia="宋体" w:cs="Times New Roman"/>
                      <w:szCs w:val="21"/>
                      <w:lang w:val="en-US"/>
                    </w:rPr>
                    <w:t>/</w:t>
                  </w:r>
                </w:p>
              </w:tc>
            </w:tr>
          </w:tbl>
          <w:p>
            <w:pPr>
              <w:spacing w:line="360" w:lineRule="auto"/>
              <w:ind w:firstLine="420" w:firstLineChars="200"/>
              <w:rPr>
                <w:szCs w:val="21"/>
              </w:rPr>
            </w:pPr>
          </w:p>
          <w:p>
            <w:pPr>
              <w:spacing w:line="360" w:lineRule="auto"/>
              <w:rPr>
                <w:b/>
                <w:bCs/>
                <w:snapToGrid w:val="0"/>
                <w:kern w:val="0"/>
                <w:szCs w:val="21"/>
              </w:rPr>
            </w:pPr>
            <w:r>
              <w:rPr>
                <w:b/>
                <w:bCs/>
                <w:snapToGrid w:val="0"/>
                <w:kern w:val="0"/>
                <w:szCs w:val="21"/>
              </w:rPr>
              <w:t>4.6.2土壤环境影响分析</w:t>
            </w:r>
          </w:p>
          <w:p>
            <w:pPr>
              <w:spacing w:line="360" w:lineRule="auto"/>
              <w:ind w:firstLine="420" w:firstLineChars="200"/>
              <w:jc w:val="left"/>
              <w:rPr>
                <w:bCs/>
                <w:snapToGrid w:val="0"/>
                <w:kern w:val="0"/>
                <w:szCs w:val="21"/>
              </w:rPr>
            </w:pPr>
            <w:r>
              <w:rPr>
                <w:szCs w:val="21"/>
              </w:rPr>
              <w:t>本项目土壤环境影响分析将从如下方面进行分析：</w:t>
            </w:r>
          </w:p>
          <w:p>
            <w:pPr>
              <w:spacing w:line="360" w:lineRule="auto"/>
              <w:ind w:firstLine="420" w:firstLineChars="200"/>
              <w:jc w:val="left"/>
              <w:rPr>
                <w:bCs/>
                <w:snapToGrid w:val="0"/>
                <w:kern w:val="0"/>
                <w:szCs w:val="21"/>
              </w:rPr>
            </w:pPr>
            <w:r>
              <w:rPr>
                <w:bCs/>
                <w:snapToGrid w:val="0"/>
                <w:kern w:val="0"/>
                <w:szCs w:val="21"/>
              </w:rPr>
              <w:t>（1）破坏土壤结构</w:t>
            </w:r>
          </w:p>
          <w:p>
            <w:pPr>
              <w:spacing w:line="360" w:lineRule="auto"/>
              <w:ind w:firstLine="420" w:firstLineChars="200"/>
              <w:jc w:val="left"/>
              <w:rPr>
                <w:bCs/>
                <w:snapToGrid w:val="0"/>
                <w:kern w:val="0"/>
                <w:szCs w:val="21"/>
              </w:rPr>
            </w:pPr>
            <w:r>
              <w:rPr>
                <w:bCs/>
                <w:snapToGrid w:val="0"/>
                <w:kern w:val="0"/>
                <w:szCs w:val="21"/>
              </w:rPr>
              <w:t>土壤结构是在当地自然条件下土壤经过长期的发育过程形成的较为稳定的结构系统，在施工开挖过程中会破坏原有土壤结构。土壤中的分层特征和团粒结构是经过长期发展形成的，遭到破坏后，恢复需要较长的时间。</w:t>
            </w:r>
          </w:p>
          <w:p>
            <w:pPr>
              <w:spacing w:line="360" w:lineRule="auto"/>
              <w:ind w:firstLine="420" w:firstLineChars="200"/>
              <w:jc w:val="left"/>
              <w:rPr>
                <w:bCs/>
                <w:snapToGrid w:val="0"/>
                <w:kern w:val="0"/>
                <w:szCs w:val="21"/>
              </w:rPr>
            </w:pPr>
            <w:r>
              <w:rPr>
                <w:bCs/>
                <w:snapToGrid w:val="0"/>
                <w:kern w:val="0"/>
                <w:szCs w:val="21"/>
              </w:rPr>
              <w:t>（2）改变土壤质地</w:t>
            </w:r>
          </w:p>
          <w:p>
            <w:pPr>
              <w:spacing w:line="360" w:lineRule="auto"/>
              <w:ind w:firstLine="420" w:firstLineChars="200"/>
              <w:jc w:val="left"/>
              <w:rPr>
                <w:bCs/>
                <w:snapToGrid w:val="0"/>
                <w:kern w:val="0"/>
                <w:szCs w:val="21"/>
              </w:rPr>
            </w:pPr>
            <w:r>
              <w:rPr>
                <w:bCs/>
                <w:snapToGrid w:val="0"/>
                <w:kern w:val="0"/>
                <w:szCs w:val="21"/>
              </w:rPr>
              <w:t>土壤质地因所处地形和土壤形成条件的不同而有较大的变化，即使同一土壤剖面，表层与底层的土壤质地也有明显的不同。由于土壤在形成过程中层次分明，表层为耕作层，中层一般为淋溶淀积层，底层是母质层。土壤类型不同，各层次的理化性质和厚度会存在较大的差别。</w:t>
            </w:r>
          </w:p>
          <w:p>
            <w:pPr>
              <w:spacing w:line="360" w:lineRule="auto"/>
              <w:ind w:firstLine="420" w:firstLineChars="200"/>
              <w:jc w:val="left"/>
              <w:rPr>
                <w:bCs/>
                <w:snapToGrid w:val="0"/>
                <w:kern w:val="0"/>
                <w:szCs w:val="21"/>
              </w:rPr>
            </w:pPr>
            <w:r>
              <w:rPr>
                <w:bCs/>
                <w:snapToGrid w:val="0"/>
                <w:kern w:val="0"/>
                <w:szCs w:val="21"/>
              </w:rPr>
              <w:t>（3）影响土壤紧实度</w:t>
            </w:r>
          </w:p>
          <w:p>
            <w:pPr>
              <w:spacing w:line="360" w:lineRule="auto"/>
              <w:ind w:firstLine="420" w:firstLineChars="200"/>
              <w:jc w:val="left"/>
              <w:rPr>
                <w:bCs/>
                <w:snapToGrid w:val="0"/>
                <w:kern w:val="0"/>
                <w:szCs w:val="21"/>
              </w:rPr>
            </w:pPr>
            <w:r>
              <w:rPr>
                <w:bCs/>
                <w:snapToGrid w:val="0"/>
                <w:kern w:val="0"/>
                <w:szCs w:val="21"/>
              </w:rPr>
              <w:t>基础施工后一般在短时期难以恢复其原有的紧实度。表层过于疏松时，因灌溉和降水容易造成水份下渗，使土层明显下陷形成凹沟。过于紧实时又会影响植物根系下扎。施工期间的车辆和重型机械的碾压也会造成管道两侧表层过于紧实，对植物生长产生不良影响。</w:t>
            </w:r>
          </w:p>
          <w:p>
            <w:pPr>
              <w:spacing w:line="360" w:lineRule="auto"/>
              <w:ind w:firstLine="420" w:firstLineChars="200"/>
              <w:jc w:val="left"/>
              <w:rPr>
                <w:bCs/>
                <w:snapToGrid w:val="0"/>
                <w:kern w:val="0"/>
                <w:szCs w:val="21"/>
              </w:rPr>
            </w:pPr>
            <w:r>
              <w:rPr>
                <w:bCs/>
                <w:snapToGrid w:val="0"/>
                <w:kern w:val="0"/>
                <w:szCs w:val="21"/>
              </w:rPr>
              <w:t>（4）施工废弃物对土壤环境的影响</w:t>
            </w:r>
          </w:p>
          <w:p>
            <w:pPr>
              <w:spacing w:line="360" w:lineRule="auto"/>
              <w:ind w:firstLine="420" w:firstLineChars="200"/>
              <w:jc w:val="left"/>
              <w:rPr>
                <w:bCs/>
                <w:snapToGrid w:val="0"/>
                <w:kern w:val="0"/>
                <w:szCs w:val="21"/>
              </w:rPr>
            </w:pPr>
            <w:r>
              <w:rPr>
                <w:bCs/>
                <w:snapToGrid w:val="0"/>
                <w:kern w:val="0"/>
                <w:szCs w:val="21"/>
              </w:rPr>
              <w:t>项目施工的产生的泥浆若落入土地，有可能把固体废弃物残留于土壤之中。这些固体废物一般都比较难于分解，影响环境景观和作物生长，若埋于土壤中则会对作物根系的生长和发育造成影响。</w:t>
            </w:r>
          </w:p>
          <w:p>
            <w:pPr>
              <w:spacing w:line="360" w:lineRule="auto"/>
              <w:ind w:firstLine="420" w:firstLineChars="200"/>
              <w:jc w:val="left"/>
              <w:rPr>
                <w:bCs/>
                <w:snapToGrid w:val="0"/>
                <w:kern w:val="0"/>
                <w:szCs w:val="21"/>
              </w:rPr>
            </w:pPr>
            <w:r>
              <w:rPr>
                <w:bCs/>
                <w:snapToGrid w:val="0"/>
                <w:kern w:val="0"/>
                <w:szCs w:val="21"/>
              </w:rPr>
              <w:t>（5）项目建设对土壤养分现状的影响</w:t>
            </w:r>
          </w:p>
          <w:p>
            <w:pPr>
              <w:spacing w:line="360" w:lineRule="auto"/>
              <w:ind w:firstLine="420" w:firstLineChars="200"/>
              <w:jc w:val="left"/>
              <w:rPr>
                <w:bCs/>
                <w:snapToGrid w:val="0"/>
                <w:kern w:val="0"/>
                <w:szCs w:val="21"/>
              </w:rPr>
            </w:pPr>
            <w:r>
              <w:rPr>
                <w:bCs/>
                <w:snapToGrid w:val="0"/>
                <w:kern w:val="0"/>
                <w:szCs w:val="21"/>
              </w:rPr>
              <w:t>土体构型是土壤剖面中各种土层的组合情况。不同土层的特征及理化性质差异较大。就养分状况分布而言，表土层远较心土层好，其有机质、全氮、速效磷和速效钾等含量高，紧密度与孔隙状况适中强。施工势必扰动原有土体构型，使土壤养分分布状况受到影响，严重者会造成土壤性质的恶化，并影响其表层生长的植被，甚至难于恢复。</w:t>
            </w:r>
          </w:p>
          <w:p>
            <w:pPr>
              <w:spacing w:line="360" w:lineRule="auto"/>
              <w:ind w:firstLine="420" w:firstLineChars="200"/>
              <w:jc w:val="left"/>
              <w:rPr>
                <w:bCs/>
                <w:snapToGrid w:val="0"/>
                <w:kern w:val="0"/>
                <w:szCs w:val="21"/>
              </w:rPr>
            </w:pPr>
            <w:r>
              <w:rPr>
                <w:bCs/>
                <w:snapToGrid w:val="0"/>
                <w:kern w:val="0"/>
                <w:szCs w:val="21"/>
              </w:rPr>
              <w:t>（6）事故状态下对土壤的影响</w:t>
            </w:r>
          </w:p>
          <w:p>
            <w:pPr>
              <w:spacing w:line="360" w:lineRule="auto"/>
              <w:ind w:firstLine="420" w:firstLineChars="200"/>
              <w:jc w:val="left"/>
              <w:rPr>
                <w:szCs w:val="21"/>
              </w:rPr>
            </w:pPr>
            <w:r>
              <w:rPr>
                <w:bCs/>
                <w:snapToGrid w:val="0"/>
                <w:kern w:val="0"/>
                <w:szCs w:val="21"/>
              </w:rPr>
              <w:t>本项目施工期间，事故情况下，发生井喷、柴油罐泄漏后，钻井液中污染物或柴油</w:t>
            </w:r>
            <w:r>
              <w:rPr>
                <w:bCs/>
                <w:snapToGrid w:val="0"/>
                <w:color w:val="auto"/>
                <w:kern w:val="0"/>
                <w:szCs w:val="21"/>
              </w:rPr>
              <w:t>泄漏对土壤质量影响较大。根据区域钻井情况，项目发生井喷的概率很小。当柴油罐穿孔泄</w:t>
            </w:r>
            <w:r>
              <w:rPr>
                <w:bCs/>
                <w:snapToGrid w:val="0"/>
                <w:kern w:val="0"/>
                <w:szCs w:val="21"/>
              </w:rPr>
              <w:t>漏，在泄漏初期由于泄漏的柴油量少，可收集在围堰内，不会泄漏至外环境；但若长时间泄漏，柴油可能溢出围堰，造成大面积土壤环境的污染。泄漏的大量原油进入土壤环境中，油类物质在土壤中下渗至一定深度，随泄漏历时的延长，下渗深度增加不大</w:t>
            </w:r>
            <w:r>
              <w:rPr>
                <w:rFonts w:hint="eastAsia"/>
                <w:bCs/>
                <w:snapToGrid w:val="0"/>
                <w:kern w:val="0"/>
                <w:szCs w:val="21"/>
              </w:rPr>
              <w:t>（</w:t>
            </w:r>
            <w:r>
              <w:rPr>
                <w:bCs/>
                <w:snapToGrid w:val="0"/>
                <w:kern w:val="0"/>
                <w:szCs w:val="21"/>
              </w:rPr>
              <w:t>油类物质一般在土壤内部20cm左右范围内积聚</w:t>
            </w:r>
            <w:r>
              <w:rPr>
                <w:rFonts w:hint="eastAsia"/>
                <w:bCs/>
                <w:snapToGrid w:val="0"/>
                <w:kern w:val="0"/>
                <w:szCs w:val="21"/>
              </w:rPr>
              <w:t>）</w:t>
            </w:r>
            <w:r>
              <w:rPr>
                <w:bCs/>
                <w:snapToGrid w:val="0"/>
                <w:kern w:val="0"/>
                <w:szCs w:val="21"/>
              </w:rPr>
              <w:t>，会影响土壤中微生物生存，破坏土壤结构，增加土壤中石油类污染物。</w:t>
            </w:r>
          </w:p>
          <w:p>
            <w:pPr>
              <w:spacing w:line="360" w:lineRule="auto"/>
              <w:rPr>
                <w:b/>
                <w:bCs/>
                <w:szCs w:val="21"/>
              </w:rPr>
            </w:pPr>
            <w:r>
              <w:rPr>
                <w:b/>
                <w:bCs/>
                <w:szCs w:val="21"/>
              </w:rPr>
              <w:t>4.6.3其他影响源调查</w:t>
            </w:r>
          </w:p>
          <w:p>
            <w:pPr>
              <w:spacing w:line="360" w:lineRule="auto"/>
              <w:ind w:firstLine="420" w:firstLineChars="200"/>
              <w:rPr>
                <w:b/>
                <w:bCs/>
                <w:szCs w:val="21"/>
              </w:rPr>
            </w:pPr>
            <w:r>
              <w:rPr>
                <w:rFonts w:hint="eastAsia"/>
                <w:szCs w:val="21"/>
              </w:rPr>
              <w:t>项目周边</w:t>
            </w:r>
            <w:r>
              <w:rPr>
                <w:szCs w:val="21"/>
              </w:rPr>
              <w:t>为农村地区，无与建设项目产生同种特征因子或造成相同土壤环境影响后果的影响源。</w:t>
            </w:r>
          </w:p>
          <w:p>
            <w:pPr>
              <w:spacing w:line="360" w:lineRule="auto"/>
              <w:ind w:firstLine="420" w:firstLineChars="200"/>
              <w:rPr>
                <w:szCs w:val="21"/>
              </w:rPr>
            </w:pPr>
            <w:r>
              <w:rPr>
                <w:szCs w:val="21"/>
              </w:rPr>
              <w:t>岩屑堆放区设置雨棚，防止雨水淋滤导致污染物下渗污染。</w:t>
            </w:r>
          </w:p>
          <w:p>
            <w:pPr>
              <w:spacing w:line="360" w:lineRule="auto"/>
              <w:ind w:firstLine="420" w:firstLineChars="200"/>
              <w:rPr>
                <w:szCs w:val="21"/>
              </w:rPr>
            </w:pPr>
            <w:r>
              <w:rPr>
                <w:szCs w:val="21"/>
              </w:rPr>
              <w:t>针对渗入影响落实地下水评价内容提出的防渗分区及防渗措施。</w:t>
            </w:r>
          </w:p>
          <w:p>
            <w:pPr>
              <w:adjustRightInd w:val="0"/>
              <w:snapToGrid w:val="0"/>
              <w:spacing w:line="360" w:lineRule="auto"/>
              <w:ind w:firstLine="420" w:firstLineChars="200"/>
              <w:rPr>
                <w:szCs w:val="21"/>
              </w:rPr>
            </w:pPr>
            <w:r>
              <w:rPr>
                <w:szCs w:val="21"/>
              </w:rPr>
              <w:t>针对地面漫流影响实施井场清污分流措施，在井场四周设置雨水排水沟，场外雨水随雨水沟排放；井场分为清洁区和污染区，通过挡墙隔离。污染区雨水进入集水坑收集泵提升废水罐处理后回用。油罐区雨水经过隔油池处理后外排。以上措施分别纳入地下水的分区防渗和地表水的清污分流措施投资，经济可行，技术简单可行。</w:t>
            </w:r>
          </w:p>
          <w:p>
            <w:pPr>
              <w:spacing w:line="360" w:lineRule="auto"/>
              <w:rPr>
                <w:b/>
                <w:bCs/>
                <w:szCs w:val="21"/>
              </w:rPr>
            </w:pPr>
            <w:r>
              <w:rPr>
                <w:b/>
                <w:bCs/>
                <w:szCs w:val="21"/>
              </w:rPr>
              <w:t>4.7生态环境影响分析</w:t>
            </w:r>
          </w:p>
          <w:p>
            <w:pPr>
              <w:spacing w:line="360" w:lineRule="auto"/>
              <w:rPr>
                <w:b/>
                <w:szCs w:val="21"/>
              </w:rPr>
            </w:pPr>
            <w:bookmarkStart w:id="31" w:name="_Hlk66980492"/>
            <w:r>
              <w:rPr>
                <w:b/>
                <w:szCs w:val="21"/>
              </w:rPr>
              <w:t>4.7.1生态影响分析</w:t>
            </w:r>
          </w:p>
          <w:p>
            <w:pPr>
              <w:spacing w:line="360" w:lineRule="auto"/>
              <w:ind w:firstLine="420" w:firstLineChars="200"/>
              <w:rPr>
                <w:szCs w:val="21"/>
              </w:rPr>
            </w:pPr>
            <w:r>
              <w:rPr>
                <w:rFonts w:hint="eastAsia"/>
                <w:szCs w:val="21"/>
              </w:rPr>
              <w:t>本项目临时占地31593m2，拟建工程影响生态环境的因素主要是在钻前施工期间，在此期间会对井场、井场道路所征用土地的植被进行清除，改变土地利用现状；对井场及井场道路用地进行开挖、平整会改变土壤结构，造成地表裸露，开挖的土石方临时就近堆放，引起新的水土流失；环境改变和施工噪声可能会影响周围栖息的动物</w:t>
            </w:r>
            <w:r>
              <w:rPr>
                <w:szCs w:val="21"/>
              </w:rPr>
              <w:t>。</w:t>
            </w:r>
            <w:bookmarkEnd w:id="31"/>
          </w:p>
          <w:p>
            <w:pPr>
              <w:spacing w:line="360" w:lineRule="auto"/>
              <w:rPr>
                <w:b/>
                <w:bCs/>
                <w:szCs w:val="21"/>
              </w:rPr>
            </w:pPr>
            <w:r>
              <w:rPr>
                <w:b/>
                <w:bCs/>
                <w:szCs w:val="21"/>
              </w:rPr>
              <w:t>4.7.2项目占地对土地利用影响分析</w:t>
            </w:r>
          </w:p>
          <w:p>
            <w:pPr>
              <w:tabs>
                <w:tab w:val="left" w:pos="7170"/>
              </w:tabs>
              <w:autoSpaceDE w:val="0"/>
              <w:autoSpaceDN w:val="0"/>
              <w:spacing w:line="360" w:lineRule="auto"/>
              <w:ind w:firstLine="420" w:firstLineChars="200"/>
              <w:rPr>
                <w:szCs w:val="21"/>
              </w:rPr>
            </w:pPr>
            <w:bookmarkStart w:id="32" w:name="_Hlk66980532"/>
            <w:r>
              <w:rPr>
                <w:rFonts w:hint="eastAsia"/>
                <w:szCs w:val="21"/>
              </w:rPr>
              <w:t>本项目临时占地面积约31593m</w:t>
            </w:r>
            <w:r>
              <w:rPr>
                <w:rFonts w:hint="eastAsia"/>
                <w:szCs w:val="21"/>
                <w:vertAlign w:val="superscript"/>
              </w:rPr>
              <w:t>2</w:t>
            </w:r>
            <w:r>
              <w:rPr>
                <w:rFonts w:hint="eastAsia"/>
                <w:szCs w:val="21"/>
              </w:rPr>
              <w:t>，临时占地主要为旱地、水田，区域土地利用结构破碎程度较高。项目施工期占地面积相对较小，不会导致区域土地利用格局的发生明显变化</w:t>
            </w:r>
            <w:r>
              <w:rPr>
                <w:szCs w:val="21"/>
              </w:rPr>
              <w:t>。</w:t>
            </w:r>
            <w:bookmarkEnd w:id="32"/>
          </w:p>
          <w:p>
            <w:pPr>
              <w:tabs>
                <w:tab w:val="left" w:pos="7170"/>
              </w:tabs>
              <w:autoSpaceDE w:val="0"/>
              <w:autoSpaceDN w:val="0"/>
              <w:spacing w:line="360" w:lineRule="auto"/>
              <w:rPr>
                <w:b/>
                <w:bCs/>
                <w:szCs w:val="21"/>
              </w:rPr>
            </w:pPr>
            <w:r>
              <w:rPr>
                <w:b/>
                <w:bCs/>
                <w:szCs w:val="21"/>
              </w:rPr>
              <w:t>4.7.3对项目所在区域植物影响分析</w:t>
            </w:r>
          </w:p>
          <w:p>
            <w:pPr>
              <w:tabs>
                <w:tab w:val="left" w:pos="7170"/>
              </w:tabs>
              <w:autoSpaceDE w:val="0"/>
              <w:autoSpaceDN w:val="0"/>
              <w:spacing w:line="360" w:lineRule="auto"/>
              <w:ind w:firstLine="420" w:firstLineChars="200"/>
              <w:rPr>
                <w:szCs w:val="21"/>
              </w:rPr>
            </w:pPr>
            <w:r>
              <w:rPr>
                <w:szCs w:val="21"/>
              </w:rPr>
              <w:t>项目区受人类活动影响强烈，属于农田生态系统，区域内未发现重点保护及珍稀植物。本项目对植被的影响主要表现在占地对少量农作物的破坏，占用的旱地工程建设单位按相关规定对当地居民进行赔偿；在工程施工完毕后，将对井场钻井设备进行拆除、搬迁，开展土地复垦，项目建设对区域植被影响小。</w:t>
            </w:r>
          </w:p>
          <w:p>
            <w:pPr>
              <w:tabs>
                <w:tab w:val="left" w:pos="7170"/>
              </w:tabs>
              <w:autoSpaceDE w:val="0"/>
              <w:autoSpaceDN w:val="0"/>
              <w:spacing w:line="360" w:lineRule="auto"/>
              <w:ind w:firstLine="420" w:firstLineChars="200"/>
              <w:rPr>
                <w:szCs w:val="21"/>
              </w:rPr>
            </w:pPr>
            <w:r>
              <w:rPr>
                <w:szCs w:val="21"/>
              </w:rPr>
              <w:t>（1）对生物量的影响</w:t>
            </w:r>
          </w:p>
          <w:p>
            <w:pPr>
              <w:tabs>
                <w:tab w:val="left" w:pos="7170"/>
              </w:tabs>
              <w:autoSpaceDE w:val="0"/>
              <w:autoSpaceDN w:val="0"/>
              <w:spacing w:line="360" w:lineRule="auto"/>
              <w:ind w:firstLine="420" w:firstLineChars="200"/>
              <w:rPr>
                <w:szCs w:val="21"/>
              </w:rPr>
            </w:pPr>
            <w:r>
              <w:rPr>
                <w:szCs w:val="21"/>
              </w:rPr>
              <w:t>井场</w:t>
            </w:r>
            <w:r>
              <w:rPr>
                <w:rFonts w:hint="eastAsia"/>
                <w:szCs w:val="21"/>
              </w:rPr>
              <w:t>、进场道路</w:t>
            </w:r>
            <w:r>
              <w:rPr>
                <w:szCs w:val="21"/>
              </w:rPr>
              <w:t>等工程建设将清除地表植被，剥离地表覆盖层，势必降低植被覆盖率，导致区域植被的损失。一般工程临时占地对农作物的影响主要为当季影响，在施工结束后，第二年即可复种，根据同类工程调查，复垦地1~2年即可恢复到原有产量。植被生物量损失的植被类型主要为农作物，对天然植被生物量损失较低。项目的建设对地表农作物或植被产生一定的扰动和破坏，但是这种影响会随着项目闭井后逐步消减。若对项目占地采取植被恢复或绿化措施，在建设期损失的地表植被生物总量和生产力会得到一定的补偿。</w:t>
            </w:r>
          </w:p>
          <w:p>
            <w:pPr>
              <w:tabs>
                <w:tab w:val="left" w:pos="7170"/>
              </w:tabs>
              <w:autoSpaceDE w:val="0"/>
              <w:autoSpaceDN w:val="0"/>
              <w:spacing w:line="360" w:lineRule="auto"/>
              <w:ind w:firstLine="420" w:firstLineChars="200"/>
              <w:rPr>
                <w:szCs w:val="21"/>
              </w:rPr>
            </w:pPr>
            <w:r>
              <w:rPr>
                <w:szCs w:val="21"/>
              </w:rPr>
              <w:t>（2）对多样性的影响</w:t>
            </w:r>
          </w:p>
          <w:p>
            <w:pPr>
              <w:tabs>
                <w:tab w:val="left" w:pos="7170"/>
              </w:tabs>
              <w:autoSpaceDE w:val="0"/>
              <w:autoSpaceDN w:val="0"/>
              <w:spacing w:line="360" w:lineRule="auto"/>
              <w:ind w:firstLine="420" w:firstLineChars="200"/>
              <w:rPr>
                <w:szCs w:val="21"/>
              </w:rPr>
            </w:pPr>
            <w:r>
              <w:rPr>
                <w:szCs w:val="21"/>
              </w:rPr>
              <w:t>由于地表工程建设等因素，造成植物生境的破坏，使得植被覆盖率降低，植物生产能力下降，生物多样性降低，从而导致环境功能的下降，使评价范围内的总生物量减少，对局部区域的生物量有一定影响。根据现场调查，工程建设破坏的植被以人工生态系统为主，项目选址不涉及自然保护区、森林公园等特有生物多样性保护区；在施工结束后，及时采用当地乡土树种进行植被恢复。落实相关措施后，不会造成区域生物多样性的降低及保护植物数量的减少，不会造成生物物种入侵以及对当地及邻近地区植物种类的生存和繁衍造成影响。对整个地区生态系统的功能和稳定性不会产生大的影响，更也不会引起物种的损失。</w:t>
            </w:r>
          </w:p>
          <w:p>
            <w:pPr>
              <w:tabs>
                <w:tab w:val="left" w:pos="7170"/>
              </w:tabs>
              <w:autoSpaceDE w:val="0"/>
              <w:autoSpaceDN w:val="0"/>
              <w:spacing w:line="360" w:lineRule="auto"/>
              <w:ind w:firstLine="420" w:firstLineChars="200"/>
              <w:rPr>
                <w:szCs w:val="21"/>
              </w:rPr>
            </w:pPr>
            <w:r>
              <w:rPr>
                <w:szCs w:val="21"/>
              </w:rPr>
              <w:t>（3）失火风险</w:t>
            </w:r>
          </w:p>
          <w:p>
            <w:pPr>
              <w:tabs>
                <w:tab w:val="left" w:pos="7170"/>
              </w:tabs>
              <w:autoSpaceDE w:val="0"/>
              <w:autoSpaceDN w:val="0"/>
              <w:spacing w:line="360" w:lineRule="auto"/>
              <w:ind w:firstLine="420" w:firstLineChars="200"/>
              <w:rPr>
                <w:szCs w:val="21"/>
              </w:rPr>
            </w:pPr>
            <w:r>
              <w:rPr>
                <w:szCs w:val="21"/>
              </w:rPr>
              <w:t>根据施工规范，在燃烧池周边设置防火带，加上井场施工自身的防火要求，将严格控制施工人员的管理，规范用火。做好相关管控措施后，造成周边植被起火风险性小。</w:t>
            </w:r>
          </w:p>
          <w:p>
            <w:pPr>
              <w:spacing w:line="360" w:lineRule="auto"/>
              <w:rPr>
                <w:b/>
                <w:bCs/>
                <w:szCs w:val="21"/>
              </w:rPr>
            </w:pPr>
            <w:bookmarkStart w:id="33" w:name="_Hlk66980561"/>
            <w:r>
              <w:rPr>
                <w:b/>
                <w:bCs/>
                <w:szCs w:val="21"/>
              </w:rPr>
              <w:t>4.7.4测试放喷对生态环境的影响分析</w:t>
            </w:r>
          </w:p>
          <w:bookmarkEnd w:id="33"/>
          <w:p>
            <w:pPr>
              <w:pStyle w:val="200"/>
              <w:spacing w:line="360" w:lineRule="auto"/>
              <w:ind w:firstLine="420"/>
              <w:rPr>
                <w:sz w:val="21"/>
                <w:szCs w:val="21"/>
              </w:rPr>
            </w:pPr>
            <w:bookmarkStart w:id="34" w:name="_Hlk66980570"/>
            <w:r>
              <w:rPr>
                <w:sz w:val="21"/>
                <w:szCs w:val="21"/>
              </w:rPr>
              <w:t>钻井测试放喷对生态环境的影响主要是放喷产生的热辐射和</w:t>
            </w:r>
            <w:r>
              <w:rPr>
                <w:rFonts w:hint="eastAsia"/>
                <w:sz w:val="21"/>
                <w:szCs w:val="21"/>
              </w:rPr>
              <w:t>SO</w:t>
            </w:r>
            <w:r>
              <w:rPr>
                <w:sz w:val="21"/>
                <w:szCs w:val="21"/>
                <w:vertAlign w:val="subscript"/>
              </w:rPr>
              <w:t>2</w:t>
            </w:r>
            <w:r>
              <w:rPr>
                <w:rFonts w:hint="eastAsia"/>
                <w:sz w:val="21"/>
                <w:szCs w:val="21"/>
              </w:rPr>
              <w:t>、</w:t>
            </w:r>
            <w:r>
              <w:rPr>
                <w:sz w:val="21"/>
                <w:szCs w:val="21"/>
              </w:rPr>
              <w:t>CO</w:t>
            </w:r>
            <w:r>
              <w:rPr>
                <w:sz w:val="21"/>
                <w:szCs w:val="21"/>
                <w:vertAlign w:val="subscript"/>
              </w:rPr>
              <w:t>2</w:t>
            </w:r>
            <w:r>
              <w:rPr>
                <w:sz w:val="21"/>
                <w:szCs w:val="21"/>
              </w:rPr>
              <w:t>对生态的影响。</w:t>
            </w:r>
          </w:p>
          <w:p>
            <w:pPr>
              <w:pStyle w:val="200"/>
              <w:spacing w:line="360" w:lineRule="auto"/>
              <w:ind w:firstLine="420"/>
              <w:rPr>
                <w:sz w:val="21"/>
                <w:szCs w:val="21"/>
              </w:rPr>
            </w:pPr>
            <w:r>
              <w:rPr>
                <w:sz w:val="21"/>
                <w:szCs w:val="21"/>
              </w:rPr>
              <w:t>钻井过程中需要进行测试放喷。测试放喷是指在钻井后期为测定气井的天然气产量而人为进行的天然气放喷。天然气燃烧产生的热辐射影响，可能灼伤放喷点周围20~50m范围的农作物。天然气测试放喷在专门的放喷池中点火放喷，放喷池是由三面3m高的砖墙组成，采用放喷池放喷，可以有效减小放喷天然气燃烧产生的热辐射对测试区周围的土壤和植被的灼伤。</w:t>
            </w:r>
          </w:p>
          <w:p>
            <w:pPr>
              <w:spacing w:line="360" w:lineRule="auto"/>
              <w:rPr>
                <w:b/>
                <w:szCs w:val="21"/>
              </w:rPr>
            </w:pPr>
            <w:r>
              <w:rPr>
                <w:b/>
                <w:szCs w:val="21"/>
              </w:rPr>
              <w:t>4.</w:t>
            </w:r>
            <w:bookmarkStart w:id="35" w:name="_Hlk80689288"/>
            <w:r>
              <w:rPr>
                <w:b/>
                <w:szCs w:val="21"/>
              </w:rPr>
              <w:t>8土壤环境影响分析</w:t>
            </w:r>
            <w:bookmarkEnd w:id="35"/>
          </w:p>
          <w:p>
            <w:pPr>
              <w:pStyle w:val="200"/>
              <w:spacing w:line="360" w:lineRule="auto"/>
              <w:ind w:firstLine="420"/>
              <w:rPr>
                <w:sz w:val="21"/>
                <w:szCs w:val="21"/>
              </w:rPr>
            </w:pPr>
            <w:bookmarkStart w:id="36" w:name="_Hlk80689308"/>
            <w:r>
              <w:rPr>
                <w:sz w:val="21"/>
                <w:szCs w:val="21"/>
              </w:rPr>
              <w:t>本项目施工期对土壤的影响主要有两方面，一是工程排放的污染物对土壤质地性状的影响，对土壤的污染主要是落地油污、钻井泥浆等泄漏后可能导致土壤污染；二是工程建设钻井和地面工程建设的开挖、填埋对土壤结构的破坏，挖掘、碾压、践踏及堆积物等均会使土壤结构破坏，土壤生产力下降。</w:t>
            </w:r>
            <w:bookmarkEnd w:id="36"/>
          </w:p>
          <w:p>
            <w:pPr>
              <w:pStyle w:val="200"/>
              <w:spacing w:line="360" w:lineRule="auto"/>
              <w:ind w:firstLine="420"/>
              <w:rPr>
                <w:sz w:val="21"/>
                <w:szCs w:val="21"/>
              </w:rPr>
            </w:pPr>
            <w:r>
              <w:rPr>
                <w:sz w:val="21"/>
                <w:szCs w:val="21"/>
              </w:rPr>
              <w:t>在井场道路、井场平整、设备基础、管道敷设开挖过程，将造成地面裸露，新增临时占地31593m</w:t>
            </w:r>
            <w:r>
              <w:rPr>
                <w:sz w:val="21"/>
                <w:szCs w:val="21"/>
                <w:vertAlign w:val="superscript"/>
              </w:rPr>
              <w:t>2</w:t>
            </w:r>
            <w:r>
              <w:rPr>
                <w:sz w:val="21"/>
                <w:szCs w:val="21"/>
              </w:rPr>
              <w:t>，形成水土流失，导致地表原有植被破坏。施工单位工程开工前，应先剥离占地范围内表层耕植土7234m</w:t>
            </w:r>
            <w:r>
              <w:rPr>
                <w:sz w:val="21"/>
                <w:szCs w:val="21"/>
                <w:vertAlign w:val="superscript"/>
              </w:rPr>
              <w:t>3</w:t>
            </w:r>
            <w:r>
              <w:rPr>
                <w:sz w:val="21"/>
                <w:szCs w:val="21"/>
              </w:rPr>
              <w:t>，耕植土堆置于位于井场东侧的耕植土堆放区内，耕植土堆放区较低区域修建挡土墙，耕植土堆放区在土建工程完工后，及时播撒草种，防止地表水冲刷造成水土流失和边坡失稳。施工结束后用于临时占地的复耕复种耕植土，恢复临时占用耕地的生产力</w:t>
            </w:r>
            <w:r>
              <w:rPr>
                <w:rFonts w:hint="eastAsia"/>
                <w:sz w:val="21"/>
                <w:szCs w:val="21"/>
              </w:rPr>
              <w:t>。</w:t>
            </w:r>
          </w:p>
          <w:bookmarkEnd w:id="34"/>
          <w:p>
            <w:pPr>
              <w:spacing w:line="360" w:lineRule="auto"/>
              <w:rPr>
                <w:b/>
                <w:szCs w:val="21"/>
              </w:rPr>
            </w:pPr>
            <w:r>
              <w:rPr>
                <w:b/>
                <w:szCs w:val="21"/>
              </w:rPr>
              <w:t>4.9结论</w:t>
            </w:r>
          </w:p>
          <w:p>
            <w:pPr>
              <w:pStyle w:val="200"/>
              <w:spacing w:line="360" w:lineRule="auto"/>
              <w:ind w:firstLine="420"/>
              <w:rPr>
                <w:sz w:val="21"/>
                <w:szCs w:val="21"/>
              </w:rPr>
            </w:pPr>
            <w:r>
              <w:rPr>
                <w:sz w:val="21"/>
                <w:szCs w:val="21"/>
              </w:rPr>
              <w:t>综上所述，项目实施将对周边环境带来一定的影响，但这种影响是局部和暂时的，随工程施工结束而消失，不会引起</w:t>
            </w:r>
            <w:r>
              <w:rPr>
                <w:rFonts w:hint="eastAsia"/>
                <w:sz w:val="21"/>
                <w:szCs w:val="21"/>
              </w:rPr>
              <w:t>该</w:t>
            </w:r>
            <w:r>
              <w:rPr>
                <w:sz w:val="21"/>
                <w:szCs w:val="21"/>
              </w:rPr>
              <w:t>区域野生动物大面积迁移而消亡，因此，项目的实施对生态环境影响较小。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41" w:hRule="atLeast"/>
          <w:jc w:val="center"/>
        </w:trPr>
        <w:tc>
          <w:tcPr>
            <w:tcW w:w="879" w:type="dxa"/>
            <w:tcMar>
              <w:left w:w="28" w:type="dxa"/>
              <w:right w:w="28" w:type="dxa"/>
            </w:tcMar>
            <w:vAlign w:val="center"/>
          </w:tcPr>
          <w:p>
            <w:pPr>
              <w:pStyle w:val="36"/>
              <w:widowControl w:val="0"/>
              <w:adjustRightInd w:val="0"/>
              <w:snapToGrid w:val="0"/>
              <w:spacing w:before="0" w:beforeAutospacing="0" w:after="0" w:afterAutospacing="0"/>
              <w:jc w:val="center"/>
              <w:rPr>
                <w:rFonts w:ascii="Times New Roman" w:hAnsi="Times New Roman"/>
                <w:bCs/>
                <w:kern w:val="2"/>
                <w:sz w:val="21"/>
                <w:szCs w:val="21"/>
              </w:rPr>
            </w:pPr>
            <w:r>
              <w:rPr>
                <w:rFonts w:ascii="Times New Roman" w:hAnsi="Times New Roman"/>
                <w:bCs/>
                <w:spacing w:val="10"/>
                <w:kern w:val="2"/>
                <w:sz w:val="21"/>
                <w:szCs w:val="21"/>
              </w:rPr>
              <w:t>运营期生态环境影响分析</w:t>
            </w:r>
          </w:p>
        </w:tc>
        <w:tc>
          <w:tcPr>
            <w:tcW w:w="8363" w:type="dxa"/>
          </w:tcPr>
          <w:p>
            <w:pPr>
              <w:adjustRightInd w:val="0"/>
              <w:snapToGrid w:val="0"/>
              <w:spacing w:line="360" w:lineRule="auto"/>
              <w:ind w:firstLine="420" w:firstLineChars="200"/>
              <w:rPr>
                <w:bCs/>
                <w:szCs w:val="21"/>
              </w:rPr>
            </w:pPr>
            <w:r>
              <w:rPr>
                <w:bCs/>
                <w:szCs w:val="21"/>
              </w:rPr>
              <w:t>本项目在勘探作业过程中，通过试气作业确定该井是否具备工业开采价值，若其不具备工业开采价值，则按照封井规范进行退役封井处置；若具备工业开采条件，则进行临时封井，后期移交由大庆油田有限责任公司进行后期产能开发。因此，本工程只涉及钻井期钻井、试气等作业，不涉及运营期，后续开采、集输工程需另行进行评价。</w:t>
            </w:r>
          </w:p>
          <w:p>
            <w:pPr>
              <w:adjustRightInd w:val="0"/>
              <w:snapToGrid w:val="0"/>
              <w:spacing w:line="360" w:lineRule="auto"/>
              <w:ind w:firstLine="420" w:firstLineChars="200"/>
              <w:rPr>
                <w:bCs/>
                <w:szCs w:val="21"/>
              </w:rPr>
            </w:pPr>
            <w:r>
              <w:rPr>
                <w:bCs/>
                <w:szCs w:val="21"/>
              </w:rPr>
              <w:t>因此，本项目不涉及运营期生态环境影响。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921" w:hRule="atLeast"/>
          <w:jc w:val="center"/>
        </w:trPr>
        <w:tc>
          <w:tcPr>
            <w:tcW w:w="879" w:type="dxa"/>
            <w:vAlign w:val="center"/>
          </w:tcPr>
          <w:p>
            <w:pPr>
              <w:pStyle w:val="36"/>
              <w:widowControl w:val="0"/>
              <w:adjustRightInd w:val="0"/>
              <w:snapToGrid w:val="0"/>
              <w:spacing w:before="0" w:beforeAutospacing="0" w:after="0" w:afterAutospacing="0"/>
              <w:jc w:val="center"/>
              <w:rPr>
                <w:rFonts w:ascii="Times New Roman" w:hAnsi="Times New Roman"/>
                <w:bCs/>
                <w:kern w:val="2"/>
                <w:sz w:val="21"/>
                <w:szCs w:val="21"/>
              </w:rPr>
            </w:pPr>
            <w:r>
              <w:rPr>
                <w:rFonts w:ascii="Times New Roman" w:hAnsi="Times New Roman"/>
                <w:bCs/>
                <w:kern w:val="2"/>
                <w:sz w:val="21"/>
                <w:szCs w:val="21"/>
              </w:rPr>
              <w:t>选址选线环境合理性分析</w:t>
            </w:r>
          </w:p>
        </w:tc>
        <w:tc>
          <w:tcPr>
            <w:tcW w:w="8363" w:type="dxa"/>
            <w:vAlign w:val="center"/>
          </w:tcPr>
          <w:p>
            <w:pPr>
              <w:spacing w:line="360" w:lineRule="auto"/>
              <w:ind w:firstLine="420" w:firstLineChars="200"/>
              <w:rPr>
                <w:szCs w:val="21"/>
              </w:rPr>
            </w:pPr>
            <w:r>
              <w:rPr>
                <w:szCs w:val="21"/>
              </w:rPr>
              <w:t>天然气开采具有明显的行业特殊性，在选址上很大程度上是</w:t>
            </w:r>
            <w:r>
              <w:rPr>
                <w:rFonts w:ascii="宋体" w:hAnsi="宋体"/>
                <w:szCs w:val="21"/>
              </w:rPr>
              <w:t>“</w:t>
            </w:r>
            <w:r>
              <w:rPr>
                <w:szCs w:val="21"/>
              </w:rPr>
              <w:t>井下决定井上</w:t>
            </w:r>
            <w:r>
              <w:rPr>
                <w:rFonts w:ascii="宋体" w:hAnsi="宋体"/>
                <w:szCs w:val="21"/>
              </w:rPr>
              <w:t>”</w:t>
            </w:r>
            <w:r>
              <w:rPr>
                <w:szCs w:val="21"/>
              </w:rPr>
              <w:t>，首先需考虑的是该区域是否含有天然气，是否具有开采价值。因此，在选择井口的时候具有很大的约束，是通过天然气所在区域来确定井口位置。</w:t>
            </w:r>
          </w:p>
          <w:p>
            <w:pPr>
              <w:spacing w:line="360" w:lineRule="auto"/>
              <w:ind w:firstLine="420" w:firstLineChars="200"/>
              <w:rPr>
                <w:szCs w:val="21"/>
              </w:rPr>
            </w:pPr>
            <w:r>
              <w:rPr>
                <w:szCs w:val="21"/>
              </w:rPr>
              <w:t>参考《钻前工程及井场布置技术要求》（SY/T5466-2013）的相关规定</w:t>
            </w:r>
            <w:r>
              <w:rPr>
                <w:rFonts w:hint="eastAsia"/>
                <w:szCs w:val="21"/>
              </w:rPr>
              <w:t>：</w:t>
            </w:r>
            <w:r>
              <w:rPr>
                <w:szCs w:val="21"/>
              </w:rPr>
              <w:t>油、气井井口距高压线及其他永久性设施不小于75m，距民宅不小于100m，距铁路、高速公路不小于200m，距学校、医院和大型油库等人口密集性、高危性场所不小于500m。在地下矿产采掘区钻井，井筒与采掘坑道、矿井坑道之间的距离不小于100m。工程井口与周围设施间距离等基本情况见表4-27。</w:t>
            </w:r>
          </w:p>
          <w:p>
            <w:pPr>
              <w:spacing w:line="360" w:lineRule="auto"/>
              <w:jc w:val="center"/>
              <w:rPr>
                <w:b/>
                <w:szCs w:val="21"/>
              </w:rPr>
            </w:pPr>
            <w:r>
              <w:rPr>
                <w:b/>
                <w:szCs w:val="21"/>
              </w:rPr>
              <w:t>表4-27 工程井口与周围设施间距离的符合性</w:t>
            </w:r>
          </w:p>
          <w:tbl>
            <w:tblPr>
              <w:tblStyle w:val="4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34"/>
              <w:gridCol w:w="1501"/>
              <w:gridCol w:w="2567"/>
              <w:gridCol w:w="20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034" w:type="dxa"/>
                  <w:vAlign w:val="center"/>
                </w:tcPr>
                <w:p>
                  <w:pPr>
                    <w:jc w:val="center"/>
                    <w:rPr>
                      <w:szCs w:val="21"/>
                    </w:rPr>
                  </w:pPr>
                  <w:r>
                    <w:rPr>
                      <w:szCs w:val="21"/>
                    </w:rPr>
                    <w:t>名称</w:t>
                  </w:r>
                </w:p>
              </w:tc>
              <w:tc>
                <w:tcPr>
                  <w:tcW w:w="1501" w:type="dxa"/>
                  <w:vAlign w:val="center"/>
                </w:tcPr>
                <w:p>
                  <w:pPr>
                    <w:jc w:val="center"/>
                    <w:rPr>
                      <w:szCs w:val="21"/>
                    </w:rPr>
                  </w:pPr>
                  <w:r>
                    <w:rPr>
                      <w:szCs w:val="21"/>
                    </w:rPr>
                    <w:t>钻前工程井场技术要求</w:t>
                  </w:r>
                </w:p>
              </w:tc>
              <w:tc>
                <w:tcPr>
                  <w:tcW w:w="2567" w:type="dxa"/>
                  <w:vAlign w:val="center"/>
                </w:tcPr>
                <w:p>
                  <w:pPr>
                    <w:jc w:val="center"/>
                    <w:rPr>
                      <w:szCs w:val="21"/>
                    </w:rPr>
                  </w:pPr>
                  <w:r>
                    <w:rPr>
                      <w:szCs w:val="21"/>
                    </w:rPr>
                    <w:t>是否涉及居民区、铁路等</w:t>
                  </w:r>
                </w:p>
              </w:tc>
              <w:tc>
                <w:tcPr>
                  <w:tcW w:w="2035" w:type="dxa"/>
                  <w:vAlign w:val="center"/>
                </w:tcPr>
                <w:p>
                  <w:pPr>
                    <w:jc w:val="center"/>
                    <w:rPr>
                      <w:szCs w:val="21"/>
                    </w:rPr>
                  </w:pPr>
                  <w:r>
                    <w:rPr>
                      <w:szCs w:val="21"/>
                    </w:rPr>
                    <w:t>是否满足钻前技术要求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034" w:type="dxa"/>
                  <w:vAlign w:val="center"/>
                </w:tcPr>
                <w:p>
                  <w:pPr>
                    <w:jc w:val="center"/>
                    <w:rPr>
                      <w:szCs w:val="21"/>
                    </w:rPr>
                  </w:pPr>
                  <w:r>
                    <w:rPr>
                      <w:szCs w:val="21"/>
                    </w:rPr>
                    <w:t>高压线及其他永久设施</w:t>
                  </w:r>
                </w:p>
              </w:tc>
              <w:tc>
                <w:tcPr>
                  <w:tcW w:w="1501" w:type="dxa"/>
                  <w:vAlign w:val="center"/>
                </w:tcPr>
                <w:p>
                  <w:pPr>
                    <w:jc w:val="center"/>
                    <w:rPr>
                      <w:szCs w:val="21"/>
                    </w:rPr>
                  </w:pPr>
                  <w:r>
                    <w:rPr>
                      <w:szCs w:val="21"/>
                    </w:rPr>
                    <w:t>≥75m</w:t>
                  </w:r>
                </w:p>
              </w:tc>
              <w:tc>
                <w:tcPr>
                  <w:tcW w:w="2567" w:type="dxa"/>
                  <w:vAlign w:val="center"/>
                </w:tcPr>
                <w:p>
                  <w:pPr>
                    <w:jc w:val="center"/>
                    <w:rPr>
                      <w:szCs w:val="21"/>
                    </w:rPr>
                  </w:pPr>
                  <w:r>
                    <w:rPr>
                      <w:szCs w:val="21"/>
                    </w:rPr>
                    <w:t>不涉及</w:t>
                  </w:r>
                </w:p>
              </w:tc>
              <w:tc>
                <w:tcPr>
                  <w:tcW w:w="2035" w:type="dxa"/>
                  <w:vAlign w:val="center"/>
                </w:tcPr>
                <w:p>
                  <w:pPr>
                    <w:jc w:val="center"/>
                    <w:rPr>
                      <w:szCs w:val="21"/>
                    </w:rPr>
                  </w:pPr>
                  <w:r>
                    <w:rPr>
                      <w:szCs w:val="21"/>
                    </w:rPr>
                    <w:t>满足要求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034" w:type="dxa"/>
                  <w:vAlign w:val="center"/>
                </w:tcPr>
                <w:p>
                  <w:pPr>
                    <w:jc w:val="center"/>
                    <w:rPr>
                      <w:szCs w:val="21"/>
                    </w:rPr>
                  </w:pPr>
                  <w:r>
                    <w:rPr>
                      <w:szCs w:val="21"/>
                    </w:rPr>
                    <w:t>民宅</w:t>
                  </w:r>
                </w:p>
              </w:tc>
              <w:tc>
                <w:tcPr>
                  <w:tcW w:w="1501" w:type="dxa"/>
                  <w:vAlign w:val="center"/>
                </w:tcPr>
                <w:p>
                  <w:pPr>
                    <w:jc w:val="center"/>
                    <w:rPr>
                      <w:szCs w:val="21"/>
                    </w:rPr>
                  </w:pPr>
                  <w:r>
                    <w:rPr>
                      <w:szCs w:val="21"/>
                    </w:rPr>
                    <w:t>≥100m</w:t>
                  </w:r>
                </w:p>
              </w:tc>
              <w:tc>
                <w:tcPr>
                  <w:tcW w:w="2567" w:type="dxa"/>
                  <w:vAlign w:val="center"/>
                </w:tcPr>
                <w:p>
                  <w:pPr>
                    <w:jc w:val="center"/>
                    <w:rPr>
                      <w:szCs w:val="21"/>
                    </w:rPr>
                  </w:pPr>
                  <w:r>
                    <w:rPr>
                      <w:szCs w:val="21"/>
                    </w:rPr>
                    <w:t>井口100m范围内无民房</w:t>
                  </w:r>
                </w:p>
              </w:tc>
              <w:tc>
                <w:tcPr>
                  <w:tcW w:w="2035" w:type="dxa"/>
                  <w:vAlign w:val="center"/>
                </w:tcPr>
                <w:p>
                  <w:pPr>
                    <w:jc w:val="center"/>
                    <w:rPr>
                      <w:szCs w:val="21"/>
                    </w:rPr>
                  </w:pPr>
                  <w:r>
                    <w:rPr>
                      <w:szCs w:val="21"/>
                    </w:rPr>
                    <w:t>满足要求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034" w:type="dxa"/>
                  <w:vAlign w:val="center"/>
                </w:tcPr>
                <w:p>
                  <w:pPr>
                    <w:jc w:val="center"/>
                    <w:rPr>
                      <w:szCs w:val="21"/>
                    </w:rPr>
                  </w:pPr>
                  <w:r>
                    <w:rPr>
                      <w:szCs w:val="21"/>
                    </w:rPr>
                    <w:t>铁路</w:t>
                  </w:r>
                </w:p>
              </w:tc>
              <w:tc>
                <w:tcPr>
                  <w:tcW w:w="1501" w:type="dxa"/>
                  <w:vAlign w:val="center"/>
                </w:tcPr>
                <w:p>
                  <w:pPr>
                    <w:jc w:val="center"/>
                    <w:rPr>
                      <w:szCs w:val="21"/>
                    </w:rPr>
                  </w:pPr>
                  <w:r>
                    <w:rPr>
                      <w:szCs w:val="21"/>
                    </w:rPr>
                    <w:t>≥200m</w:t>
                  </w:r>
                </w:p>
              </w:tc>
              <w:tc>
                <w:tcPr>
                  <w:tcW w:w="2567" w:type="dxa"/>
                  <w:vAlign w:val="center"/>
                </w:tcPr>
                <w:p>
                  <w:pPr>
                    <w:jc w:val="center"/>
                    <w:rPr>
                      <w:szCs w:val="21"/>
                    </w:rPr>
                  </w:pPr>
                  <w:r>
                    <w:rPr>
                      <w:szCs w:val="21"/>
                    </w:rPr>
                    <w:t>不涉及</w:t>
                  </w:r>
                </w:p>
              </w:tc>
              <w:tc>
                <w:tcPr>
                  <w:tcW w:w="2035" w:type="dxa"/>
                  <w:vAlign w:val="center"/>
                </w:tcPr>
                <w:p>
                  <w:pPr>
                    <w:jc w:val="center"/>
                    <w:rPr>
                      <w:szCs w:val="21"/>
                    </w:rPr>
                  </w:pPr>
                  <w:r>
                    <w:rPr>
                      <w:szCs w:val="21"/>
                    </w:rPr>
                    <w:t>满足要求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034" w:type="dxa"/>
                  <w:vAlign w:val="center"/>
                </w:tcPr>
                <w:p>
                  <w:pPr>
                    <w:jc w:val="center"/>
                    <w:rPr>
                      <w:szCs w:val="21"/>
                    </w:rPr>
                  </w:pPr>
                  <w:r>
                    <w:rPr>
                      <w:szCs w:val="21"/>
                    </w:rPr>
                    <w:t>高速公路</w:t>
                  </w:r>
                </w:p>
              </w:tc>
              <w:tc>
                <w:tcPr>
                  <w:tcW w:w="1501" w:type="dxa"/>
                  <w:vAlign w:val="center"/>
                </w:tcPr>
                <w:p>
                  <w:pPr>
                    <w:jc w:val="center"/>
                    <w:rPr>
                      <w:szCs w:val="21"/>
                    </w:rPr>
                  </w:pPr>
                  <w:r>
                    <w:rPr>
                      <w:szCs w:val="21"/>
                    </w:rPr>
                    <w:t>≥200m</w:t>
                  </w:r>
                </w:p>
              </w:tc>
              <w:tc>
                <w:tcPr>
                  <w:tcW w:w="2567" w:type="dxa"/>
                  <w:vAlign w:val="center"/>
                </w:tcPr>
                <w:p>
                  <w:pPr>
                    <w:jc w:val="center"/>
                    <w:rPr>
                      <w:szCs w:val="21"/>
                    </w:rPr>
                  </w:pPr>
                  <w:r>
                    <w:rPr>
                      <w:szCs w:val="21"/>
                    </w:rPr>
                    <w:t>不涉及</w:t>
                  </w:r>
                </w:p>
              </w:tc>
              <w:tc>
                <w:tcPr>
                  <w:tcW w:w="2035" w:type="dxa"/>
                  <w:vAlign w:val="center"/>
                </w:tcPr>
                <w:p>
                  <w:pPr>
                    <w:jc w:val="center"/>
                    <w:rPr>
                      <w:szCs w:val="21"/>
                    </w:rPr>
                  </w:pPr>
                  <w:r>
                    <w:rPr>
                      <w:szCs w:val="21"/>
                    </w:rPr>
                    <w:t>满足要求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034" w:type="dxa"/>
                  <w:vAlign w:val="center"/>
                </w:tcPr>
                <w:p>
                  <w:pPr>
                    <w:jc w:val="center"/>
                    <w:rPr>
                      <w:szCs w:val="21"/>
                    </w:rPr>
                  </w:pPr>
                  <w:r>
                    <w:rPr>
                      <w:szCs w:val="21"/>
                    </w:rPr>
                    <w:t>学校</w:t>
                  </w:r>
                </w:p>
              </w:tc>
              <w:tc>
                <w:tcPr>
                  <w:tcW w:w="1501" w:type="dxa"/>
                  <w:vAlign w:val="center"/>
                </w:tcPr>
                <w:p>
                  <w:pPr>
                    <w:jc w:val="center"/>
                    <w:rPr>
                      <w:szCs w:val="21"/>
                    </w:rPr>
                  </w:pPr>
                  <w:r>
                    <w:rPr>
                      <w:szCs w:val="21"/>
                    </w:rPr>
                    <w:t>≥500m</w:t>
                  </w:r>
                </w:p>
              </w:tc>
              <w:tc>
                <w:tcPr>
                  <w:tcW w:w="2567" w:type="dxa"/>
                  <w:vAlign w:val="center"/>
                </w:tcPr>
                <w:p>
                  <w:pPr>
                    <w:jc w:val="center"/>
                    <w:rPr>
                      <w:szCs w:val="21"/>
                    </w:rPr>
                  </w:pPr>
                  <w:r>
                    <w:rPr>
                      <w:szCs w:val="21"/>
                    </w:rPr>
                    <w:t>500m范围内不涉及</w:t>
                  </w:r>
                </w:p>
              </w:tc>
              <w:tc>
                <w:tcPr>
                  <w:tcW w:w="2035" w:type="dxa"/>
                  <w:vAlign w:val="center"/>
                </w:tcPr>
                <w:p>
                  <w:pPr>
                    <w:jc w:val="center"/>
                    <w:rPr>
                      <w:szCs w:val="21"/>
                    </w:rPr>
                  </w:pPr>
                  <w:r>
                    <w:rPr>
                      <w:szCs w:val="21"/>
                    </w:rPr>
                    <w:t>满足要求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034" w:type="dxa"/>
                  <w:vAlign w:val="center"/>
                </w:tcPr>
                <w:p>
                  <w:pPr>
                    <w:jc w:val="center"/>
                    <w:rPr>
                      <w:szCs w:val="21"/>
                    </w:rPr>
                  </w:pPr>
                  <w:r>
                    <w:rPr>
                      <w:szCs w:val="21"/>
                    </w:rPr>
                    <w:t>医院</w:t>
                  </w:r>
                </w:p>
              </w:tc>
              <w:tc>
                <w:tcPr>
                  <w:tcW w:w="1501" w:type="dxa"/>
                  <w:vAlign w:val="center"/>
                </w:tcPr>
                <w:p>
                  <w:pPr>
                    <w:jc w:val="center"/>
                    <w:rPr>
                      <w:szCs w:val="21"/>
                    </w:rPr>
                  </w:pPr>
                  <w:r>
                    <w:rPr>
                      <w:szCs w:val="21"/>
                    </w:rPr>
                    <w:t>≥500m</w:t>
                  </w:r>
                </w:p>
              </w:tc>
              <w:tc>
                <w:tcPr>
                  <w:tcW w:w="2567" w:type="dxa"/>
                  <w:vAlign w:val="center"/>
                </w:tcPr>
                <w:p>
                  <w:pPr>
                    <w:jc w:val="center"/>
                    <w:rPr>
                      <w:szCs w:val="21"/>
                    </w:rPr>
                  </w:pPr>
                  <w:r>
                    <w:rPr>
                      <w:szCs w:val="21"/>
                    </w:rPr>
                    <w:t>500m范围内不涉及</w:t>
                  </w:r>
                </w:p>
              </w:tc>
              <w:tc>
                <w:tcPr>
                  <w:tcW w:w="2035" w:type="dxa"/>
                  <w:vAlign w:val="center"/>
                </w:tcPr>
                <w:p>
                  <w:pPr>
                    <w:jc w:val="center"/>
                    <w:rPr>
                      <w:szCs w:val="21"/>
                    </w:rPr>
                  </w:pPr>
                  <w:r>
                    <w:rPr>
                      <w:szCs w:val="21"/>
                    </w:rPr>
                    <w:t>满足要求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034" w:type="dxa"/>
                  <w:vAlign w:val="center"/>
                </w:tcPr>
                <w:p>
                  <w:pPr>
                    <w:jc w:val="center"/>
                    <w:rPr>
                      <w:szCs w:val="21"/>
                    </w:rPr>
                  </w:pPr>
                  <w:r>
                    <w:rPr>
                      <w:szCs w:val="21"/>
                    </w:rPr>
                    <w:t>油库等高危险场所</w:t>
                  </w:r>
                </w:p>
              </w:tc>
              <w:tc>
                <w:tcPr>
                  <w:tcW w:w="1501" w:type="dxa"/>
                  <w:vAlign w:val="center"/>
                </w:tcPr>
                <w:p>
                  <w:pPr>
                    <w:jc w:val="center"/>
                    <w:rPr>
                      <w:szCs w:val="21"/>
                    </w:rPr>
                  </w:pPr>
                  <w:r>
                    <w:rPr>
                      <w:szCs w:val="21"/>
                    </w:rPr>
                    <w:t>≥500m</w:t>
                  </w:r>
                </w:p>
              </w:tc>
              <w:tc>
                <w:tcPr>
                  <w:tcW w:w="2567" w:type="dxa"/>
                  <w:vAlign w:val="center"/>
                </w:tcPr>
                <w:p>
                  <w:pPr>
                    <w:jc w:val="center"/>
                    <w:rPr>
                      <w:szCs w:val="21"/>
                    </w:rPr>
                  </w:pPr>
                  <w:r>
                    <w:rPr>
                      <w:szCs w:val="21"/>
                    </w:rPr>
                    <w:t>500m范围内不涉及</w:t>
                  </w:r>
                </w:p>
              </w:tc>
              <w:tc>
                <w:tcPr>
                  <w:tcW w:w="2035" w:type="dxa"/>
                  <w:vAlign w:val="center"/>
                </w:tcPr>
                <w:p>
                  <w:pPr>
                    <w:jc w:val="center"/>
                    <w:rPr>
                      <w:szCs w:val="21"/>
                    </w:rPr>
                  </w:pPr>
                  <w:r>
                    <w:rPr>
                      <w:szCs w:val="21"/>
                    </w:rPr>
                    <w:t>满足要求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034" w:type="dxa"/>
                  <w:vAlign w:val="center"/>
                </w:tcPr>
                <w:p>
                  <w:pPr>
                    <w:jc w:val="center"/>
                    <w:rPr>
                      <w:szCs w:val="21"/>
                    </w:rPr>
                  </w:pPr>
                  <w:r>
                    <w:rPr>
                      <w:szCs w:val="21"/>
                    </w:rPr>
                    <w:t>集中居住地、人员密集区</w:t>
                  </w:r>
                </w:p>
              </w:tc>
              <w:tc>
                <w:tcPr>
                  <w:tcW w:w="1501" w:type="dxa"/>
                  <w:vAlign w:val="center"/>
                </w:tcPr>
                <w:p>
                  <w:pPr>
                    <w:jc w:val="center"/>
                    <w:rPr>
                      <w:szCs w:val="21"/>
                    </w:rPr>
                  </w:pPr>
                  <w:r>
                    <w:rPr>
                      <w:szCs w:val="21"/>
                    </w:rPr>
                    <w:t>≥500m</w:t>
                  </w:r>
                </w:p>
              </w:tc>
              <w:tc>
                <w:tcPr>
                  <w:tcW w:w="2567" w:type="dxa"/>
                  <w:vAlign w:val="center"/>
                </w:tcPr>
                <w:p>
                  <w:pPr>
                    <w:jc w:val="center"/>
                    <w:rPr>
                      <w:szCs w:val="21"/>
                    </w:rPr>
                  </w:pPr>
                  <w:r>
                    <w:rPr>
                      <w:szCs w:val="21"/>
                    </w:rPr>
                    <w:t>500m范围内不涉及</w:t>
                  </w:r>
                </w:p>
              </w:tc>
              <w:tc>
                <w:tcPr>
                  <w:tcW w:w="2035" w:type="dxa"/>
                  <w:vAlign w:val="center"/>
                </w:tcPr>
                <w:p>
                  <w:pPr>
                    <w:jc w:val="center"/>
                    <w:rPr>
                      <w:szCs w:val="21"/>
                    </w:rPr>
                  </w:pPr>
                  <w:r>
                    <w:rPr>
                      <w:szCs w:val="21"/>
                    </w:rPr>
                    <w:t>满足要求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034" w:type="dxa"/>
                  <w:vAlign w:val="center"/>
                </w:tcPr>
                <w:p>
                  <w:pPr>
                    <w:jc w:val="center"/>
                    <w:rPr>
                      <w:szCs w:val="21"/>
                    </w:rPr>
                  </w:pPr>
                  <w:r>
                    <w:rPr>
                      <w:szCs w:val="21"/>
                    </w:rPr>
                    <w:t>地下矿产采掘坑、矿井坑道</w:t>
                  </w:r>
                </w:p>
              </w:tc>
              <w:tc>
                <w:tcPr>
                  <w:tcW w:w="1501" w:type="dxa"/>
                  <w:vAlign w:val="center"/>
                </w:tcPr>
                <w:p>
                  <w:pPr>
                    <w:jc w:val="center"/>
                    <w:rPr>
                      <w:szCs w:val="21"/>
                    </w:rPr>
                  </w:pPr>
                  <w:r>
                    <w:rPr>
                      <w:szCs w:val="21"/>
                    </w:rPr>
                    <w:t>≥100m</w:t>
                  </w:r>
                </w:p>
              </w:tc>
              <w:tc>
                <w:tcPr>
                  <w:tcW w:w="2567" w:type="dxa"/>
                  <w:vAlign w:val="center"/>
                </w:tcPr>
                <w:p>
                  <w:pPr>
                    <w:jc w:val="center"/>
                    <w:rPr>
                      <w:szCs w:val="21"/>
                    </w:rPr>
                  </w:pPr>
                  <w:r>
                    <w:rPr>
                      <w:szCs w:val="21"/>
                    </w:rPr>
                    <w:t>不涉及</w:t>
                  </w:r>
                </w:p>
              </w:tc>
              <w:tc>
                <w:tcPr>
                  <w:tcW w:w="2035" w:type="dxa"/>
                  <w:vAlign w:val="center"/>
                </w:tcPr>
                <w:p>
                  <w:pPr>
                    <w:jc w:val="center"/>
                    <w:rPr>
                      <w:szCs w:val="21"/>
                    </w:rPr>
                  </w:pPr>
                  <w:r>
                    <w:rPr>
                      <w:szCs w:val="21"/>
                    </w:rPr>
                    <w:t>满足要求</w:t>
                  </w:r>
                </w:p>
              </w:tc>
            </w:tr>
          </w:tbl>
          <w:p>
            <w:pPr>
              <w:spacing w:line="360" w:lineRule="auto"/>
              <w:ind w:firstLine="420" w:firstLineChars="200"/>
              <w:rPr>
                <w:bCs/>
                <w:szCs w:val="21"/>
              </w:rPr>
            </w:pPr>
            <w:r>
              <w:rPr>
                <w:bCs/>
                <w:szCs w:val="21"/>
              </w:rPr>
              <w:t>本项目放喷池距离井口约105m。周边主要为旱地及少量普通树木，杂草。放喷池周边100m无居民和其他建构筑物设施。</w:t>
            </w:r>
            <w:r>
              <w:rPr>
                <w:rFonts w:hint="eastAsia"/>
                <w:bCs/>
                <w:szCs w:val="21"/>
              </w:rPr>
              <w:t>因此，平安101井</w:t>
            </w:r>
            <w:r>
              <w:rPr>
                <w:bCs/>
                <w:szCs w:val="21"/>
              </w:rPr>
              <w:t>符合《钻前工程及井场布置技术要求》（SY/T5466-2013）的相关要求。</w:t>
            </w:r>
          </w:p>
          <w:p>
            <w:pPr>
              <w:spacing w:line="360" w:lineRule="auto"/>
              <w:ind w:firstLine="420" w:firstLineChars="200"/>
              <w:rPr>
                <w:szCs w:val="21"/>
              </w:rPr>
            </w:pPr>
            <w:r>
              <w:rPr>
                <w:szCs w:val="21"/>
              </w:rPr>
              <w:t>项目产生的危险废物主要为油类，油类由废油桶收集。经调查，危废临时收集设施附近无自然保护区、风景名胜区、集中式水源地等敏感点分布，在采取三防措施后对其影响较小，各危废经分类收集后交由有资质单位进行处置。</w:t>
            </w:r>
          </w:p>
          <w:p>
            <w:pPr>
              <w:spacing w:line="360" w:lineRule="auto"/>
              <w:ind w:firstLine="420" w:firstLineChars="200"/>
              <w:rPr>
                <w:bCs/>
                <w:szCs w:val="21"/>
              </w:rPr>
            </w:pPr>
            <w:r>
              <w:rPr>
                <w:szCs w:val="21"/>
              </w:rPr>
              <w:t>通过采取评价提出的技术经济可行的环保措施，该项目不改变区域环境功能，对周边居民的影响小，环境影响可接受。环境风险的防范和应急措施主要根据相关行业规范、环评导则要求以及在同行业类似项目采取的措施提出，环境风险可控。</w:t>
            </w:r>
          </w:p>
        </w:tc>
      </w:tr>
    </w:tbl>
    <w:p>
      <w:pPr>
        <w:pStyle w:val="36"/>
        <w:jc w:val="center"/>
        <w:rPr>
          <w:rFonts w:ascii="Times New Roman" w:hAnsi="Times New Roman" w:eastAsia="黑体"/>
          <w:snapToGrid w:val="0"/>
          <w:sz w:val="21"/>
          <w:szCs w:val="21"/>
        </w:rPr>
        <w:sectPr>
          <w:pgSz w:w="11906" w:h="16838"/>
          <w:pgMar w:top="1440" w:right="1797" w:bottom="1440" w:left="1797" w:header="851" w:footer="1077" w:gutter="0"/>
          <w:cols w:space="720" w:num="1"/>
          <w:docGrid w:linePitch="312" w:charSpace="0"/>
        </w:sectPr>
      </w:pPr>
    </w:p>
    <w:p>
      <w:pPr>
        <w:pStyle w:val="36"/>
        <w:adjustRightInd w:val="0"/>
        <w:snapToGrid w:val="0"/>
        <w:spacing w:before="0" w:beforeAutospacing="0" w:after="0" w:afterAutospacing="0" w:line="14" w:lineRule="auto"/>
        <w:jc w:val="center"/>
        <w:rPr>
          <w:rFonts w:ascii="Times New Roman" w:hAnsi="Times New Roman" w:eastAsia="黑体"/>
          <w:snapToGrid w:val="0"/>
          <w:sz w:val="21"/>
          <w:szCs w:val="21"/>
        </w:rPr>
      </w:pPr>
    </w:p>
    <w:p>
      <w:pPr>
        <w:pStyle w:val="36"/>
        <w:jc w:val="center"/>
        <w:outlineLvl w:val="0"/>
        <w:rPr>
          <w:rFonts w:ascii="Times New Roman" w:hAnsi="Times New Roman" w:eastAsia="黑体"/>
          <w:snapToGrid w:val="0"/>
          <w:sz w:val="32"/>
          <w:szCs w:val="21"/>
        </w:rPr>
      </w:pPr>
      <w:r>
        <w:rPr>
          <w:rFonts w:ascii="Times New Roman" w:hAnsi="Times New Roman" w:eastAsia="黑体"/>
          <w:snapToGrid w:val="0"/>
          <w:sz w:val="32"/>
          <w:szCs w:val="21"/>
        </w:rPr>
        <w:t>五、主要生态环境保护措施</w:t>
      </w:r>
    </w:p>
    <w:tbl>
      <w:tblPr>
        <w:tblStyle w:val="42"/>
        <w:tblW w:w="921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53"/>
        <w:gridCol w:w="845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82" w:hRule="atLeast"/>
          <w:jc w:val="center"/>
        </w:trPr>
        <w:tc>
          <w:tcPr>
            <w:tcW w:w="753" w:type="dxa"/>
            <w:tcMar>
              <w:left w:w="28" w:type="dxa"/>
              <w:right w:w="28" w:type="dxa"/>
            </w:tcMar>
            <w:vAlign w:val="center"/>
          </w:tcPr>
          <w:p>
            <w:pPr>
              <w:adjustRightInd w:val="0"/>
              <w:snapToGrid w:val="0"/>
              <w:jc w:val="center"/>
              <w:rPr>
                <w:bCs/>
                <w:szCs w:val="21"/>
              </w:rPr>
            </w:pPr>
            <w:r>
              <w:rPr>
                <w:bCs/>
                <w:spacing w:val="10"/>
                <w:szCs w:val="21"/>
              </w:rPr>
              <w:t>施工期生态环境保护措施</w:t>
            </w:r>
          </w:p>
        </w:tc>
        <w:tc>
          <w:tcPr>
            <w:tcW w:w="8457" w:type="dxa"/>
          </w:tcPr>
          <w:p>
            <w:pPr>
              <w:spacing w:line="360" w:lineRule="auto"/>
              <w:rPr>
                <w:b/>
                <w:bCs/>
                <w:szCs w:val="21"/>
              </w:rPr>
            </w:pPr>
            <w:r>
              <w:rPr>
                <w:b/>
                <w:bCs/>
                <w:szCs w:val="21"/>
              </w:rPr>
              <w:t>5.1废气治理措施及可行性分析</w:t>
            </w:r>
          </w:p>
          <w:p>
            <w:pPr>
              <w:spacing w:line="360" w:lineRule="auto"/>
              <w:ind w:firstLine="420" w:firstLineChars="200"/>
              <w:rPr>
                <w:bCs/>
                <w:szCs w:val="21"/>
              </w:rPr>
            </w:pPr>
            <w:r>
              <w:rPr>
                <w:rFonts w:hint="eastAsia"/>
                <w:bCs/>
                <w:szCs w:val="21"/>
              </w:rPr>
              <w:t>（1）钻前工程</w:t>
            </w:r>
          </w:p>
          <w:p>
            <w:pPr>
              <w:spacing w:line="360" w:lineRule="auto"/>
              <w:ind w:firstLine="420" w:firstLineChars="200"/>
              <w:rPr>
                <w:bCs/>
                <w:szCs w:val="21"/>
              </w:rPr>
            </w:pPr>
            <w:r>
              <w:rPr>
                <w:rFonts w:hint="eastAsia"/>
                <w:bCs/>
                <w:szCs w:val="21"/>
              </w:rPr>
              <w:t>道路维修作业时，现场定期洒水，减少扬尘产生量和影响范围。运输建筑材料等车辆，</w:t>
            </w:r>
            <w:r>
              <w:rPr>
                <w:rFonts w:hint="eastAsia"/>
                <w:bCs/>
                <w:color w:val="auto"/>
                <w:szCs w:val="21"/>
              </w:rPr>
              <w:t>车箱</w:t>
            </w:r>
            <w:r>
              <w:rPr>
                <w:rFonts w:hint="eastAsia"/>
                <w:bCs/>
                <w:szCs w:val="21"/>
              </w:rPr>
              <w:t>遮盖严密后方可运出场外。对土石方临时堆场及建筑材料（如水泥、沙石等）修建围护设施，并合理堆放物料，减少迎风面积，同时定时洒水，减少风对料堆表面细小颗粒物的侵蚀引起的扬尘量。开挖的土方在遇大风天气时，应用</w:t>
            </w:r>
            <w:r>
              <w:rPr>
                <w:rFonts w:hint="eastAsia"/>
                <w:bCs/>
                <w:color w:val="auto"/>
                <w:szCs w:val="21"/>
              </w:rPr>
              <w:t>蓬布</w:t>
            </w:r>
            <w:r>
              <w:rPr>
                <w:rFonts w:hint="eastAsia"/>
                <w:bCs/>
                <w:szCs w:val="21"/>
              </w:rPr>
              <w:t>遮盖，减少扬尘产生量。</w:t>
            </w:r>
          </w:p>
          <w:p>
            <w:pPr>
              <w:spacing w:line="360" w:lineRule="auto"/>
              <w:ind w:firstLine="420" w:firstLineChars="200"/>
              <w:rPr>
                <w:bCs/>
                <w:szCs w:val="21"/>
              </w:rPr>
            </w:pPr>
            <w:r>
              <w:rPr>
                <w:rFonts w:hint="eastAsia"/>
                <w:bCs/>
                <w:szCs w:val="21"/>
              </w:rPr>
              <w:t>总体看来，钻前作业不会对当地环境空气造成明显不利影响，对周围环境影响是可接受的。</w:t>
            </w:r>
          </w:p>
          <w:p>
            <w:pPr>
              <w:spacing w:line="360" w:lineRule="auto"/>
              <w:ind w:firstLine="420" w:firstLineChars="200"/>
              <w:rPr>
                <w:bCs/>
                <w:szCs w:val="21"/>
              </w:rPr>
            </w:pPr>
            <w:r>
              <w:rPr>
                <w:bCs/>
                <w:szCs w:val="21"/>
              </w:rPr>
              <w:t>（2）钻井工程</w:t>
            </w:r>
          </w:p>
          <w:p>
            <w:pPr>
              <w:spacing w:line="360" w:lineRule="auto"/>
              <w:ind w:firstLine="420" w:firstLineChars="200"/>
              <w:rPr>
                <w:bCs/>
                <w:szCs w:val="21"/>
              </w:rPr>
            </w:pPr>
            <w:bookmarkStart w:id="37" w:name="_Hlk103759650"/>
            <w:r>
              <w:rPr>
                <w:bCs/>
                <w:szCs w:val="21"/>
              </w:rPr>
              <w:t>备用柴油机发电机等设备使用优质柴油，产生的大气污染物浓度低，且柴油机发电机设备均为成套产品，经自带的排气筒排放</w:t>
            </w:r>
            <w:bookmarkEnd w:id="37"/>
            <w:r>
              <w:rPr>
                <w:bCs/>
                <w:szCs w:val="21"/>
              </w:rPr>
              <w:t>。</w:t>
            </w:r>
          </w:p>
          <w:p>
            <w:pPr>
              <w:spacing w:line="360" w:lineRule="auto"/>
              <w:ind w:firstLine="420" w:firstLineChars="200"/>
              <w:rPr>
                <w:bCs/>
                <w:szCs w:val="21"/>
              </w:rPr>
            </w:pPr>
            <w:r>
              <w:rPr>
                <w:bCs/>
                <w:szCs w:val="21"/>
              </w:rPr>
              <w:t>（</w:t>
            </w:r>
            <w:r>
              <w:rPr>
                <w:rFonts w:hint="eastAsia"/>
                <w:bCs/>
                <w:szCs w:val="21"/>
              </w:rPr>
              <w:t>3</w:t>
            </w:r>
            <w:r>
              <w:rPr>
                <w:bCs/>
                <w:szCs w:val="21"/>
              </w:rPr>
              <w:t>）测试放喷废气</w:t>
            </w:r>
          </w:p>
          <w:p>
            <w:pPr>
              <w:spacing w:line="360" w:lineRule="auto"/>
              <w:ind w:firstLine="420" w:firstLineChars="200"/>
              <w:rPr>
                <w:bCs/>
                <w:szCs w:val="21"/>
              </w:rPr>
            </w:pPr>
            <w:r>
              <w:rPr>
                <w:bCs/>
                <w:szCs w:val="21"/>
              </w:rPr>
              <w:t>测试放喷废气主要采用地面燃烧处理，测试放喷管口高为1m，采用短火焰灼烧器，修建燃烧池降低热辐射影响。放喷管线采用螺纹与标准法兰连接的专用抗硫管材。水泥基墩坑长×宽×深为0.8m×0.8m×1.0m，遇地表松软时，基坑体积应大于1.2m</w:t>
            </w:r>
            <w:r>
              <w:rPr>
                <w:bCs/>
                <w:szCs w:val="21"/>
                <w:vertAlign w:val="superscript"/>
              </w:rPr>
              <w:t>3</w:t>
            </w:r>
            <w:r>
              <w:rPr>
                <w:bCs/>
                <w:szCs w:val="21"/>
              </w:rPr>
              <w:t>；地脚螺栓直径不小于20mm，预埋长度不小于0.5m。燃烧池内层采用耐火砖修建。该技术在钻井工程中广泛应用，技术成熟可靠，措施可行。</w:t>
            </w:r>
          </w:p>
          <w:p>
            <w:pPr>
              <w:spacing w:line="360" w:lineRule="auto"/>
              <w:ind w:firstLine="420" w:firstLineChars="200"/>
              <w:rPr>
                <w:bCs/>
                <w:szCs w:val="21"/>
              </w:rPr>
            </w:pPr>
            <w:r>
              <w:rPr>
                <w:bCs/>
                <w:szCs w:val="21"/>
              </w:rPr>
              <w:t>综上所述，本项目采取的废气治理措施是可行有效的。</w:t>
            </w:r>
          </w:p>
          <w:p>
            <w:pPr>
              <w:spacing w:line="360" w:lineRule="auto"/>
              <w:rPr>
                <w:b/>
                <w:bCs/>
                <w:szCs w:val="21"/>
              </w:rPr>
            </w:pPr>
            <w:r>
              <w:rPr>
                <w:b/>
                <w:bCs/>
                <w:szCs w:val="21"/>
              </w:rPr>
              <w:t>5.2废水治理措施及可行性分析</w:t>
            </w:r>
          </w:p>
          <w:p>
            <w:pPr>
              <w:spacing w:line="360" w:lineRule="auto"/>
              <w:ind w:firstLine="420" w:firstLineChars="200"/>
              <w:rPr>
                <w:bCs/>
                <w:szCs w:val="21"/>
              </w:rPr>
            </w:pPr>
            <w:r>
              <w:rPr>
                <w:rFonts w:hint="eastAsia"/>
                <w:bCs/>
                <w:szCs w:val="21"/>
              </w:rPr>
              <w:t>（1）钻前工程</w:t>
            </w:r>
          </w:p>
          <w:p>
            <w:pPr>
              <w:spacing w:line="360" w:lineRule="auto"/>
              <w:ind w:firstLine="420" w:firstLineChars="200"/>
              <w:rPr>
                <w:bCs/>
                <w:szCs w:val="21"/>
              </w:rPr>
            </w:pPr>
            <w:r>
              <w:rPr>
                <w:rFonts w:hint="eastAsia"/>
                <w:bCs/>
                <w:szCs w:val="21"/>
              </w:rPr>
              <w:t>施工废水经沉淀处理后循环使用，不外排。生活污水来自施工人员，施工期间生活污水产生量小，钻前作业人员生活污水依托周边农户已建设施处理。</w:t>
            </w:r>
          </w:p>
          <w:p>
            <w:pPr>
              <w:spacing w:line="360" w:lineRule="auto"/>
              <w:ind w:firstLine="420" w:firstLineChars="200"/>
              <w:rPr>
                <w:bCs/>
                <w:szCs w:val="21"/>
              </w:rPr>
            </w:pPr>
            <w:r>
              <w:rPr>
                <w:rFonts w:hint="eastAsia"/>
                <w:bCs/>
                <w:szCs w:val="21"/>
              </w:rPr>
              <w:t>拟建项目现场无生活污水产生和排放，不会对井场周边地表水产生影响</w:t>
            </w:r>
          </w:p>
          <w:p>
            <w:pPr>
              <w:spacing w:line="360" w:lineRule="auto"/>
              <w:ind w:firstLine="420" w:firstLineChars="200"/>
              <w:rPr>
                <w:bCs/>
                <w:szCs w:val="21"/>
              </w:rPr>
            </w:pPr>
            <w:r>
              <w:rPr>
                <w:rFonts w:hint="eastAsia"/>
                <w:bCs/>
                <w:szCs w:val="21"/>
              </w:rPr>
              <w:t>（2）钻井工程</w:t>
            </w:r>
          </w:p>
          <w:p>
            <w:pPr>
              <w:spacing w:line="360" w:lineRule="auto"/>
              <w:ind w:firstLine="420" w:firstLineChars="200"/>
              <w:rPr>
                <w:bCs/>
                <w:szCs w:val="21"/>
              </w:rPr>
            </w:pPr>
            <w:r>
              <w:rPr>
                <w:bCs/>
                <w:szCs w:val="21"/>
              </w:rPr>
              <w:t>本项目产生的废水主要为</w:t>
            </w:r>
            <w:r>
              <w:rPr>
                <w:rFonts w:hint="eastAsia"/>
                <w:bCs/>
                <w:szCs w:val="21"/>
              </w:rPr>
              <w:t>场地雨水、</w:t>
            </w:r>
            <w:r>
              <w:rPr>
                <w:bCs/>
                <w:szCs w:val="21"/>
              </w:rPr>
              <w:t>钻井废水、</w:t>
            </w:r>
            <w:r>
              <w:rPr>
                <w:rFonts w:hint="eastAsia"/>
                <w:bCs/>
                <w:szCs w:val="21"/>
              </w:rPr>
              <w:t>洗井废水、压裂废水、</w:t>
            </w:r>
            <w:r>
              <w:rPr>
                <w:bCs/>
                <w:szCs w:val="21"/>
              </w:rPr>
              <w:t>生活污水，</w:t>
            </w:r>
            <w:r>
              <w:rPr>
                <w:rFonts w:hint="eastAsia"/>
                <w:bCs/>
                <w:szCs w:val="21"/>
              </w:rPr>
              <w:t>场地雨水、</w:t>
            </w:r>
            <w:r>
              <w:rPr>
                <w:bCs/>
                <w:szCs w:val="21"/>
              </w:rPr>
              <w:t>钻井废水</w:t>
            </w:r>
            <w:r>
              <w:rPr>
                <w:rFonts w:hint="eastAsia"/>
                <w:bCs/>
                <w:szCs w:val="21"/>
              </w:rPr>
              <w:t>、洗井废水经现场暂存后回用，不能回用时暂存于废水罐或应急池内，最终同压裂废水</w:t>
            </w:r>
            <w:r>
              <w:rPr>
                <w:bCs/>
                <w:szCs w:val="21"/>
              </w:rPr>
              <w:t>预处理后拟交由四川瑞利生物科技有限公司污水处理厂处理达标排放，属于依托排放，</w:t>
            </w:r>
            <w:r>
              <w:rPr>
                <w:rFonts w:hint="eastAsia"/>
                <w:bCs/>
                <w:szCs w:val="21"/>
              </w:rPr>
              <w:t>生活污水经旱厕收集后由吸污车拉运至北山镇污水处理厂处理后排放</w:t>
            </w:r>
            <w:r>
              <w:rPr>
                <w:bCs/>
                <w:szCs w:val="21"/>
              </w:rPr>
              <w:t>，不外排。废水依托性如下：</w:t>
            </w:r>
          </w:p>
          <w:p>
            <w:pPr>
              <w:spacing w:line="360" w:lineRule="auto"/>
              <w:ind w:firstLine="420" w:firstLineChars="200"/>
              <w:rPr>
                <w:bCs/>
                <w:szCs w:val="21"/>
              </w:rPr>
            </w:pPr>
            <w:r>
              <w:rPr>
                <w:bCs/>
                <w:szCs w:val="21"/>
              </w:rPr>
              <w:fldChar w:fldCharType="begin"/>
            </w:r>
            <w:r>
              <w:rPr>
                <w:bCs/>
                <w:szCs w:val="21"/>
              </w:rPr>
              <w:instrText xml:space="preserve"> </w:instrText>
            </w:r>
            <w:r>
              <w:rPr>
                <w:rFonts w:hint="eastAsia"/>
                <w:bCs/>
                <w:szCs w:val="21"/>
              </w:rPr>
              <w:instrText xml:space="preserve">= 1 \* GB3</w:instrText>
            </w:r>
            <w:r>
              <w:rPr>
                <w:bCs/>
                <w:szCs w:val="21"/>
              </w:rPr>
              <w:instrText xml:space="preserve"> </w:instrText>
            </w:r>
            <w:r>
              <w:rPr>
                <w:bCs/>
                <w:szCs w:val="21"/>
              </w:rPr>
              <w:fldChar w:fldCharType="separate"/>
            </w:r>
            <w:r>
              <w:rPr>
                <w:rFonts w:hint="eastAsia"/>
                <w:bCs/>
                <w:szCs w:val="21"/>
              </w:rPr>
              <w:t>①</w:t>
            </w:r>
            <w:r>
              <w:rPr>
                <w:bCs/>
                <w:szCs w:val="21"/>
              </w:rPr>
              <w:fldChar w:fldCharType="end"/>
            </w:r>
            <w:r>
              <w:rPr>
                <w:bCs/>
                <w:szCs w:val="21"/>
              </w:rPr>
              <w:t>废水防治措施可行性分析</w:t>
            </w:r>
          </w:p>
          <w:p>
            <w:pPr>
              <w:spacing w:line="360" w:lineRule="auto"/>
              <w:ind w:firstLine="420" w:firstLineChars="200"/>
              <w:rPr>
                <w:bCs/>
                <w:szCs w:val="21"/>
              </w:rPr>
            </w:pPr>
            <w:r>
              <w:rPr>
                <w:bCs/>
                <w:szCs w:val="21"/>
              </w:rPr>
              <w:t>井场清污分流措施简单，广泛采用，设计中明确，纳入工程投资，能够有效的收集井场内污染区的雨水和污水。同时将清洁区雨水隔油处理排放，有利于减少废水量。技术经济可行。</w:t>
            </w:r>
          </w:p>
          <w:p>
            <w:pPr>
              <w:spacing w:line="360" w:lineRule="auto"/>
              <w:ind w:firstLine="420" w:firstLineChars="200"/>
              <w:rPr>
                <w:bCs/>
                <w:szCs w:val="21"/>
              </w:rPr>
            </w:pPr>
            <w:r>
              <w:rPr>
                <w:bCs/>
                <w:szCs w:val="21"/>
              </w:rPr>
              <w:t>清洁化操作工艺（清洁生产操作平台）在钻井行业已经得到广泛的应用，通过清洁生产操作平台，钻井过程中不断产生的废泥浆经清洁化流程处理，析出上清液重复利用于钻井过程中不断补充的钻井泥浆现场调配生产用水。钻井期间废水不断重复循环使用以实现钻井作业的清洁化生产。为保障该井清洁化生产方案的顺利实施，利用应急池作为本项目钻井过程中实施的清洁化生产方案的事故水池备用。</w:t>
            </w:r>
          </w:p>
          <w:p>
            <w:pPr>
              <w:spacing w:line="360" w:lineRule="auto"/>
              <w:ind w:firstLine="420" w:firstLineChars="200"/>
              <w:rPr>
                <w:bCs/>
                <w:szCs w:val="21"/>
              </w:rPr>
            </w:pPr>
            <w:r>
              <w:rPr>
                <w:bCs/>
                <w:szCs w:val="21"/>
              </w:rPr>
              <w:t>通过清洁化操作工艺（清洁生产操作平台），做到废水有效收集处理回用，减少最终废水量，有利于减轻对环境的影响。措施可行，纳入工程投资，经济可行。</w:t>
            </w:r>
          </w:p>
          <w:p>
            <w:pPr>
              <w:spacing w:line="360" w:lineRule="auto"/>
              <w:ind w:firstLine="420" w:firstLineChars="200"/>
              <w:rPr>
                <w:bCs/>
                <w:szCs w:val="21"/>
              </w:rPr>
            </w:pPr>
            <w:r>
              <w:rPr>
                <w:bCs/>
                <w:szCs w:val="21"/>
              </w:rPr>
              <w:fldChar w:fldCharType="begin"/>
            </w:r>
            <w:r>
              <w:rPr>
                <w:bCs/>
                <w:szCs w:val="21"/>
              </w:rPr>
              <w:instrText xml:space="preserve"> </w:instrText>
            </w:r>
            <w:r>
              <w:rPr>
                <w:rFonts w:hint="eastAsia"/>
                <w:bCs/>
                <w:szCs w:val="21"/>
              </w:rPr>
              <w:instrText xml:space="preserve">= 2 \* GB3</w:instrText>
            </w:r>
            <w:r>
              <w:rPr>
                <w:bCs/>
                <w:szCs w:val="21"/>
              </w:rPr>
              <w:instrText xml:space="preserve"> </w:instrText>
            </w:r>
            <w:r>
              <w:rPr>
                <w:bCs/>
                <w:szCs w:val="21"/>
              </w:rPr>
              <w:fldChar w:fldCharType="separate"/>
            </w:r>
            <w:r>
              <w:rPr>
                <w:rFonts w:hint="eastAsia"/>
                <w:bCs/>
                <w:szCs w:val="21"/>
              </w:rPr>
              <w:t>②</w:t>
            </w:r>
            <w:r>
              <w:rPr>
                <w:bCs/>
                <w:szCs w:val="21"/>
              </w:rPr>
              <w:fldChar w:fldCharType="end"/>
            </w:r>
            <w:r>
              <w:rPr>
                <w:bCs/>
                <w:szCs w:val="21"/>
              </w:rPr>
              <w:t>废水井场贮存措施合理性分析</w:t>
            </w:r>
          </w:p>
          <w:p>
            <w:pPr>
              <w:spacing w:line="360" w:lineRule="auto"/>
              <w:ind w:firstLine="420" w:firstLineChars="200"/>
              <w:rPr>
                <w:bCs/>
                <w:szCs w:val="21"/>
              </w:rPr>
            </w:pPr>
            <w:r>
              <w:rPr>
                <w:rFonts w:hint="eastAsia"/>
                <w:bCs/>
                <w:szCs w:val="21"/>
              </w:rPr>
              <w:t>本项目</w:t>
            </w:r>
            <w:r>
              <w:rPr>
                <w:bCs/>
                <w:szCs w:val="21"/>
              </w:rPr>
              <w:t>钻井过程产生的废水储存在4个40m</w:t>
            </w:r>
            <w:r>
              <w:rPr>
                <w:bCs/>
                <w:szCs w:val="21"/>
                <w:vertAlign w:val="superscript"/>
              </w:rPr>
              <w:t>3</w:t>
            </w:r>
            <w:r>
              <w:rPr>
                <w:bCs/>
                <w:szCs w:val="21"/>
              </w:rPr>
              <w:t>废水罐和500m</w:t>
            </w:r>
            <w:r>
              <w:rPr>
                <w:bCs/>
                <w:szCs w:val="21"/>
                <w:vertAlign w:val="superscript"/>
              </w:rPr>
              <w:t>3</w:t>
            </w:r>
            <w:r>
              <w:rPr>
                <w:bCs/>
                <w:szCs w:val="21"/>
              </w:rPr>
              <w:t>应急池中</w:t>
            </w:r>
            <w:r>
              <w:rPr>
                <w:rFonts w:hint="eastAsia"/>
                <w:bCs/>
                <w:szCs w:val="21"/>
              </w:rPr>
              <w:t>，满足暂存本项目废水暂存量的需求</w:t>
            </w:r>
            <w:r>
              <w:rPr>
                <w:bCs/>
                <w:szCs w:val="21"/>
              </w:rPr>
              <w:t>。</w:t>
            </w:r>
            <w:r>
              <w:rPr>
                <w:rFonts w:hint="eastAsia"/>
                <w:bCs/>
                <w:szCs w:val="21"/>
              </w:rPr>
              <w:t>场地雨水、钻井废水经清洁生产操作平台内废水罐临时暂存后回用，</w:t>
            </w:r>
            <w:r>
              <w:rPr>
                <w:bCs/>
                <w:szCs w:val="21"/>
              </w:rPr>
              <w:t>洗井废水、</w:t>
            </w:r>
            <w:r>
              <w:rPr>
                <w:rFonts w:hint="eastAsia"/>
                <w:bCs/>
                <w:szCs w:val="21"/>
              </w:rPr>
              <w:t>压裂</w:t>
            </w:r>
            <w:r>
              <w:rPr>
                <w:bCs/>
                <w:szCs w:val="21"/>
              </w:rPr>
              <w:t>废水经排砂管道直接进入清洁生产操作平台的废水罐中预处理后临时储存应急池。废水储存过程中加强巡检，减少跑冒滴漏并及时转运返排液。废水最终拟交由四川瑞利生物科技有限公司污水处理厂处理。</w:t>
            </w:r>
          </w:p>
          <w:p>
            <w:pPr>
              <w:spacing w:line="360" w:lineRule="auto"/>
              <w:ind w:firstLine="420" w:firstLineChars="200"/>
              <w:rPr>
                <w:bCs/>
                <w:szCs w:val="21"/>
              </w:rPr>
            </w:pPr>
            <w:r>
              <w:rPr>
                <w:bCs/>
                <w:szCs w:val="21"/>
              </w:rPr>
              <w:t>本项目</w:t>
            </w:r>
            <w:r>
              <w:rPr>
                <w:rFonts w:hint="eastAsia"/>
                <w:bCs/>
                <w:szCs w:val="21"/>
              </w:rPr>
              <w:t>场地</w:t>
            </w:r>
            <w:r>
              <w:rPr>
                <w:bCs/>
                <w:szCs w:val="21"/>
              </w:rPr>
              <w:t>雨水产生量为12m</w:t>
            </w:r>
            <w:r>
              <w:rPr>
                <w:bCs/>
                <w:szCs w:val="21"/>
                <w:vertAlign w:val="superscript"/>
              </w:rPr>
              <w:t>3</w:t>
            </w:r>
            <w:r>
              <w:rPr>
                <w:bCs/>
                <w:szCs w:val="21"/>
              </w:rPr>
              <w:t>，钻井废水外运处理量为214.59m</w:t>
            </w:r>
            <w:r>
              <w:rPr>
                <w:bCs/>
                <w:szCs w:val="21"/>
                <w:vertAlign w:val="superscript"/>
              </w:rPr>
              <w:t>3</w:t>
            </w:r>
            <w:r>
              <w:rPr>
                <w:bCs/>
                <w:szCs w:val="21"/>
              </w:rPr>
              <w:t>，洗井废水量为25.29m</w:t>
            </w:r>
            <w:r>
              <w:rPr>
                <w:bCs/>
                <w:szCs w:val="21"/>
                <w:vertAlign w:val="superscript"/>
              </w:rPr>
              <w:t>3</w:t>
            </w:r>
            <w:r>
              <w:rPr>
                <w:bCs/>
                <w:szCs w:val="21"/>
              </w:rPr>
              <w:t>，酸化废水产生量为82.3m</w:t>
            </w:r>
            <w:r>
              <w:rPr>
                <w:bCs/>
                <w:szCs w:val="21"/>
                <w:vertAlign w:val="superscript"/>
              </w:rPr>
              <w:t>3</w:t>
            </w:r>
            <w:r>
              <w:rPr>
                <w:bCs/>
                <w:szCs w:val="21"/>
              </w:rPr>
              <w:t>，经估算，废水罐及应急池能满足废水暂存的需要，且废水产生后及时转运，不在井场内长期存储。</w:t>
            </w:r>
          </w:p>
          <w:p>
            <w:pPr>
              <w:spacing w:line="360" w:lineRule="auto"/>
              <w:ind w:firstLine="420" w:firstLineChars="200"/>
              <w:rPr>
                <w:bCs/>
                <w:szCs w:val="21"/>
              </w:rPr>
            </w:pPr>
            <w:r>
              <w:rPr>
                <w:bCs/>
                <w:szCs w:val="21"/>
              </w:rPr>
              <w:t>综上所述，本项目钻井过程中废水贮存及处置措施合理。</w:t>
            </w:r>
          </w:p>
          <w:p>
            <w:pPr>
              <w:spacing w:line="360" w:lineRule="auto"/>
              <w:ind w:firstLine="420" w:firstLineChars="200"/>
              <w:rPr>
                <w:bCs/>
                <w:szCs w:val="21"/>
              </w:rPr>
            </w:pPr>
            <w:r>
              <w:rPr>
                <w:bCs/>
                <w:szCs w:val="21"/>
              </w:rPr>
              <w:fldChar w:fldCharType="begin"/>
            </w:r>
            <w:r>
              <w:rPr>
                <w:bCs/>
                <w:szCs w:val="21"/>
              </w:rPr>
              <w:instrText xml:space="preserve"> </w:instrText>
            </w:r>
            <w:r>
              <w:rPr>
                <w:rFonts w:hint="eastAsia"/>
                <w:bCs/>
                <w:szCs w:val="21"/>
              </w:rPr>
              <w:instrText xml:space="preserve">= 3 \* GB3</w:instrText>
            </w:r>
            <w:r>
              <w:rPr>
                <w:bCs/>
                <w:szCs w:val="21"/>
              </w:rPr>
              <w:instrText xml:space="preserve"> </w:instrText>
            </w:r>
            <w:r>
              <w:rPr>
                <w:bCs/>
                <w:szCs w:val="21"/>
              </w:rPr>
              <w:fldChar w:fldCharType="separate"/>
            </w:r>
            <w:r>
              <w:rPr>
                <w:rFonts w:hint="eastAsia"/>
                <w:bCs/>
                <w:szCs w:val="21"/>
              </w:rPr>
              <w:t>③</w:t>
            </w:r>
            <w:r>
              <w:rPr>
                <w:bCs/>
                <w:szCs w:val="21"/>
              </w:rPr>
              <w:fldChar w:fldCharType="end"/>
            </w:r>
            <w:r>
              <w:rPr>
                <w:bCs/>
                <w:szCs w:val="21"/>
              </w:rPr>
              <w:t>废水处理单位</w:t>
            </w:r>
          </w:p>
          <w:p>
            <w:pPr>
              <w:spacing w:line="360" w:lineRule="auto"/>
              <w:ind w:firstLine="420" w:firstLineChars="200"/>
              <w:rPr>
                <w:bCs/>
                <w:szCs w:val="21"/>
              </w:rPr>
            </w:pPr>
            <w:r>
              <w:rPr>
                <w:bCs/>
                <w:szCs w:val="21"/>
              </w:rPr>
              <w:t>本项目产生钻井废水、试气废水拟交由四川瑞利生物科技有限公司，该单位具有营业执照（该公司经营范围为生物技术推广服务：专业技术服务业：环保工程）说明其可以对外经营，接受处理外来单位的废水。</w:t>
            </w:r>
          </w:p>
          <w:p>
            <w:pPr>
              <w:spacing w:line="360" w:lineRule="auto"/>
              <w:ind w:firstLine="420" w:firstLineChars="200"/>
              <w:rPr>
                <w:bCs/>
                <w:szCs w:val="21"/>
              </w:rPr>
            </w:pPr>
            <w:r>
              <w:rPr>
                <w:bCs/>
                <w:szCs w:val="21"/>
              </w:rPr>
              <w:t>2015年4月，四川瑞利生物科技有限公司</w:t>
            </w:r>
            <w:r>
              <w:rPr>
                <w:rFonts w:ascii="宋体" w:hAnsi="宋体"/>
                <w:bCs/>
                <w:szCs w:val="21"/>
              </w:rPr>
              <w:t>“</w:t>
            </w:r>
            <w:r>
              <w:rPr>
                <w:bCs/>
                <w:szCs w:val="21"/>
              </w:rPr>
              <w:t>18万吨/年气田压裂返排液治理项目</w:t>
            </w:r>
            <w:r>
              <w:rPr>
                <w:rFonts w:ascii="宋体" w:hAnsi="宋体"/>
                <w:bCs/>
                <w:szCs w:val="21"/>
              </w:rPr>
              <w:t>”</w:t>
            </w:r>
            <w:r>
              <w:rPr>
                <w:bCs/>
                <w:szCs w:val="21"/>
              </w:rPr>
              <w:t>经泸州市龙马潭区发展和改革局立项（川投资备</w:t>
            </w:r>
            <w:r>
              <w:rPr>
                <w:szCs w:val="21"/>
              </w:rPr>
              <w:t>﹝</w:t>
            </w:r>
            <w:r>
              <w:rPr>
                <w:bCs/>
                <w:szCs w:val="21"/>
              </w:rPr>
              <w:t>51050415040101</w:t>
            </w:r>
            <w:r>
              <w:rPr>
                <w:szCs w:val="21"/>
              </w:rPr>
              <w:t>﹞</w:t>
            </w:r>
            <w:r>
              <w:rPr>
                <w:bCs/>
                <w:szCs w:val="21"/>
              </w:rPr>
              <w:t>0009号）。</w:t>
            </w:r>
          </w:p>
          <w:p>
            <w:pPr>
              <w:spacing w:line="360" w:lineRule="auto"/>
              <w:ind w:firstLine="420" w:firstLineChars="200"/>
              <w:rPr>
                <w:bCs/>
                <w:szCs w:val="21"/>
              </w:rPr>
            </w:pPr>
            <w:r>
              <w:rPr>
                <w:bCs/>
                <w:szCs w:val="21"/>
              </w:rPr>
              <w:t>2015年7月，《18万吨/年气田压裂返排液治理项目环境影响报告书》获得了泸州市龙马潭区环保局的批复（泸龙环建函〔2015〕39号）。</w:t>
            </w:r>
          </w:p>
          <w:p>
            <w:pPr>
              <w:spacing w:line="360" w:lineRule="auto"/>
              <w:ind w:firstLine="420" w:firstLineChars="200"/>
              <w:rPr>
                <w:bCs/>
                <w:szCs w:val="21"/>
              </w:rPr>
            </w:pPr>
            <w:r>
              <w:rPr>
                <w:bCs/>
                <w:szCs w:val="21"/>
              </w:rPr>
              <w:t>根据环评批复四川瑞利生物科技有限公司</w:t>
            </w:r>
            <w:r>
              <w:rPr>
                <w:rFonts w:ascii="宋体" w:hAnsi="宋体"/>
                <w:bCs/>
                <w:szCs w:val="21"/>
              </w:rPr>
              <w:t>“</w:t>
            </w:r>
            <w:r>
              <w:rPr>
                <w:bCs/>
                <w:szCs w:val="21"/>
              </w:rPr>
              <w:t>18万吨/年气田压裂返排液治理项目</w:t>
            </w:r>
            <w:r>
              <w:rPr>
                <w:rFonts w:ascii="宋体" w:hAnsi="宋体"/>
                <w:bCs/>
                <w:szCs w:val="21"/>
              </w:rPr>
              <w:t>”</w:t>
            </w:r>
            <w:r>
              <w:rPr>
                <w:bCs/>
                <w:szCs w:val="21"/>
              </w:rPr>
              <w:t>位于泸州经济开发区泸州北方化学工业有限公司用地进行建设。四川瑞利生物科技有限公司污水处理厂年处理量为18万吨，则其日处理废水的量约为493t，目前处理厂废水处理量为240t/d，富裕处理量253t/d，另外，该处理厂目前运行正常。同时，项目试气作业废水集中处理后，预计每天转运一次（2辆），每辆罐车最大转运量为25t，因此，通过合理安排转运每日转运车次，在接收本公司的废水后，依然不会超过该公司每日的最大处理量，能够满足本工程废水处理的要求。</w:t>
            </w:r>
          </w:p>
          <w:p>
            <w:pPr>
              <w:spacing w:line="360" w:lineRule="auto"/>
              <w:ind w:firstLine="420" w:firstLineChars="200"/>
              <w:rPr>
                <w:bCs/>
                <w:szCs w:val="21"/>
              </w:rPr>
            </w:pPr>
            <w:r>
              <w:rPr>
                <w:bCs/>
                <w:szCs w:val="21"/>
              </w:rPr>
              <w:t>2016年5月，四川瑞利生物科技有限公司</w:t>
            </w:r>
            <w:r>
              <w:rPr>
                <w:rFonts w:ascii="宋体" w:hAnsi="宋体"/>
                <w:bCs/>
                <w:szCs w:val="21"/>
              </w:rPr>
              <w:t>“</w:t>
            </w:r>
            <w:r>
              <w:rPr>
                <w:bCs/>
                <w:szCs w:val="21"/>
              </w:rPr>
              <w:t>18万吨/年气田压裂返排液治理项目</w:t>
            </w:r>
            <w:r>
              <w:rPr>
                <w:rFonts w:ascii="宋体" w:hAnsi="宋体"/>
                <w:bCs/>
                <w:szCs w:val="21"/>
              </w:rPr>
              <w:t>”</w:t>
            </w:r>
            <w:r>
              <w:rPr>
                <w:bCs/>
                <w:szCs w:val="21"/>
              </w:rPr>
              <w:t>通过了泸州市龙马潭区环保局的环保验收（泸龙环验〔2016〕7号）。由此可见，瑞利生物科技有限公司污水处理厂处理后，废水能实现达标排放。</w:t>
            </w:r>
          </w:p>
          <w:p>
            <w:pPr>
              <w:spacing w:line="360" w:lineRule="auto"/>
              <w:ind w:firstLine="420" w:firstLineChars="200"/>
              <w:rPr>
                <w:bCs/>
                <w:szCs w:val="21"/>
              </w:rPr>
            </w:pPr>
            <w:r>
              <w:rPr>
                <w:bCs/>
                <w:szCs w:val="21"/>
              </w:rPr>
              <w:fldChar w:fldCharType="begin"/>
            </w:r>
            <w:r>
              <w:rPr>
                <w:bCs/>
                <w:szCs w:val="21"/>
              </w:rPr>
              <w:instrText xml:space="preserve"> </w:instrText>
            </w:r>
            <w:r>
              <w:rPr>
                <w:rFonts w:hint="eastAsia"/>
                <w:bCs/>
                <w:szCs w:val="21"/>
              </w:rPr>
              <w:instrText xml:space="preserve">= 4 \* GB3</w:instrText>
            </w:r>
            <w:r>
              <w:rPr>
                <w:bCs/>
                <w:szCs w:val="21"/>
              </w:rPr>
              <w:instrText xml:space="preserve"> </w:instrText>
            </w:r>
            <w:r>
              <w:rPr>
                <w:bCs/>
                <w:szCs w:val="21"/>
              </w:rPr>
              <w:fldChar w:fldCharType="separate"/>
            </w:r>
            <w:r>
              <w:rPr>
                <w:rFonts w:hint="eastAsia"/>
                <w:bCs/>
                <w:szCs w:val="21"/>
              </w:rPr>
              <w:t>④</w:t>
            </w:r>
            <w:r>
              <w:rPr>
                <w:bCs/>
                <w:szCs w:val="21"/>
              </w:rPr>
              <w:fldChar w:fldCharType="end"/>
            </w:r>
            <w:r>
              <w:rPr>
                <w:bCs/>
                <w:szCs w:val="21"/>
              </w:rPr>
              <w:t>废水预处理工艺及效果</w:t>
            </w:r>
          </w:p>
          <w:p>
            <w:pPr>
              <w:spacing w:line="360" w:lineRule="auto"/>
              <w:ind w:firstLine="420" w:firstLineChars="200"/>
              <w:rPr>
                <w:bCs/>
                <w:szCs w:val="21"/>
              </w:rPr>
            </w:pPr>
            <w:r>
              <w:rPr>
                <w:bCs/>
                <w:szCs w:val="21"/>
              </w:rPr>
              <w:t>预处理工艺：采用隔油、混凝、沉淀分离的工艺，该工艺目前在中石油西南油气田公司广泛使用，处理后的出水上清液回用，其余贮于废水收集罐中，清洁生产操作平台废水预处理后会拉运至四川瑞利生物科技有限公司污水处理厂处理。</w:t>
            </w:r>
          </w:p>
          <w:p>
            <w:pPr>
              <w:spacing w:line="360" w:lineRule="auto"/>
              <w:ind w:firstLine="420" w:firstLineChars="200"/>
              <w:rPr>
                <w:bCs/>
                <w:szCs w:val="21"/>
              </w:rPr>
            </w:pPr>
            <w:r>
              <w:rPr>
                <w:bCs/>
                <w:szCs w:val="21"/>
              </w:rPr>
              <w:t>酸化废水由井筒排出后直接进入废水罐暂存后预处理。由于该废水呈强酸性，并有大量的返排物质，包括一些高分子物质和盐酸，该体系在酸性条件下呈稳定动态平衡。因此通过加入生石灰（氧化钙），即可完成中和，破坏其稳定结构，再添加絮凝剂使其沉淀。沉淀后上清液暂存于废水罐中，转运至四川瑞利生物科技有限公司污水处理厂处理。</w:t>
            </w:r>
          </w:p>
          <w:p>
            <w:pPr>
              <w:spacing w:line="360" w:lineRule="auto"/>
              <w:ind w:firstLine="420" w:firstLineChars="200"/>
              <w:rPr>
                <w:bCs/>
                <w:szCs w:val="21"/>
              </w:rPr>
            </w:pPr>
            <w:r>
              <w:rPr>
                <w:bCs/>
                <w:szCs w:val="21"/>
              </w:rPr>
              <w:t>絮凝沉淀工艺：加入的药剂包括无机盐混凝剂、氧化钙、次氯酸钠、有机絮凝剂等，对废水中的COD、BOD</w:t>
            </w:r>
            <w:r>
              <w:rPr>
                <w:bCs/>
                <w:szCs w:val="21"/>
                <w:vertAlign w:val="subscript"/>
              </w:rPr>
              <w:t>5</w:t>
            </w:r>
            <w:r>
              <w:rPr>
                <w:bCs/>
                <w:szCs w:val="21"/>
              </w:rPr>
              <w:t>、石油类、元素磷、色素等进行混凝沉降，结成絮凝体、矾花。待絮凝体</w:t>
            </w:r>
            <w:r>
              <w:rPr>
                <w:rFonts w:hint="eastAsia"/>
                <w:bCs/>
                <w:color w:val="auto"/>
                <w:szCs w:val="21"/>
              </w:rPr>
              <w:t>凝结到</w:t>
            </w:r>
            <w:r>
              <w:rPr>
                <w:bCs/>
                <w:color w:val="auto"/>
                <w:szCs w:val="21"/>
              </w:rPr>
              <w:t>一</w:t>
            </w:r>
            <w:r>
              <w:rPr>
                <w:bCs/>
                <w:szCs w:val="21"/>
              </w:rPr>
              <w:t>定体积后即在重力作用下脱离水相沉淀，进而从污水中析出凝聚状浓缩性污泥，实现泥水分离。</w:t>
            </w:r>
          </w:p>
          <w:p>
            <w:pPr>
              <w:spacing w:line="360" w:lineRule="auto"/>
              <w:ind w:firstLine="420" w:firstLineChars="200"/>
              <w:rPr>
                <w:bCs/>
                <w:szCs w:val="21"/>
              </w:rPr>
            </w:pPr>
            <w:r>
              <w:rPr>
                <w:bCs/>
                <w:szCs w:val="21"/>
              </w:rPr>
              <w:drawing>
                <wp:inline distT="0" distB="0" distL="0" distR="0">
                  <wp:extent cx="4578350" cy="1466850"/>
                  <wp:effectExtent l="0" t="0" r="0" b="0"/>
                  <wp:docPr id="21"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4578350" cy="1466850"/>
                          </a:xfrm>
                          <a:prstGeom prst="rect">
                            <a:avLst/>
                          </a:prstGeom>
                          <a:noFill/>
                          <a:ln>
                            <a:noFill/>
                          </a:ln>
                        </pic:spPr>
                      </pic:pic>
                    </a:graphicData>
                  </a:graphic>
                </wp:inline>
              </w:drawing>
            </w:r>
          </w:p>
          <w:p>
            <w:pPr>
              <w:spacing w:line="360" w:lineRule="auto"/>
              <w:ind w:firstLine="422" w:firstLineChars="200"/>
              <w:jc w:val="center"/>
              <w:rPr>
                <w:b/>
                <w:bCs/>
                <w:szCs w:val="21"/>
              </w:rPr>
            </w:pPr>
            <w:r>
              <w:rPr>
                <w:b/>
                <w:bCs/>
                <w:szCs w:val="21"/>
              </w:rPr>
              <w:t>图5-1   废水预处理流程示意图</w:t>
            </w:r>
          </w:p>
          <w:p>
            <w:pPr>
              <w:spacing w:line="360" w:lineRule="auto"/>
              <w:ind w:firstLine="420" w:firstLineChars="200"/>
              <w:rPr>
                <w:bCs/>
                <w:szCs w:val="21"/>
              </w:rPr>
            </w:pPr>
            <w:r>
              <w:rPr>
                <w:bCs/>
                <w:szCs w:val="21"/>
              </w:rPr>
              <w:t>根据四川瑞利生物科技有限公司进水水质要求，同时类比同类型废水预处理工艺，项目废水预处理后水质与污水处理厂接水水质对比表如下：</w:t>
            </w:r>
          </w:p>
          <w:p>
            <w:pPr>
              <w:numPr>
                <w:ilvl w:val="0"/>
                <w:numId w:val="7"/>
              </w:numPr>
              <w:spacing w:line="360" w:lineRule="auto"/>
              <w:ind w:firstLine="422" w:firstLineChars="200"/>
              <w:rPr>
                <w:b/>
                <w:bCs/>
                <w:szCs w:val="21"/>
              </w:rPr>
            </w:pPr>
            <w:r>
              <w:rPr>
                <w:b/>
                <w:bCs/>
                <w:szCs w:val="21"/>
              </w:rPr>
              <w:t>废水预处理后水质与污水处理厂</w:t>
            </w:r>
            <w:r>
              <w:rPr>
                <w:rFonts w:hint="eastAsia"/>
                <w:b/>
                <w:bCs/>
                <w:szCs w:val="21"/>
              </w:rPr>
              <w:t>进水</w:t>
            </w:r>
            <w:r>
              <w:rPr>
                <w:b/>
                <w:bCs/>
                <w:szCs w:val="21"/>
              </w:rPr>
              <w:t>水质对比表</w:t>
            </w:r>
          </w:p>
          <w:tbl>
            <w:tblPr>
              <w:tblStyle w:val="42"/>
              <w:tblW w:w="826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1"/>
              <w:gridCol w:w="1560"/>
              <w:gridCol w:w="2409"/>
              <w:gridCol w:w="2127"/>
              <w:gridCol w:w="14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721" w:type="dxa"/>
                  <w:vAlign w:val="center"/>
                </w:tcPr>
                <w:p>
                  <w:pPr>
                    <w:jc w:val="center"/>
                    <w:rPr>
                      <w:bCs/>
                      <w:szCs w:val="21"/>
                    </w:rPr>
                  </w:pPr>
                  <w:r>
                    <w:rPr>
                      <w:bCs/>
                      <w:szCs w:val="21"/>
                    </w:rPr>
                    <w:t>序号</w:t>
                  </w:r>
                </w:p>
              </w:tc>
              <w:tc>
                <w:tcPr>
                  <w:tcW w:w="1560" w:type="dxa"/>
                  <w:vAlign w:val="center"/>
                </w:tcPr>
                <w:p>
                  <w:pPr>
                    <w:jc w:val="center"/>
                    <w:rPr>
                      <w:bCs/>
                      <w:szCs w:val="21"/>
                    </w:rPr>
                  </w:pPr>
                  <w:r>
                    <w:rPr>
                      <w:bCs/>
                      <w:szCs w:val="21"/>
                    </w:rPr>
                    <w:t>接水指标</w:t>
                  </w:r>
                </w:p>
              </w:tc>
              <w:tc>
                <w:tcPr>
                  <w:tcW w:w="2409" w:type="dxa"/>
                  <w:vAlign w:val="center"/>
                </w:tcPr>
                <w:p>
                  <w:pPr>
                    <w:jc w:val="center"/>
                    <w:rPr>
                      <w:bCs/>
                      <w:szCs w:val="21"/>
                    </w:rPr>
                  </w:pPr>
                  <w:r>
                    <w:rPr>
                      <w:bCs/>
                      <w:szCs w:val="21"/>
                    </w:rPr>
                    <w:t>污水处理厂进水水质要求</w:t>
                  </w:r>
                </w:p>
              </w:tc>
              <w:tc>
                <w:tcPr>
                  <w:tcW w:w="2127" w:type="dxa"/>
                  <w:vAlign w:val="center"/>
                </w:tcPr>
                <w:p>
                  <w:pPr>
                    <w:jc w:val="center"/>
                    <w:rPr>
                      <w:bCs/>
                      <w:szCs w:val="21"/>
                    </w:rPr>
                  </w:pPr>
                  <w:r>
                    <w:rPr>
                      <w:bCs/>
                      <w:szCs w:val="21"/>
                    </w:rPr>
                    <w:t>井场废水预处理后浓度</w:t>
                  </w:r>
                </w:p>
              </w:tc>
              <w:tc>
                <w:tcPr>
                  <w:tcW w:w="1452" w:type="dxa"/>
                  <w:vAlign w:val="center"/>
                </w:tcPr>
                <w:p>
                  <w:pPr>
                    <w:jc w:val="center"/>
                    <w:rPr>
                      <w:bCs/>
                      <w:szCs w:val="21"/>
                    </w:rPr>
                  </w:pPr>
                  <w:r>
                    <w:rPr>
                      <w:bCs/>
                      <w:szCs w:val="21"/>
                    </w:rPr>
                    <w:t>可行性分析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721" w:type="dxa"/>
                  <w:vAlign w:val="center"/>
                </w:tcPr>
                <w:p>
                  <w:pPr>
                    <w:jc w:val="center"/>
                    <w:rPr>
                      <w:bCs/>
                      <w:szCs w:val="21"/>
                    </w:rPr>
                  </w:pPr>
                  <w:r>
                    <w:rPr>
                      <w:bCs/>
                      <w:szCs w:val="21"/>
                    </w:rPr>
                    <w:t>1</w:t>
                  </w:r>
                </w:p>
              </w:tc>
              <w:tc>
                <w:tcPr>
                  <w:tcW w:w="1560" w:type="dxa"/>
                  <w:vAlign w:val="center"/>
                </w:tcPr>
                <w:p>
                  <w:pPr>
                    <w:jc w:val="center"/>
                    <w:rPr>
                      <w:bCs/>
                      <w:szCs w:val="21"/>
                    </w:rPr>
                  </w:pPr>
                  <w:r>
                    <w:rPr>
                      <w:bCs/>
                      <w:szCs w:val="21"/>
                    </w:rPr>
                    <w:t>COD，mg/L</w:t>
                  </w:r>
                </w:p>
              </w:tc>
              <w:tc>
                <w:tcPr>
                  <w:tcW w:w="2409" w:type="dxa"/>
                  <w:vAlign w:val="center"/>
                </w:tcPr>
                <w:p>
                  <w:pPr>
                    <w:jc w:val="center"/>
                    <w:rPr>
                      <w:bCs/>
                      <w:szCs w:val="21"/>
                    </w:rPr>
                  </w:pPr>
                  <w:r>
                    <w:rPr>
                      <w:bCs/>
                      <w:szCs w:val="21"/>
                    </w:rPr>
                    <w:t>≤5000</w:t>
                  </w:r>
                </w:p>
              </w:tc>
              <w:tc>
                <w:tcPr>
                  <w:tcW w:w="2127" w:type="dxa"/>
                  <w:vAlign w:val="center"/>
                </w:tcPr>
                <w:p>
                  <w:pPr>
                    <w:jc w:val="center"/>
                    <w:rPr>
                      <w:bCs/>
                      <w:szCs w:val="21"/>
                    </w:rPr>
                  </w:pPr>
                  <w:r>
                    <w:rPr>
                      <w:bCs/>
                      <w:szCs w:val="21"/>
                    </w:rPr>
                    <w:t>≤2000</w:t>
                  </w:r>
                </w:p>
              </w:tc>
              <w:tc>
                <w:tcPr>
                  <w:tcW w:w="1452" w:type="dxa"/>
                  <w:vMerge w:val="restart"/>
                  <w:vAlign w:val="center"/>
                </w:tcPr>
                <w:p>
                  <w:pPr>
                    <w:jc w:val="center"/>
                    <w:rPr>
                      <w:bCs/>
                      <w:szCs w:val="21"/>
                    </w:rPr>
                  </w:pPr>
                  <w:r>
                    <w:rPr>
                      <w:bCs/>
                      <w:szCs w:val="21"/>
                    </w:rPr>
                    <w:t>可满足四川瑞利生物科技有限公司污水处理厂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721" w:type="dxa"/>
                  <w:vAlign w:val="center"/>
                </w:tcPr>
                <w:p>
                  <w:pPr>
                    <w:jc w:val="center"/>
                    <w:rPr>
                      <w:bCs/>
                      <w:szCs w:val="21"/>
                    </w:rPr>
                  </w:pPr>
                  <w:r>
                    <w:rPr>
                      <w:bCs/>
                      <w:szCs w:val="21"/>
                    </w:rPr>
                    <w:t>2</w:t>
                  </w:r>
                </w:p>
              </w:tc>
              <w:tc>
                <w:tcPr>
                  <w:tcW w:w="1560" w:type="dxa"/>
                  <w:vAlign w:val="center"/>
                </w:tcPr>
                <w:p>
                  <w:pPr>
                    <w:jc w:val="center"/>
                    <w:rPr>
                      <w:bCs/>
                      <w:szCs w:val="21"/>
                    </w:rPr>
                  </w:pPr>
                  <w:r>
                    <w:rPr>
                      <w:bCs/>
                      <w:szCs w:val="21"/>
                    </w:rPr>
                    <w:t>SS，mg/L</w:t>
                  </w:r>
                </w:p>
              </w:tc>
              <w:tc>
                <w:tcPr>
                  <w:tcW w:w="2409" w:type="dxa"/>
                  <w:vAlign w:val="center"/>
                </w:tcPr>
                <w:p>
                  <w:pPr>
                    <w:jc w:val="center"/>
                    <w:rPr>
                      <w:bCs/>
                      <w:szCs w:val="21"/>
                    </w:rPr>
                  </w:pPr>
                  <w:r>
                    <w:rPr>
                      <w:bCs/>
                      <w:szCs w:val="21"/>
                    </w:rPr>
                    <w:t>≤2000</w:t>
                  </w:r>
                </w:p>
              </w:tc>
              <w:tc>
                <w:tcPr>
                  <w:tcW w:w="2127" w:type="dxa"/>
                  <w:vAlign w:val="center"/>
                </w:tcPr>
                <w:p>
                  <w:pPr>
                    <w:jc w:val="center"/>
                    <w:rPr>
                      <w:bCs/>
                      <w:szCs w:val="21"/>
                    </w:rPr>
                  </w:pPr>
                  <w:r>
                    <w:rPr>
                      <w:bCs/>
                      <w:szCs w:val="21"/>
                    </w:rPr>
                    <w:t>≤100</w:t>
                  </w:r>
                </w:p>
              </w:tc>
              <w:tc>
                <w:tcPr>
                  <w:tcW w:w="1452" w:type="dxa"/>
                  <w:vMerge w:val="continue"/>
                  <w:vAlign w:val="center"/>
                </w:tcPr>
                <w:p>
                  <w:pPr>
                    <w:jc w:val="center"/>
                    <w:rPr>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721" w:type="dxa"/>
                  <w:vAlign w:val="center"/>
                </w:tcPr>
                <w:p>
                  <w:pPr>
                    <w:jc w:val="center"/>
                    <w:rPr>
                      <w:bCs/>
                      <w:szCs w:val="21"/>
                    </w:rPr>
                  </w:pPr>
                  <w:r>
                    <w:rPr>
                      <w:bCs/>
                      <w:szCs w:val="21"/>
                    </w:rPr>
                    <w:t>3</w:t>
                  </w:r>
                </w:p>
              </w:tc>
              <w:tc>
                <w:tcPr>
                  <w:tcW w:w="1560" w:type="dxa"/>
                  <w:vAlign w:val="center"/>
                </w:tcPr>
                <w:p>
                  <w:pPr>
                    <w:jc w:val="center"/>
                    <w:rPr>
                      <w:bCs/>
                      <w:szCs w:val="21"/>
                    </w:rPr>
                  </w:pPr>
                  <w:r>
                    <w:rPr>
                      <w:bCs/>
                      <w:szCs w:val="21"/>
                    </w:rPr>
                    <w:t>pH（无量纲）</w:t>
                  </w:r>
                </w:p>
              </w:tc>
              <w:tc>
                <w:tcPr>
                  <w:tcW w:w="2409" w:type="dxa"/>
                  <w:vAlign w:val="center"/>
                </w:tcPr>
                <w:p>
                  <w:pPr>
                    <w:jc w:val="center"/>
                    <w:rPr>
                      <w:bCs/>
                      <w:szCs w:val="21"/>
                    </w:rPr>
                  </w:pPr>
                  <w:r>
                    <w:rPr>
                      <w:bCs/>
                      <w:szCs w:val="21"/>
                    </w:rPr>
                    <w:t>6~9</w:t>
                  </w:r>
                </w:p>
              </w:tc>
              <w:tc>
                <w:tcPr>
                  <w:tcW w:w="2127" w:type="dxa"/>
                  <w:vAlign w:val="center"/>
                </w:tcPr>
                <w:p>
                  <w:pPr>
                    <w:jc w:val="center"/>
                    <w:rPr>
                      <w:bCs/>
                      <w:szCs w:val="21"/>
                    </w:rPr>
                  </w:pPr>
                  <w:r>
                    <w:rPr>
                      <w:bCs/>
                      <w:szCs w:val="21"/>
                    </w:rPr>
                    <w:t>6~9</w:t>
                  </w:r>
                </w:p>
              </w:tc>
              <w:tc>
                <w:tcPr>
                  <w:tcW w:w="1452" w:type="dxa"/>
                  <w:vMerge w:val="continue"/>
                  <w:vAlign w:val="center"/>
                </w:tcPr>
                <w:p>
                  <w:pPr>
                    <w:jc w:val="center"/>
                    <w:rPr>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721" w:type="dxa"/>
                  <w:vAlign w:val="center"/>
                </w:tcPr>
                <w:p>
                  <w:pPr>
                    <w:jc w:val="center"/>
                    <w:rPr>
                      <w:bCs/>
                      <w:szCs w:val="21"/>
                    </w:rPr>
                  </w:pPr>
                  <w:r>
                    <w:rPr>
                      <w:bCs/>
                      <w:szCs w:val="21"/>
                    </w:rPr>
                    <w:t>4</w:t>
                  </w:r>
                </w:p>
              </w:tc>
              <w:tc>
                <w:tcPr>
                  <w:tcW w:w="1560" w:type="dxa"/>
                  <w:vAlign w:val="center"/>
                </w:tcPr>
                <w:p>
                  <w:pPr>
                    <w:jc w:val="center"/>
                    <w:rPr>
                      <w:bCs/>
                      <w:szCs w:val="21"/>
                    </w:rPr>
                  </w:pPr>
                  <w:r>
                    <w:rPr>
                      <w:bCs/>
                      <w:szCs w:val="21"/>
                    </w:rPr>
                    <w:t>石油类，mg/L</w:t>
                  </w:r>
                </w:p>
              </w:tc>
              <w:tc>
                <w:tcPr>
                  <w:tcW w:w="2409" w:type="dxa"/>
                  <w:vAlign w:val="center"/>
                </w:tcPr>
                <w:p>
                  <w:pPr>
                    <w:jc w:val="center"/>
                    <w:rPr>
                      <w:bCs/>
                      <w:szCs w:val="21"/>
                    </w:rPr>
                  </w:pPr>
                  <w:r>
                    <w:rPr>
                      <w:bCs/>
                      <w:szCs w:val="21"/>
                    </w:rPr>
                    <w:t>≤100</w:t>
                  </w:r>
                </w:p>
              </w:tc>
              <w:tc>
                <w:tcPr>
                  <w:tcW w:w="2127" w:type="dxa"/>
                  <w:vAlign w:val="center"/>
                </w:tcPr>
                <w:p>
                  <w:pPr>
                    <w:jc w:val="center"/>
                    <w:rPr>
                      <w:bCs/>
                      <w:szCs w:val="21"/>
                    </w:rPr>
                  </w:pPr>
                  <w:r>
                    <w:rPr>
                      <w:bCs/>
                      <w:szCs w:val="21"/>
                    </w:rPr>
                    <w:t>≤20</w:t>
                  </w:r>
                </w:p>
              </w:tc>
              <w:tc>
                <w:tcPr>
                  <w:tcW w:w="1452" w:type="dxa"/>
                  <w:vMerge w:val="continue"/>
                  <w:vAlign w:val="center"/>
                </w:tcPr>
                <w:p>
                  <w:pPr>
                    <w:jc w:val="center"/>
                    <w:rPr>
                      <w:bCs/>
                      <w:szCs w:val="21"/>
                    </w:rPr>
                  </w:pPr>
                </w:p>
              </w:tc>
            </w:tr>
          </w:tbl>
          <w:p>
            <w:pPr>
              <w:spacing w:line="360" w:lineRule="auto"/>
              <w:ind w:firstLine="420" w:firstLineChars="200"/>
              <w:rPr>
                <w:bCs/>
                <w:szCs w:val="21"/>
              </w:rPr>
            </w:pPr>
            <w:r>
              <w:rPr>
                <w:bCs/>
                <w:szCs w:val="21"/>
              </w:rPr>
              <w:t>据上述分析，项目废水经预处理后</w:t>
            </w:r>
            <w:r>
              <w:rPr>
                <w:rFonts w:hint="eastAsia"/>
                <w:bCs/>
                <w:szCs w:val="21"/>
              </w:rPr>
              <w:t>能</w:t>
            </w:r>
            <w:r>
              <w:rPr>
                <w:bCs/>
                <w:szCs w:val="21"/>
              </w:rPr>
              <w:t>满足四川瑞利生物科技有限公司污水处理厂接水要求，</w:t>
            </w:r>
            <w:r>
              <w:rPr>
                <w:rFonts w:hint="eastAsia"/>
                <w:bCs/>
                <w:szCs w:val="21"/>
              </w:rPr>
              <w:t>因此，本次评价要求，项目废水经现场预处理满足污水处理厂进水水质要求后</w:t>
            </w:r>
            <w:r>
              <w:rPr>
                <w:bCs/>
                <w:szCs w:val="21"/>
              </w:rPr>
              <w:t>用罐车运至四川瑞利生物科技有限公司污水处理厂进行处理。</w:t>
            </w:r>
          </w:p>
          <w:p>
            <w:pPr>
              <w:spacing w:line="360" w:lineRule="auto"/>
              <w:ind w:firstLine="420" w:firstLineChars="200"/>
              <w:rPr>
                <w:bCs/>
                <w:szCs w:val="21"/>
              </w:rPr>
            </w:pPr>
            <w:r>
              <w:rPr>
                <w:bCs/>
                <w:szCs w:val="21"/>
              </w:rPr>
              <w:fldChar w:fldCharType="begin"/>
            </w:r>
            <w:r>
              <w:rPr>
                <w:bCs/>
                <w:szCs w:val="21"/>
              </w:rPr>
              <w:instrText xml:space="preserve"> </w:instrText>
            </w:r>
            <w:r>
              <w:rPr>
                <w:rFonts w:hint="eastAsia"/>
                <w:bCs/>
                <w:szCs w:val="21"/>
              </w:rPr>
              <w:instrText xml:space="preserve">= 5 \* GB3</w:instrText>
            </w:r>
            <w:r>
              <w:rPr>
                <w:bCs/>
                <w:szCs w:val="21"/>
              </w:rPr>
              <w:instrText xml:space="preserve"> </w:instrText>
            </w:r>
            <w:r>
              <w:rPr>
                <w:bCs/>
                <w:szCs w:val="21"/>
              </w:rPr>
              <w:fldChar w:fldCharType="separate"/>
            </w:r>
            <w:r>
              <w:rPr>
                <w:rFonts w:hint="eastAsia"/>
                <w:bCs/>
                <w:szCs w:val="21"/>
              </w:rPr>
              <w:t>⑤</w:t>
            </w:r>
            <w:r>
              <w:rPr>
                <w:bCs/>
                <w:szCs w:val="21"/>
              </w:rPr>
              <w:fldChar w:fldCharType="end"/>
            </w:r>
            <w:r>
              <w:rPr>
                <w:rFonts w:hint="eastAsia"/>
                <w:bCs/>
                <w:szCs w:val="21"/>
              </w:rPr>
              <w:t>依托</w:t>
            </w:r>
            <w:r>
              <w:rPr>
                <w:bCs/>
                <w:szCs w:val="21"/>
              </w:rPr>
              <w:t>四川瑞利生物科技有限公司污水处理厂处理能力可行性分析</w:t>
            </w:r>
          </w:p>
          <w:p>
            <w:pPr>
              <w:spacing w:line="360" w:lineRule="auto"/>
              <w:ind w:firstLine="420" w:firstLineChars="200"/>
              <w:rPr>
                <w:bCs/>
                <w:szCs w:val="21"/>
              </w:rPr>
            </w:pPr>
            <w:r>
              <w:rPr>
                <w:bCs/>
                <w:szCs w:val="21"/>
              </w:rPr>
              <w:t>A、工艺原理</w:t>
            </w:r>
          </w:p>
          <w:p>
            <w:pPr>
              <w:spacing w:line="360" w:lineRule="auto"/>
              <w:ind w:firstLine="420" w:firstLineChars="200"/>
              <w:rPr>
                <w:bCs/>
                <w:szCs w:val="21"/>
              </w:rPr>
            </w:pPr>
            <w:r>
              <w:rPr>
                <w:bCs/>
                <w:szCs w:val="21"/>
              </w:rPr>
              <w:t>四川瑞利生物科技有限公司采取工艺为</w:t>
            </w:r>
            <w:r>
              <w:rPr>
                <w:rFonts w:ascii="宋体" w:hAnsi="宋体"/>
                <w:bCs/>
                <w:szCs w:val="21"/>
              </w:rPr>
              <w:t>“</w:t>
            </w:r>
            <w:r>
              <w:rPr>
                <w:bCs/>
                <w:szCs w:val="21"/>
              </w:rPr>
              <w:t>缓冲调节→微纳米混凝气浮→铁碳微电解→厌氧水解→微生物反应池→固液分离→活性炭过滤</w:t>
            </w:r>
            <w:r>
              <w:rPr>
                <w:rFonts w:ascii="宋体" w:hAnsi="宋体"/>
                <w:bCs/>
                <w:szCs w:val="21"/>
              </w:rPr>
              <w:t>”</w:t>
            </w:r>
            <w:r>
              <w:rPr>
                <w:bCs/>
                <w:szCs w:val="21"/>
              </w:rPr>
              <w:t>。</w:t>
            </w:r>
          </w:p>
          <w:p>
            <w:pPr>
              <w:spacing w:line="360" w:lineRule="auto"/>
              <w:ind w:firstLine="420" w:firstLineChars="200"/>
              <w:rPr>
                <w:bCs/>
                <w:szCs w:val="21"/>
              </w:rPr>
            </w:pPr>
            <w:r>
              <w:rPr>
                <w:bCs/>
                <w:szCs w:val="21"/>
              </w:rPr>
              <w:t>调节池：区域总容积为650m</w:t>
            </w:r>
            <w:r>
              <w:rPr>
                <w:bCs/>
                <w:szCs w:val="21"/>
                <w:vertAlign w:val="superscript"/>
              </w:rPr>
              <w:t>3</w:t>
            </w:r>
            <w:r>
              <w:rPr>
                <w:bCs/>
                <w:szCs w:val="21"/>
              </w:rPr>
              <w:t>，高于一个生产周期的进水量，能够满足工艺需求。当某次来水水质超过设计标准时，暂存于项目应急池内，并经与其他车次污水混合调配并满足设计标准后方可进行处理。</w:t>
            </w:r>
          </w:p>
          <w:p>
            <w:pPr>
              <w:spacing w:line="360" w:lineRule="auto"/>
              <w:ind w:firstLine="420" w:firstLineChars="200"/>
              <w:rPr>
                <w:bCs/>
                <w:szCs w:val="21"/>
              </w:rPr>
            </w:pPr>
            <w:r>
              <w:rPr>
                <w:bCs/>
                <w:szCs w:val="21"/>
              </w:rPr>
              <w:t>气浮池：调节后的废水提升进入混凝气浮池，在废水自身的弱碱性条件下，加入PAC及PAM形成絮状物，在气浮作用下与水相分离。</w:t>
            </w:r>
          </w:p>
          <w:p>
            <w:pPr>
              <w:spacing w:line="360" w:lineRule="auto"/>
              <w:ind w:firstLine="420" w:firstLineChars="200"/>
              <w:rPr>
                <w:bCs/>
                <w:szCs w:val="21"/>
              </w:rPr>
            </w:pPr>
            <w:r>
              <w:rPr>
                <w:bCs/>
                <w:szCs w:val="21"/>
              </w:rPr>
              <w:t>铁碳微电解池：初步处理后的废水自流进入铁碳微电解池，调节pH后在微电解作用下，COD被进一步去除，并提高废水的可生化性。</w:t>
            </w:r>
          </w:p>
          <w:p>
            <w:pPr>
              <w:spacing w:line="360" w:lineRule="auto"/>
              <w:ind w:firstLine="420" w:firstLineChars="200"/>
              <w:rPr>
                <w:bCs/>
                <w:szCs w:val="21"/>
              </w:rPr>
            </w:pPr>
            <w:r>
              <w:rPr>
                <w:bCs/>
                <w:szCs w:val="21"/>
              </w:rPr>
              <w:t>厌氧水解及接触氧化池：铁碳微电解池出水再经过厌氧水解、生物接触氧化两步生化处理工艺进一步去除有机污染物，并通过微生物的硝化和反硝化作用去除废水的氨氮。厌氧区总容积为160m</w:t>
            </w:r>
            <w:r>
              <w:rPr>
                <w:bCs/>
                <w:szCs w:val="21"/>
                <w:vertAlign w:val="superscript"/>
              </w:rPr>
              <w:t>3</w:t>
            </w:r>
            <w:r>
              <w:rPr>
                <w:bCs/>
                <w:szCs w:val="21"/>
              </w:rPr>
              <w:t>，水力停留时间约为8h。</w:t>
            </w:r>
          </w:p>
          <w:p>
            <w:pPr>
              <w:spacing w:line="360" w:lineRule="auto"/>
              <w:ind w:firstLine="420" w:firstLineChars="200"/>
              <w:rPr>
                <w:bCs/>
                <w:szCs w:val="21"/>
              </w:rPr>
            </w:pPr>
            <w:r>
              <w:rPr>
                <w:bCs/>
                <w:szCs w:val="21"/>
              </w:rPr>
              <w:t>固液分离、活性炭吸附：生化出水经固液分离去除悬浮物后进入活性炭吸附装置，在活性炭的吸附作用下进一步净化水质，确保废水处理达到《污水综合排放标准》一级标准，能满足环境保护的要求。</w:t>
            </w:r>
          </w:p>
          <w:p>
            <w:pPr>
              <w:spacing w:line="360" w:lineRule="auto"/>
              <w:ind w:firstLine="420" w:firstLineChars="200"/>
              <w:rPr>
                <w:bCs/>
                <w:szCs w:val="21"/>
              </w:rPr>
            </w:pPr>
            <w:r>
              <w:rPr>
                <w:bCs/>
                <w:szCs w:val="21"/>
              </w:rPr>
              <w:t>B、工艺流程图</w:t>
            </w:r>
          </w:p>
          <w:p>
            <w:pPr>
              <w:spacing w:line="360" w:lineRule="auto"/>
              <w:ind w:firstLine="420" w:firstLineChars="200"/>
              <w:rPr>
                <w:bCs/>
                <w:szCs w:val="21"/>
              </w:rPr>
            </w:pPr>
            <w:r>
              <w:rPr>
                <w:bCs/>
                <w:szCs w:val="21"/>
              </w:rPr>
              <w:t>其工艺流程见图5-2</w:t>
            </w:r>
            <w:r>
              <w:rPr>
                <w:rFonts w:hint="eastAsia"/>
                <w:bCs/>
                <w:szCs w:val="21"/>
              </w:rPr>
              <w:t>。</w:t>
            </w:r>
          </w:p>
          <w:p>
            <w:pPr>
              <w:rPr>
                <w:bCs/>
                <w:szCs w:val="21"/>
              </w:rPr>
            </w:pPr>
            <w:r>
              <w:rPr>
                <w:bCs/>
                <w:szCs w:val="21"/>
              </w:rPr>
              <w:drawing>
                <wp:inline distT="0" distB="0" distL="0" distR="0">
                  <wp:extent cx="5207000" cy="2260600"/>
                  <wp:effectExtent l="0" t="0" r="0" b="0"/>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207000" cy="2260600"/>
                          </a:xfrm>
                          <a:prstGeom prst="rect">
                            <a:avLst/>
                          </a:prstGeom>
                          <a:noFill/>
                          <a:ln>
                            <a:noFill/>
                          </a:ln>
                        </pic:spPr>
                      </pic:pic>
                    </a:graphicData>
                  </a:graphic>
                </wp:inline>
              </w:drawing>
            </w:r>
          </w:p>
          <w:p>
            <w:pPr>
              <w:spacing w:line="360" w:lineRule="auto"/>
              <w:ind w:firstLine="422" w:firstLineChars="200"/>
              <w:jc w:val="center"/>
              <w:rPr>
                <w:b/>
                <w:bCs/>
                <w:szCs w:val="21"/>
              </w:rPr>
            </w:pPr>
            <w:r>
              <w:rPr>
                <w:b/>
                <w:bCs/>
                <w:szCs w:val="21"/>
              </w:rPr>
              <w:t>图5-2    污水处理工艺流程及产污环节示意图</w:t>
            </w:r>
          </w:p>
          <w:p>
            <w:pPr>
              <w:spacing w:line="360" w:lineRule="auto"/>
              <w:ind w:firstLine="420" w:firstLineChars="200"/>
              <w:rPr>
                <w:bCs/>
                <w:szCs w:val="21"/>
              </w:rPr>
            </w:pPr>
            <w:r>
              <w:rPr>
                <w:bCs/>
                <w:szCs w:val="21"/>
              </w:rPr>
              <w:t>C、出水水质</w:t>
            </w:r>
          </w:p>
          <w:p>
            <w:pPr>
              <w:spacing w:line="360" w:lineRule="auto"/>
              <w:ind w:firstLine="420" w:firstLineChars="200"/>
              <w:rPr>
                <w:bCs/>
                <w:szCs w:val="21"/>
              </w:rPr>
            </w:pPr>
            <w:r>
              <w:rPr>
                <w:bCs/>
                <w:szCs w:val="21"/>
              </w:rPr>
              <w:t>根据该公司环评报告可知，该公司可接收天然气、页岩气钻井作业废水。废水经统一收集，并负责用专业罐车由作业现场运输至该处理站进行处理，该公司处理废水的进水指标如下表：</w:t>
            </w:r>
          </w:p>
          <w:p>
            <w:pPr>
              <w:numPr>
                <w:ilvl w:val="0"/>
                <w:numId w:val="7"/>
              </w:numPr>
              <w:spacing w:line="360" w:lineRule="auto"/>
              <w:ind w:left="0" w:firstLine="0"/>
              <w:jc w:val="center"/>
              <w:rPr>
                <w:b/>
                <w:bCs/>
                <w:szCs w:val="21"/>
              </w:rPr>
            </w:pPr>
            <w:r>
              <w:rPr>
                <w:b/>
                <w:bCs/>
                <w:szCs w:val="21"/>
              </w:rPr>
              <w:t>作业废水进水指标</w:t>
            </w:r>
          </w:p>
          <w:tbl>
            <w:tblPr>
              <w:tblStyle w:val="4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5"/>
              <w:gridCol w:w="1365"/>
              <w:gridCol w:w="1365"/>
              <w:gridCol w:w="1365"/>
              <w:gridCol w:w="1365"/>
              <w:gridCol w:w="13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365" w:type="dxa"/>
                  <w:vAlign w:val="center"/>
                </w:tcPr>
                <w:p>
                  <w:pPr>
                    <w:jc w:val="center"/>
                    <w:rPr>
                      <w:bCs/>
                      <w:szCs w:val="21"/>
                    </w:rPr>
                  </w:pPr>
                  <w:r>
                    <w:rPr>
                      <w:bCs/>
                      <w:szCs w:val="21"/>
                    </w:rPr>
                    <w:t>项目</w:t>
                  </w:r>
                </w:p>
              </w:tc>
              <w:tc>
                <w:tcPr>
                  <w:tcW w:w="1365" w:type="dxa"/>
                  <w:vAlign w:val="center"/>
                </w:tcPr>
                <w:p>
                  <w:pPr>
                    <w:jc w:val="center"/>
                    <w:rPr>
                      <w:bCs/>
                      <w:szCs w:val="21"/>
                    </w:rPr>
                  </w:pPr>
                  <w:r>
                    <w:rPr>
                      <w:bCs/>
                      <w:szCs w:val="21"/>
                    </w:rPr>
                    <w:t>COD</w:t>
                  </w:r>
                </w:p>
              </w:tc>
              <w:tc>
                <w:tcPr>
                  <w:tcW w:w="1365" w:type="dxa"/>
                  <w:vAlign w:val="center"/>
                </w:tcPr>
                <w:p>
                  <w:pPr>
                    <w:jc w:val="center"/>
                    <w:rPr>
                      <w:bCs/>
                      <w:szCs w:val="21"/>
                    </w:rPr>
                  </w:pPr>
                  <w:r>
                    <w:rPr>
                      <w:bCs/>
                      <w:szCs w:val="21"/>
                    </w:rPr>
                    <w:t>悬浮物</w:t>
                  </w:r>
                </w:p>
              </w:tc>
              <w:tc>
                <w:tcPr>
                  <w:tcW w:w="1365" w:type="dxa"/>
                  <w:vAlign w:val="center"/>
                </w:tcPr>
                <w:p>
                  <w:pPr>
                    <w:jc w:val="center"/>
                    <w:rPr>
                      <w:bCs/>
                      <w:szCs w:val="21"/>
                    </w:rPr>
                  </w:pPr>
                  <w:r>
                    <w:rPr>
                      <w:bCs/>
                      <w:szCs w:val="21"/>
                    </w:rPr>
                    <w:t>NH</w:t>
                  </w:r>
                  <w:r>
                    <w:rPr>
                      <w:bCs/>
                      <w:szCs w:val="21"/>
                      <w:vertAlign w:val="subscript"/>
                    </w:rPr>
                    <w:t>3</w:t>
                  </w:r>
                  <w:r>
                    <w:rPr>
                      <w:bCs/>
                      <w:szCs w:val="21"/>
                    </w:rPr>
                    <w:t>-N</w:t>
                  </w:r>
                </w:p>
              </w:tc>
              <w:tc>
                <w:tcPr>
                  <w:tcW w:w="1365" w:type="dxa"/>
                  <w:vAlign w:val="center"/>
                </w:tcPr>
                <w:p>
                  <w:pPr>
                    <w:jc w:val="center"/>
                    <w:rPr>
                      <w:bCs/>
                      <w:szCs w:val="21"/>
                    </w:rPr>
                  </w:pPr>
                  <w:r>
                    <w:rPr>
                      <w:bCs/>
                      <w:szCs w:val="21"/>
                    </w:rPr>
                    <w:t>Ba</w:t>
                  </w:r>
                  <w:r>
                    <w:rPr>
                      <w:bCs/>
                      <w:szCs w:val="21"/>
                      <w:vertAlign w:val="superscript"/>
                    </w:rPr>
                    <w:t>2+</w:t>
                  </w:r>
                </w:p>
              </w:tc>
              <w:tc>
                <w:tcPr>
                  <w:tcW w:w="1365" w:type="dxa"/>
                  <w:vAlign w:val="center"/>
                </w:tcPr>
                <w:p>
                  <w:pPr>
                    <w:jc w:val="center"/>
                    <w:rPr>
                      <w:bCs/>
                      <w:szCs w:val="21"/>
                    </w:rPr>
                  </w:pPr>
                  <w:r>
                    <w:rPr>
                      <w:bCs/>
                      <w:szCs w:val="21"/>
                    </w:rPr>
                    <w:t>pH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365" w:type="dxa"/>
                  <w:vAlign w:val="center"/>
                </w:tcPr>
                <w:p>
                  <w:pPr>
                    <w:jc w:val="center"/>
                    <w:rPr>
                      <w:bCs/>
                      <w:szCs w:val="21"/>
                    </w:rPr>
                  </w:pPr>
                  <w:r>
                    <w:rPr>
                      <w:bCs/>
                      <w:szCs w:val="21"/>
                    </w:rPr>
                    <w:t>进水浓度</w:t>
                  </w:r>
                </w:p>
              </w:tc>
              <w:tc>
                <w:tcPr>
                  <w:tcW w:w="1365" w:type="dxa"/>
                  <w:vAlign w:val="center"/>
                </w:tcPr>
                <w:p>
                  <w:pPr>
                    <w:jc w:val="center"/>
                    <w:rPr>
                      <w:bCs/>
                      <w:szCs w:val="21"/>
                    </w:rPr>
                  </w:pPr>
                  <w:r>
                    <w:rPr>
                      <w:bCs/>
                      <w:szCs w:val="21"/>
                    </w:rPr>
                    <w:t>≤5000</w:t>
                  </w:r>
                </w:p>
              </w:tc>
              <w:tc>
                <w:tcPr>
                  <w:tcW w:w="1365" w:type="dxa"/>
                  <w:vAlign w:val="center"/>
                </w:tcPr>
                <w:p>
                  <w:pPr>
                    <w:jc w:val="center"/>
                    <w:rPr>
                      <w:bCs/>
                      <w:szCs w:val="21"/>
                    </w:rPr>
                  </w:pPr>
                  <w:r>
                    <w:rPr>
                      <w:bCs/>
                      <w:szCs w:val="21"/>
                    </w:rPr>
                    <w:t>≤2000</w:t>
                  </w:r>
                </w:p>
              </w:tc>
              <w:tc>
                <w:tcPr>
                  <w:tcW w:w="1365" w:type="dxa"/>
                  <w:vAlign w:val="center"/>
                </w:tcPr>
                <w:p>
                  <w:pPr>
                    <w:jc w:val="center"/>
                    <w:rPr>
                      <w:bCs/>
                      <w:szCs w:val="21"/>
                    </w:rPr>
                  </w:pPr>
                  <w:r>
                    <w:rPr>
                      <w:bCs/>
                      <w:szCs w:val="21"/>
                    </w:rPr>
                    <w:t>≤100</w:t>
                  </w:r>
                </w:p>
              </w:tc>
              <w:tc>
                <w:tcPr>
                  <w:tcW w:w="1365" w:type="dxa"/>
                  <w:vAlign w:val="center"/>
                </w:tcPr>
                <w:p>
                  <w:pPr>
                    <w:jc w:val="center"/>
                    <w:rPr>
                      <w:bCs/>
                      <w:szCs w:val="21"/>
                    </w:rPr>
                  </w:pPr>
                  <w:r>
                    <w:rPr>
                      <w:bCs/>
                      <w:szCs w:val="21"/>
                    </w:rPr>
                    <w:t>≤1000</w:t>
                  </w:r>
                </w:p>
              </w:tc>
              <w:tc>
                <w:tcPr>
                  <w:tcW w:w="1365" w:type="dxa"/>
                  <w:vAlign w:val="center"/>
                </w:tcPr>
                <w:p>
                  <w:pPr>
                    <w:jc w:val="center"/>
                    <w:rPr>
                      <w:bCs/>
                      <w:szCs w:val="21"/>
                    </w:rPr>
                  </w:pPr>
                  <w:r>
                    <w:rPr>
                      <w:bCs/>
                      <w:szCs w:val="21"/>
                    </w:rPr>
                    <w:t>6~10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365" w:type="dxa"/>
                  <w:vAlign w:val="center"/>
                </w:tcPr>
                <w:p>
                  <w:pPr>
                    <w:jc w:val="center"/>
                    <w:rPr>
                      <w:bCs/>
                      <w:szCs w:val="21"/>
                    </w:rPr>
                  </w:pPr>
                  <w:r>
                    <w:rPr>
                      <w:bCs/>
                      <w:szCs w:val="21"/>
                    </w:rPr>
                    <w:t>项目</w:t>
                  </w:r>
                </w:p>
              </w:tc>
              <w:tc>
                <w:tcPr>
                  <w:tcW w:w="1365" w:type="dxa"/>
                  <w:vAlign w:val="center"/>
                </w:tcPr>
                <w:p>
                  <w:pPr>
                    <w:jc w:val="center"/>
                    <w:rPr>
                      <w:bCs/>
                      <w:szCs w:val="21"/>
                    </w:rPr>
                  </w:pPr>
                  <w:r>
                    <w:rPr>
                      <w:bCs/>
                      <w:szCs w:val="21"/>
                    </w:rPr>
                    <w:t>石油类</w:t>
                  </w:r>
                </w:p>
              </w:tc>
              <w:tc>
                <w:tcPr>
                  <w:tcW w:w="1365" w:type="dxa"/>
                  <w:vAlign w:val="center"/>
                </w:tcPr>
                <w:p>
                  <w:pPr>
                    <w:jc w:val="center"/>
                    <w:rPr>
                      <w:bCs/>
                      <w:szCs w:val="21"/>
                    </w:rPr>
                  </w:pPr>
                  <w:r>
                    <w:rPr>
                      <w:bCs/>
                      <w:szCs w:val="21"/>
                    </w:rPr>
                    <w:t>BOD</w:t>
                  </w:r>
                  <w:r>
                    <w:rPr>
                      <w:bCs/>
                      <w:szCs w:val="21"/>
                      <w:vertAlign w:val="subscript"/>
                    </w:rPr>
                    <w:t>5</w:t>
                  </w:r>
                </w:p>
              </w:tc>
              <w:tc>
                <w:tcPr>
                  <w:tcW w:w="1365" w:type="dxa"/>
                  <w:vAlign w:val="center"/>
                </w:tcPr>
                <w:p>
                  <w:pPr>
                    <w:jc w:val="center"/>
                    <w:rPr>
                      <w:bCs/>
                      <w:szCs w:val="21"/>
                    </w:rPr>
                  </w:pPr>
                  <w:r>
                    <w:rPr>
                      <w:bCs/>
                      <w:szCs w:val="21"/>
                    </w:rPr>
                    <w:t>S</w:t>
                  </w:r>
                  <w:r>
                    <w:rPr>
                      <w:bCs/>
                      <w:szCs w:val="21"/>
                      <w:vertAlign w:val="superscript"/>
                    </w:rPr>
                    <w:t>2-</w:t>
                  </w:r>
                </w:p>
              </w:tc>
              <w:tc>
                <w:tcPr>
                  <w:tcW w:w="1365" w:type="dxa"/>
                  <w:vAlign w:val="center"/>
                </w:tcPr>
                <w:p>
                  <w:pPr>
                    <w:jc w:val="center"/>
                    <w:rPr>
                      <w:bCs/>
                      <w:szCs w:val="21"/>
                    </w:rPr>
                  </w:pPr>
                  <w:r>
                    <w:rPr>
                      <w:bCs/>
                      <w:szCs w:val="21"/>
                    </w:rPr>
                    <w:t>CL</w:t>
                  </w:r>
                  <w:r>
                    <w:rPr>
                      <w:bCs/>
                      <w:szCs w:val="21"/>
                      <w:vertAlign w:val="superscript"/>
                    </w:rPr>
                    <w:t>-</w:t>
                  </w:r>
                </w:p>
              </w:tc>
              <w:tc>
                <w:tcPr>
                  <w:tcW w:w="1365" w:type="dxa"/>
                  <w:vAlign w:val="center"/>
                </w:tcPr>
                <w:p>
                  <w:pPr>
                    <w:jc w:val="center"/>
                    <w:rPr>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365" w:type="dxa"/>
                  <w:vAlign w:val="center"/>
                </w:tcPr>
                <w:p>
                  <w:pPr>
                    <w:jc w:val="center"/>
                    <w:rPr>
                      <w:bCs/>
                      <w:szCs w:val="21"/>
                    </w:rPr>
                  </w:pPr>
                  <w:r>
                    <w:rPr>
                      <w:bCs/>
                      <w:szCs w:val="21"/>
                    </w:rPr>
                    <w:t>进水浓度</w:t>
                  </w:r>
                </w:p>
              </w:tc>
              <w:tc>
                <w:tcPr>
                  <w:tcW w:w="1365" w:type="dxa"/>
                  <w:vAlign w:val="center"/>
                </w:tcPr>
                <w:p>
                  <w:pPr>
                    <w:jc w:val="center"/>
                    <w:rPr>
                      <w:bCs/>
                      <w:szCs w:val="21"/>
                    </w:rPr>
                  </w:pPr>
                  <w:r>
                    <w:rPr>
                      <w:bCs/>
                      <w:szCs w:val="21"/>
                    </w:rPr>
                    <w:t>≤100</w:t>
                  </w:r>
                </w:p>
              </w:tc>
              <w:tc>
                <w:tcPr>
                  <w:tcW w:w="1365" w:type="dxa"/>
                  <w:vAlign w:val="center"/>
                </w:tcPr>
                <w:p>
                  <w:pPr>
                    <w:jc w:val="center"/>
                    <w:rPr>
                      <w:bCs/>
                      <w:szCs w:val="21"/>
                    </w:rPr>
                  </w:pPr>
                  <w:r>
                    <w:rPr>
                      <w:bCs/>
                      <w:szCs w:val="21"/>
                    </w:rPr>
                    <w:t>≤1000</w:t>
                  </w:r>
                </w:p>
              </w:tc>
              <w:tc>
                <w:tcPr>
                  <w:tcW w:w="1365" w:type="dxa"/>
                  <w:vAlign w:val="center"/>
                </w:tcPr>
                <w:p>
                  <w:pPr>
                    <w:jc w:val="center"/>
                    <w:rPr>
                      <w:bCs/>
                      <w:szCs w:val="21"/>
                    </w:rPr>
                  </w:pPr>
                  <w:r>
                    <w:rPr>
                      <w:bCs/>
                      <w:szCs w:val="21"/>
                    </w:rPr>
                    <w:t>≤20</w:t>
                  </w:r>
                </w:p>
              </w:tc>
              <w:tc>
                <w:tcPr>
                  <w:tcW w:w="1365" w:type="dxa"/>
                  <w:vAlign w:val="center"/>
                </w:tcPr>
                <w:p>
                  <w:pPr>
                    <w:jc w:val="center"/>
                    <w:rPr>
                      <w:bCs/>
                      <w:szCs w:val="21"/>
                    </w:rPr>
                  </w:pPr>
                  <w:r>
                    <w:rPr>
                      <w:bCs/>
                      <w:szCs w:val="21"/>
                    </w:rPr>
                    <w:t>≤20000</w:t>
                  </w:r>
                </w:p>
              </w:tc>
              <w:tc>
                <w:tcPr>
                  <w:tcW w:w="1365" w:type="dxa"/>
                  <w:vAlign w:val="center"/>
                </w:tcPr>
                <w:p>
                  <w:pPr>
                    <w:jc w:val="center"/>
                    <w:rPr>
                      <w:bCs/>
                      <w:szCs w:val="21"/>
                    </w:rPr>
                  </w:pPr>
                </w:p>
              </w:tc>
            </w:tr>
          </w:tbl>
          <w:p>
            <w:pPr>
              <w:spacing w:line="360" w:lineRule="auto"/>
              <w:ind w:firstLine="420" w:firstLineChars="200"/>
              <w:rPr>
                <w:bCs/>
                <w:szCs w:val="21"/>
              </w:rPr>
            </w:pPr>
            <w:r>
              <w:rPr>
                <w:bCs/>
                <w:szCs w:val="21"/>
              </w:rPr>
              <w:t>本项目产生的废水经预处理后拉运至四川瑞利生物科技有限公司后，在严格控制该水厂水质指标，强化过程监控的前提下，可达到《污水综合排放标准》（GB8978-1996）表1、表4的一级标准，处理达标后通过泸州北方化学工业有限公司污水处理厂现有排口排放至长江。因此本项目的废水处理措施是可行的。</w:t>
            </w:r>
          </w:p>
          <w:p>
            <w:pPr>
              <w:numPr>
                <w:ilvl w:val="0"/>
                <w:numId w:val="7"/>
              </w:numPr>
              <w:spacing w:line="360" w:lineRule="auto"/>
              <w:ind w:left="0" w:firstLine="0"/>
              <w:jc w:val="center"/>
              <w:rPr>
                <w:b/>
                <w:bCs/>
                <w:szCs w:val="21"/>
              </w:rPr>
            </w:pPr>
            <w:r>
              <w:rPr>
                <w:b/>
                <w:bCs/>
                <w:szCs w:val="21"/>
              </w:rPr>
              <w:t>废水处理后出水指标</w:t>
            </w:r>
          </w:p>
          <w:tbl>
            <w:tblPr>
              <w:tblStyle w:val="4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72"/>
              <w:gridCol w:w="1372"/>
              <w:gridCol w:w="1372"/>
              <w:gridCol w:w="1372"/>
              <w:gridCol w:w="1372"/>
              <w:gridCol w:w="13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372" w:type="dxa"/>
                  <w:vAlign w:val="center"/>
                </w:tcPr>
                <w:p>
                  <w:pPr>
                    <w:jc w:val="center"/>
                    <w:rPr>
                      <w:bCs/>
                      <w:szCs w:val="21"/>
                    </w:rPr>
                  </w:pPr>
                  <w:r>
                    <w:rPr>
                      <w:bCs/>
                      <w:szCs w:val="21"/>
                    </w:rPr>
                    <w:t>项目</w:t>
                  </w:r>
                </w:p>
              </w:tc>
              <w:tc>
                <w:tcPr>
                  <w:tcW w:w="1372" w:type="dxa"/>
                  <w:vAlign w:val="center"/>
                </w:tcPr>
                <w:p>
                  <w:pPr>
                    <w:jc w:val="center"/>
                    <w:rPr>
                      <w:bCs/>
                      <w:szCs w:val="21"/>
                    </w:rPr>
                  </w:pPr>
                  <w:r>
                    <w:rPr>
                      <w:bCs/>
                      <w:szCs w:val="21"/>
                    </w:rPr>
                    <w:t>COD</w:t>
                  </w:r>
                </w:p>
              </w:tc>
              <w:tc>
                <w:tcPr>
                  <w:tcW w:w="1372" w:type="dxa"/>
                  <w:vAlign w:val="center"/>
                </w:tcPr>
                <w:p>
                  <w:pPr>
                    <w:jc w:val="center"/>
                    <w:rPr>
                      <w:bCs/>
                      <w:szCs w:val="21"/>
                    </w:rPr>
                  </w:pPr>
                  <w:r>
                    <w:rPr>
                      <w:bCs/>
                      <w:szCs w:val="21"/>
                    </w:rPr>
                    <w:t>悬浮物</w:t>
                  </w:r>
                </w:p>
              </w:tc>
              <w:tc>
                <w:tcPr>
                  <w:tcW w:w="1372" w:type="dxa"/>
                  <w:vAlign w:val="center"/>
                </w:tcPr>
                <w:p>
                  <w:pPr>
                    <w:jc w:val="center"/>
                    <w:rPr>
                      <w:bCs/>
                      <w:szCs w:val="21"/>
                    </w:rPr>
                  </w:pPr>
                  <w:r>
                    <w:rPr>
                      <w:bCs/>
                      <w:szCs w:val="21"/>
                    </w:rPr>
                    <w:t>NH</w:t>
                  </w:r>
                  <w:r>
                    <w:rPr>
                      <w:bCs/>
                      <w:szCs w:val="21"/>
                      <w:vertAlign w:val="subscript"/>
                    </w:rPr>
                    <w:t>3</w:t>
                  </w:r>
                  <w:r>
                    <w:rPr>
                      <w:bCs/>
                      <w:szCs w:val="21"/>
                    </w:rPr>
                    <w:t>-N</w:t>
                  </w:r>
                </w:p>
              </w:tc>
              <w:tc>
                <w:tcPr>
                  <w:tcW w:w="1372" w:type="dxa"/>
                  <w:vAlign w:val="center"/>
                </w:tcPr>
                <w:p>
                  <w:pPr>
                    <w:jc w:val="center"/>
                    <w:rPr>
                      <w:bCs/>
                      <w:szCs w:val="21"/>
                    </w:rPr>
                  </w:pPr>
                  <w:r>
                    <w:rPr>
                      <w:bCs/>
                      <w:szCs w:val="21"/>
                    </w:rPr>
                    <w:t>Ba</w:t>
                  </w:r>
                  <w:r>
                    <w:rPr>
                      <w:bCs/>
                      <w:szCs w:val="21"/>
                      <w:vertAlign w:val="superscript"/>
                    </w:rPr>
                    <w:t>2+</w:t>
                  </w:r>
                </w:p>
              </w:tc>
              <w:tc>
                <w:tcPr>
                  <w:tcW w:w="1372" w:type="dxa"/>
                  <w:vAlign w:val="center"/>
                </w:tcPr>
                <w:p>
                  <w:pPr>
                    <w:jc w:val="center"/>
                    <w:rPr>
                      <w:bCs/>
                      <w:szCs w:val="21"/>
                    </w:rPr>
                  </w:pPr>
                  <w:r>
                    <w:rPr>
                      <w:bCs/>
                      <w:szCs w:val="21"/>
                    </w:rPr>
                    <w:t>pH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372" w:type="dxa"/>
                  <w:vAlign w:val="center"/>
                </w:tcPr>
                <w:p>
                  <w:pPr>
                    <w:jc w:val="center"/>
                    <w:rPr>
                      <w:bCs/>
                      <w:szCs w:val="21"/>
                    </w:rPr>
                  </w:pPr>
                  <w:r>
                    <w:rPr>
                      <w:bCs/>
                      <w:szCs w:val="21"/>
                    </w:rPr>
                    <w:t>进水浓度</w:t>
                  </w:r>
                </w:p>
              </w:tc>
              <w:tc>
                <w:tcPr>
                  <w:tcW w:w="1372" w:type="dxa"/>
                  <w:vAlign w:val="center"/>
                </w:tcPr>
                <w:p>
                  <w:pPr>
                    <w:jc w:val="center"/>
                    <w:rPr>
                      <w:bCs/>
                      <w:szCs w:val="21"/>
                    </w:rPr>
                  </w:pPr>
                  <w:r>
                    <w:rPr>
                      <w:bCs/>
                      <w:szCs w:val="21"/>
                    </w:rPr>
                    <w:t>≤100</w:t>
                  </w:r>
                </w:p>
              </w:tc>
              <w:tc>
                <w:tcPr>
                  <w:tcW w:w="1372" w:type="dxa"/>
                  <w:vAlign w:val="center"/>
                </w:tcPr>
                <w:p>
                  <w:pPr>
                    <w:jc w:val="center"/>
                    <w:rPr>
                      <w:bCs/>
                      <w:szCs w:val="21"/>
                    </w:rPr>
                  </w:pPr>
                  <w:r>
                    <w:rPr>
                      <w:bCs/>
                      <w:szCs w:val="21"/>
                    </w:rPr>
                    <w:t>≤10</w:t>
                  </w:r>
                </w:p>
              </w:tc>
              <w:tc>
                <w:tcPr>
                  <w:tcW w:w="1372" w:type="dxa"/>
                  <w:vAlign w:val="center"/>
                </w:tcPr>
                <w:p>
                  <w:pPr>
                    <w:jc w:val="center"/>
                    <w:rPr>
                      <w:bCs/>
                      <w:szCs w:val="21"/>
                    </w:rPr>
                  </w:pPr>
                  <w:r>
                    <w:rPr>
                      <w:bCs/>
                      <w:szCs w:val="21"/>
                    </w:rPr>
                    <w:t>≤15</w:t>
                  </w:r>
                </w:p>
              </w:tc>
              <w:tc>
                <w:tcPr>
                  <w:tcW w:w="1372" w:type="dxa"/>
                  <w:vAlign w:val="center"/>
                </w:tcPr>
                <w:p>
                  <w:pPr>
                    <w:jc w:val="center"/>
                    <w:rPr>
                      <w:bCs/>
                      <w:szCs w:val="21"/>
                    </w:rPr>
                  </w:pPr>
                  <w:r>
                    <w:rPr>
                      <w:bCs/>
                      <w:szCs w:val="21"/>
                    </w:rPr>
                    <w:t>/</w:t>
                  </w:r>
                </w:p>
              </w:tc>
              <w:tc>
                <w:tcPr>
                  <w:tcW w:w="1372" w:type="dxa"/>
                  <w:vAlign w:val="center"/>
                </w:tcPr>
                <w:p>
                  <w:pPr>
                    <w:jc w:val="center"/>
                    <w:rPr>
                      <w:bCs/>
                      <w:szCs w:val="21"/>
                    </w:rPr>
                  </w:pPr>
                  <w:r>
                    <w:rPr>
                      <w:bCs/>
                      <w:szCs w:val="21"/>
                    </w:rPr>
                    <w:t>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372" w:type="dxa"/>
                  <w:vAlign w:val="center"/>
                </w:tcPr>
                <w:p>
                  <w:pPr>
                    <w:jc w:val="center"/>
                    <w:rPr>
                      <w:bCs/>
                      <w:szCs w:val="21"/>
                    </w:rPr>
                  </w:pPr>
                  <w:r>
                    <w:rPr>
                      <w:bCs/>
                      <w:szCs w:val="21"/>
                    </w:rPr>
                    <w:t>项目</w:t>
                  </w:r>
                </w:p>
              </w:tc>
              <w:tc>
                <w:tcPr>
                  <w:tcW w:w="1372" w:type="dxa"/>
                  <w:vAlign w:val="center"/>
                </w:tcPr>
                <w:p>
                  <w:pPr>
                    <w:jc w:val="center"/>
                    <w:rPr>
                      <w:bCs/>
                      <w:szCs w:val="21"/>
                    </w:rPr>
                  </w:pPr>
                  <w:r>
                    <w:rPr>
                      <w:bCs/>
                      <w:szCs w:val="21"/>
                    </w:rPr>
                    <w:t>石油类</w:t>
                  </w:r>
                </w:p>
              </w:tc>
              <w:tc>
                <w:tcPr>
                  <w:tcW w:w="1372" w:type="dxa"/>
                  <w:vAlign w:val="center"/>
                </w:tcPr>
                <w:p>
                  <w:pPr>
                    <w:jc w:val="center"/>
                    <w:rPr>
                      <w:bCs/>
                      <w:szCs w:val="21"/>
                    </w:rPr>
                  </w:pPr>
                  <w:r>
                    <w:rPr>
                      <w:bCs/>
                      <w:szCs w:val="21"/>
                    </w:rPr>
                    <w:t>BOD</w:t>
                  </w:r>
                  <w:r>
                    <w:rPr>
                      <w:bCs/>
                      <w:szCs w:val="21"/>
                      <w:vertAlign w:val="subscript"/>
                    </w:rPr>
                    <w:t>5</w:t>
                  </w:r>
                </w:p>
              </w:tc>
              <w:tc>
                <w:tcPr>
                  <w:tcW w:w="1372" w:type="dxa"/>
                  <w:vAlign w:val="center"/>
                </w:tcPr>
                <w:p>
                  <w:pPr>
                    <w:jc w:val="center"/>
                    <w:rPr>
                      <w:bCs/>
                      <w:szCs w:val="21"/>
                    </w:rPr>
                  </w:pPr>
                  <w:r>
                    <w:rPr>
                      <w:bCs/>
                      <w:szCs w:val="21"/>
                    </w:rPr>
                    <w:t>S</w:t>
                  </w:r>
                  <w:r>
                    <w:rPr>
                      <w:bCs/>
                      <w:szCs w:val="21"/>
                      <w:vertAlign w:val="superscript"/>
                    </w:rPr>
                    <w:t>2-</w:t>
                  </w:r>
                </w:p>
              </w:tc>
              <w:tc>
                <w:tcPr>
                  <w:tcW w:w="1372" w:type="dxa"/>
                  <w:vAlign w:val="center"/>
                </w:tcPr>
                <w:p>
                  <w:pPr>
                    <w:jc w:val="center"/>
                    <w:rPr>
                      <w:bCs/>
                      <w:szCs w:val="21"/>
                    </w:rPr>
                  </w:pPr>
                  <w:r>
                    <w:rPr>
                      <w:bCs/>
                      <w:szCs w:val="21"/>
                    </w:rPr>
                    <w:t>CL</w:t>
                  </w:r>
                  <w:r>
                    <w:rPr>
                      <w:bCs/>
                      <w:szCs w:val="21"/>
                      <w:vertAlign w:val="superscript"/>
                    </w:rPr>
                    <w:t>-</w:t>
                  </w:r>
                </w:p>
              </w:tc>
              <w:tc>
                <w:tcPr>
                  <w:tcW w:w="1372" w:type="dxa"/>
                  <w:vAlign w:val="center"/>
                </w:tcPr>
                <w:p>
                  <w:pPr>
                    <w:jc w:val="center"/>
                    <w:rPr>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9" w:hRule="atLeast"/>
              </w:trPr>
              <w:tc>
                <w:tcPr>
                  <w:tcW w:w="1372" w:type="dxa"/>
                  <w:vAlign w:val="center"/>
                </w:tcPr>
                <w:p>
                  <w:pPr>
                    <w:jc w:val="center"/>
                    <w:rPr>
                      <w:bCs/>
                      <w:szCs w:val="21"/>
                    </w:rPr>
                  </w:pPr>
                  <w:r>
                    <w:rPr>
                      <w:bCs/>
                      <w:szCs w:val="21"/>
                    </w:rPr>
                    <w:t>进水浓度</w:t>
                  </w:r>
                </w:p>
              </w:tc>
              <w:tc>
                <w:tcPr>
                  <w:tcW w:w="1372" w:type="dxa"/>
                  <w:vAlign w:val="center"/>
                </w:tcPr>
                <w:p>
                  <w:pPr>
                    <w:jc w:val="center"/>
                    <w:rPr>
                      <w:bCs/>
                      <w:szCs w:val="21"/>
                    </w:rPr>
                  </w:pPr>
                  <w:r>
                    <w:rPr>
                      <w:bCs/>
                      <w:szCs w:val="21"/>
                    </w:rPr>
                    <w:t>≤5</w:t>
                  </w:r>
                </w:p>
              </w:tc>
              <w:tc>
                <w:tcPr>
                  <w:tcW w:w="1372" w:type="dxa"/>
                  <w:vAlign w:val="center"/>
                </w:tcPr>
                <w:p>
                  <w:pPr>
                    <w:jc w:val="center"/>
                    <w:rPr>
                      <w:bCs/>
                      <w:szCs w:val="21"/>
                    </w:rPr>
                  </w:pPr>
                  <w:r>
                    <w:rPr>
                      <w:bCs/>
                      <w:szCs w:val="21"/>
                    </w:rPr>
                    <w:t>≤20</w:t>
                  </w:r>
                </w:p>
              </w:tc>
              <w:tc>
                <w:tcPr>
                  <w:tcW w:w="1372" w:type="dxa"/>
                  <w:vAlign w:val="center"/>
                </w:tcPr>
                <w:p>
                  <w:pPr>
                    <w:jc w:val="center"/>
                    <w:rPr>
                      <w:bCs/>
                      <w:szCs w:val="21"/>
                    </w:rPr>
                  </w:pPr>
                  <w:r>
                    <w:rPr>
                      <w:bCs/>
                      <w:szCs w:val="21"/>
                    </w:rPr>
                    <w:t>≤1.0</w:t>
                  </w:r>
                </w:p>
              </w:tc>
              <w:tc>
                <w:tcPr>
                  <w:tcW w:w="1372" w:type="dxa"/>
                  <w:vAlign w:val="center"/>
                </w:tcPr>
                <w:p>
                  <w:pPr>
                    <w:jc w:val="center"/>
                    <w:rPr>
                      <w:bCs/>
                      <w:szCs w:val="21"/>
                    </w:rPr>
                  </w:pPr>
                  <w:r>
                    <w:rPr>
                      <w:bCs/>
                      <w:szCs w:val="21"/>
                    </w:rPr>
                    <w:t>/</w:t>
                  </w:r>
                </w:p>
              </w:tc>
              <w:tc>
                <w:tcPr>
                  <w:tcW w:w="1372" w:type="dxa"/>
                  <w:vAlign w:val="center"/>
                </w:tcPr>
                <w:p>
                  <w:pPr>
                    <w:jc w:val="center"/>
                    <w:rPr>
                      <w:bCs/>
                      <w:szCs w:val="21"/>
                    </w:rPr>
                  </w:pPr>
                </w:p>
              </w:tc>
            </w:tr>
          </w:tbl>
          <w:p>
            <w:pPr>
              <w:spacing w:line="360" w:lineRule="auto"/>
              <w:ind w:firstLine="420" w:firstLineChars="200"/>
              <w:rPr>
                <w:bCs/>
                <w:szCs w:val="21"/>
              </w:rPr>
            </w:pPr>
            <w:r>
              <w:rPr>
                <w:bCs/>
                <w:szCs w:val="21"/>
              </w:rPr>
              <w:t>综上，拟建项目废水依托四川瑞利生物科技有限公司污水处理厂进行处理，四川瑞利生物科技有限公司</w:t>
            </w:r>
            <w:r>
              <w:rPr>
                <w:rFonts w:ascii="宋体" w:hAnsi="宋体"/>
                <w:bCs/>
                <w:szCs w:val="21"/>
              </w:rPr>
              <w:t>“</w:t>
            </w:r>
            <w:r>
              <w:rPr>
                <w:bCs/>
                <w:szCs w:val="21"/>
              </w:rPr>
              <w:t>18万吨/年气田压裂返排液治理项目</w:t>
            </w:r>
            <w:r>
              <w:rPr>
                <w:rFonts w:ascii="宋体" w:hAnsi="宋体"/>
                <w:bCs/>
                <w:szCs w:val="21"/>
              </w:rPr>
              <w:t>”</w:t>
            </w:r>
            <w:r>
              <w:rPr>
                <w:bCs/>
                <w:szCs w:val="21"/>
              </w:rPr>
              <w:t>通过了泸州市龙马潭区环保局的环保验收（泸龙环验〔2016〕7号）。由此可见，瑞利生物科技有限公司污水处理厂处理后，废水能实现达标排放。因此在处理能力及工艺技术上均依托可行。</w:t>
            </w:r>
          </w:p>
          <w:p>
            <w:pPr>
              <w:spacing w:line="360" w:lineRule="auto"/>
              <w:ind w:firstLine="420" w:firstLineChars="200"/>
              <w:rPr>
                <w:bCs/>
                <w:szCs w:val="21"/>
              </w:rPr>
            </w:pPr>
            <w:r>
              <w:rPr>
                <w:bCs/>
                <w:szCs w:val="21"/>
              </w:rPr>
              <w:fldChar w:fldCharType="begin"/>
            </w:r>
            <w:r>
              <w:rPr>
                <w:bCs/>
                <w:szCs w:val="21"/>
              </w:rPr>
              <w:instrText xml:space="preserve"> </w:instrText>
            </w:r>
            <w:r>
              <w:rPr>
                <w:rFonts w:hint="eastAsia"/>
                <w:bCs/>
                <w:szCs w:val="21"/>
              </w:rPr>
              <w:instrText xml:space="preserve">= 6 \* GB3</w:instrText>
            </w:r>
            <w:r>
              <w:rPr>
                <w:bCs/>
                <w:szCs w:val="21"/>
              </w:rPr>
              <w:instrText xml:space="preserve"> </w:instrText>
            </w:r>
            <w:r>
              <w:rPr>
                <w:bCs/>
                <w:szCs w:val="21"/>
              </w:rPr>
              <w:fldChar w:fldCharType="separate"/>
            </w:r>
            <w:r>
              <w:rPr>
                <w:rFonts w:hint="eastAsia"/>
                <w:bCs/>
                <w:szCs w:val="21"/>
              </w:rPr>
              <w:t>⑥</w:t>
            </w:r>
            <w:r>
              <w:rPr>
                <w:bCs/>
                <w:szCs w:val="21"/>
              </w:rPr>
              <w:fldChar w:fldCharType="end"/>
            </w:r>
            <w:r>
              <w:rPr>
                <w:bCs/>
                <w:szCs w:val="21"/>
              </w:rPr>
              <w:t>废水收集、储存管理及可行性分析</w:t>
            </w:r>
          </w:p>
          <w:p>
            <w:pPr>
              <w:spacing w:line="360" w:lineRule="auto"/>
              <w:ind w:firstLine="420" w:firstLineChars="200"/>
              <w:rPr>
                <w:bCs/>
                <w:szCs w:val="21"/>
              </w:rPr>
            </w:pPr>
            <w:r>
              <w:rPr>
                <w:bCs/>
                <w:szCs w:val="21"/>
              </w:rPr>
              <w:t>清洁化操作区域共设置4个40m</w:t>
            </w:r>
            <w:r>
              <w:rPr>
                <w:bCs/>
                <w:szCs w:val="21"/>
                <w:vertAlign w:val="superscript"/>
              </w:rPr>
              <w:t>3</w:t>
            </w:r>
            <w:r>
              <w:rPr>
                <w:bCs/>
                <w:szCs w:val="21"/>
              </w:rPr>
              <w:t>的废水罐，废水罐总容积160m</w:t>
            </w:r>
            <w:r>
              <w:rPr>
                <w:bCs/>
                <w:szCs w:val="21"/>
                <w:vertAlign w:val="superscript"/>
              </w:rPr>
              <w:t>3</w:t>
            </w:r>
            <w:r>
              <w:rPr>
                <w:bCs/>
                <w:szCs w:val="21"/>
              </w:rPr>
              <w:t>，钻井废水随钻处理</w:t>
            </w:r>
            <w:r>
              <w:rPr>
                <w:rFonts w:hint="eastAsia"/>
                <w:bCs/>
                <w:szCs w:val="21"/>
              </w:rPr>
              <w:t>并回用</w:t>
            </w:r>
            <w:r>
              <w:rPr>
                <w:bCs/>
                <w:szCs w:val="21"/>
              </w:rPr>
              <w:t>，使其储存量不超过储存总容积160m</w:t>
            </w:r>
            <w:r>
              <w:rPr>
                <w:bCs/>
                <w:szCs w:val="21"/>
                <w:vertAlign w:val="superscript"/>
              </w:rPr>
              <w:t>3</w:t>
            </w:r>
            <w:r>
              <w:rPr>
                <w:bCs/>
                <w:szCs w:val="21"/>
              </w:rPr>
              <w:t>。施工单位在合理安排施工工序，及时对产生的废水外运，加强废水收集、储存管理的情况下，项目能够满足收容要求。</w:t>
            </w:r>
          </w:p>
          <w:p>
            <w:pPr>
              <w:spacing w:line="360" w:lineRule="auto"/>
              <w:ind w:firstLine="420" w:firstLineChars="200"/>
              <w:rPr>
                <w:bCs/>
                <w:szCs w:val="21"/>
              </w:rPr>
            </w:pPr>
            <w:r>
              <w:rPr>
                <w:bCs/>
                <w:szCs w:val="21"/>
              </w:rPr>
              <w:t>本工程废水收集措施见</w:t>
            </w:r>
            <w:r>
              <w:rPr>
                <w:rFonts w:hint="eastAsia"/>
                <w:bCs/>
                <w:szCs w:val="21"/>
              </w:rPr>
              <w:t>下表</w:t>
            </w:r>
            <w:r>
              <w:rPr>
                <w:bCs/>
                <w:szCs w:val="21"/>
              </w:rPr>
              <w:t>。</w:t>
            </w:r>
          </w:p>
          <w:p>
            <w:pPr>
              <w:numPr>
                <w:ilvl w:val="0"/>
                <w:numId w:val="7"/>
              </w:numPr>
              <w:spacing w:line="360" w:lineRule="auto"/>
              <w:ind w:left="0" w:firstLine="0"/>
              <w:jc w:val="center"/>
              <w:rPr>
                <w:b/>
                <w:bCs/>
                <w:szCs w:val="21"/>
              </w:rPr>
            </w:pPr>
            <w:r>
              <w:rPr>
                <w:b/>
                <w:bCs/>
                <w:szCs w:val="21"/>
              </w:rPr>
              <w:t>工程的废水收集措施表</w:t>
            </w:r>
          </w:p>
          <w:tbl>
            <w:tblPr>
              <w:tblStyle w:val="4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6"/>
              <w:gridCol w:w="1339"/>
              <w:gridCol w:w="1134"/>
              <w:gridCol w:w="1706"/>
              <w:gridCol w:w="29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1086" w:type="dxa"/>
                  <w:vAlign w:val="center"/>
                </w:tcPr>
                <w:p>
                  <w:pPr>
                    <w:jc w:val="center"/>
                    <w:rPr>
                      <w:bCs/>
                      <w:szCs w:val="21"/>
                    </w:rPr>
                  </w:pPr>
                  <w:r>
                    <w:rPr>
                      <w:bCs/>
                      <w:szCs w:val="21"/>
                    </w:rPr>
                    <w:t>污染物类型</w:t>
                  </w:r>
                </w:p>
              </w:tc>
              <w:tc>
                <w:tcPr>
                  <w:tcW w:w="1339" w:type="dxa"/>
                  <w:vAlign w:val="center"/>
                </w:tcPr>
                <w:p>
                  <w:pPr>
                    <w:jc w:val="center"/>
                    <w:rPr>
                      <w:bCs/>
                      <w:szCs w:val="21"/>
                    </w:rPr>
                  </w:pPr>
                  <w:r>
                    <w:rPr>
                      <w:bCs/>
                      <w:szCs w:val="21"/>
                    </w:rPr>
                    <w:t>污染物种类</w:t>
                  </w:r>
                </w:p>
              </w:tc>
              <w:tc>
                <w:tcPr>
                  <w:tcW w:w="1134" w:type="dxa"/>
                  <w:vAlign w:val="center"/>
                </w:tcPr>
                <w:p>
                  <w:pPr>
                    <w:jc w:val="center"/>
                    <w:rPr>
                      <w:bCs/>
                      <w:szCs w:val="21"/>
                    </w:rPr>
                  </w:pPr>
                  <w:r>
                    <w:rPr>
                      <w:bCs/>
                      <w:szCs w:val="21"/>
                    </w:rPr>
                    <w:t>总产生量</w:t>
                  </w:r>
                  <w:r>
                    <w:rPr>
                      <w:rFonts w:hint="eastAsia"/>
                      <w:bCs/>
                      <w:szCs w:val="21"/>
                    </w:rPr>
                    <w:t>/m</w:t>
                  </w:r>
                  <w:r>
                    <w:rPr>
                      <w:bCs/>
                      <w:szCs w:val="21"/>
                      <w:vertAlign w:val="superscript"/>
                    </w:rPr>
                    <w:t>3</w:t>
                  </w:r>
                </w:p>
              </w:tc>
              <w:tc>
                <w:tcPr>
                  <w:tcW w:w="1706" w:type="dxa"/>
                  <w:vAlign w:val="center"/>
                </w:tcPr>
                <w:p>
                  <w:pPr>
                    <w:jc w:val="center"/>
                    <w:rPr>
                      <w:bCs/>
                      <w:szCs w:val="21"/>
                    </w:rPr>
                  </w:pPr>
                  <w:r>
                    <w:rPr>
                      <w:bCs/>
                      <w:szCs w:val="21"/>
                    </w:rPr>
                    <w:t>收集措施</w:t>
                  </w:r>
                </w:p>
              </w:tc>
              <w:tc>
                <w:tcPr>
                  <w:tcW w:w="2960" w:type="dxa"/>
                  <w:vAlign w:val="center"/>
                </w:tcPr>
                <w:p>
                  <w:pPr>
                    <w:jc w:val="center"/>
                    <w:rPr>
                      <w:bCs/>
                      <w:szCs w:val="21"/>
                    </w:rPr>
                  </w:pPr>
                  <w:r>
                    <w:rPr>
                      <w:bCs/>
                      <w:szCs w:val="21"/>
                    </w:rPr>
                    <w:t>处理措施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trPr>
              <w:tc>
                <w:tcPr>
                  <w:tcW w:w="1086" w:type="dxa"/>
                  <w:vAlign w:val="center"/>
                </w:tcPr>
                <w:p>
                  <w:pPr>
                    <w:jc w:val="center"/>
                    <w:rPr>
                      <w:bCs/>
                      <w:szCs w:val="21"/>
                    </w:rPr>
                  </w:pPr>
                  <w:r>
                    <w:rPr>
                      <w:bCs/>
                      <w:szCs w:val="21"/>
                    </w:rPr>
                    <w:t>钻井废水</w:t>
                  </w:r>
                </w:p>
              </w:tc>
              <w:tc>
                <w:tcPr>
                  <w:tcW w:w="1339" w:type="dxa"/>
                  <w:vAlign w:val="center"/>
                </w:tcPr>
                <w:p>
                  <w:pPr>
                    <w:jc w:val="center"/>
                    <w:rPr>
                      <w:bCs/>
                      <w:szCs w:val="21"/>
                    </w:rPr>
                  </w:pPr>
                  <w:r>
                    <w:rPr>
                      <w:bCs/>
                      <w:szCs w:val="21"/>
                    </w:rPr>
                    <w:t>COD、SS、石油类等</w:t>
                  </w:r>
                </w:p>
              </w:tc>
              <w:tc>
                <w:tcPr>
                  <w:tcW w:w="1134" w:type="dxa"/>
                  <w:vAlign w:val="center"/>
                </w:tcPr>
                <w:p>
                  <w:pPr>
                    <w:jc w:val="center"/>
                    <w:rPr>
                      <w:bCs/>
                      <w:szCs w:val="21"/>
                    </w:rPr>
                  </w:pPr>
                  <w:r>
                    <w:rPr>
                      <w:bCs/>
                      <w:szCs w:val="21"/>
                    </w:rPr>
                    <w:t>214.6</w:t>
                  </w:r>
                </w:p>
              </w:tc>
              <w:tc>
                <w:tcPr>
                  <w:tcW w:w="1706" w:type="dxa"/>
                  <w:vAlign w:val="center"/>
                </w:tcPr>
                <w:p>
                  <w:pPr>
                    <w:jc w:val="center"/>
                    <w:rPr>
                      <w:bCs/>
                      <w:szCs w:val="21"/>
                    </w:rPr>
                  </w:pPr>
                  <w:r>
                    <w:rPr>
                      <w:bCs/>
                      <w:szCs w:val="21"/>
                    </w:rPr>
                    <w:t>随钻处理，160m</w:t>
                  </w:r>
                  <w:r>
                    <w:rPr>
                      <w:bCs/>
                      <w:szCs w:val="21"/>
                      <w:vertAlign w:val="superscript"/>
                    </w:rPr>
                    <w:t>3</w:t>
                  </w:r>
                  <w:r>
                    <w:rPr>
                      <w:bCs/>
                      <w:szCs w:val="21"/>
                    </w:rPr>
                    <w:t>废水罐收集</w:t>
                  </w:r>
                </w:p>
              </w:tc>
              <w:tc>
                <w:tcPr>
                  <w:tcW w:w="2960" w:type="dxa"/>
                  <w:vMerge w:val="restart"/>
                  <w:vAlign w:val="center"/>
                </w:tcPr>
                <w:p>
                  <w:pPr>
                    <w:jc w:val="center"/>
                    <w:rPr>
                      <w:bCs/>
                      <w:szCs w:val="21"/>
                    </w:rPr>
                  </w:pPr>
                  <w:r>
                    <w:rPr>
                      <w:rFonts w:hint="eastAsia"/>
                      <w:bCs/>
                      <w:szCs w:val="21"/>
                    </w:rPr>
                    <w:t>经应急池暂存后用于配制压裂液，不能回用时及时通过罐车拉运至</w:t>
                  </w:r>
                  <w:r>
                    <w:rPr>
                      <w:bCs/>
                      <w:szCs w:val="21"/>
                    </w:rPr>
                    <w:t>州经济技术开发区四川瑞利生物科技有限公司污水处理厂处理</w:t>
                  </w:r>
                  <w:r>
                    <w:rPr>
                      <w:rFonts w:hint="eastAsia"/>
                      <w:bCs/>
                      <w:szCs w:val="21"/>
                    </w:rPr>
                    <w:t>达标后排放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trPr>
              <w:tc>
                <w:tcPr>
                  <w:tcW w:w="1086" w:type="dxa"/>
                  <w:vAlign w:val="center"/>
                </w:tcPr>
                <w:p>
                  <w:pPr>
                    <w:jc w:val="center"/>
                    <w:rPr>
                      <w:bCs/>
                      <w:szCs w:val="21"/>
                    </w:rPr>
                  </w:pPr>
                  <w:r>
                    <w:rPr>
                      <w:bCs/>
                      <w:szCs w:val="21"/>
                    </w:rPr>
                    <w:t>洗井废水</w:t>
                  </w:r>
                </w:p>
              </w:tc>
              <w:tc>
                <w:tcPr>
                  <w:tcW w:w="1339" w:type="dxa"/>
                  <w:vAlign w:val="center"/>
                </w:tcPr>
                <w:p>
                  <w:pPr>
                    <w:jc w:val="center"/>
                    <w:rPr>
                      <w:bCs/>
                      <w:szCs w:val="21"/>
                    </w:rPr>
                  </w:pPr>
                  <w:r>
                    <w:rPr>
                      <w:bCs/>
                      <w:szCs w:val="21"/>
                    </w:rPr>
                    <w:t>COD、SS、石油类等</w:t>
                  </w:r>
                </w:p>
              </w:tc>
              <w:tc>
                <w:tcPr>
                  <w:tcW w:w="1134" w:type="dxa"/>
                  <w:vAlign w:val="center"/>
                </w:tcPr>
                <w:p>
                  <w:pPr>
                    <w:jc w:val="center"/>
                    <w:rPr>
                      <w:bCs/>
                      <w:szCs w:val="21"/>
                    </w:rPr>
                  </w:pPr>
                  <w:r>
                    <w:rPr>
                      <w:bCs/>
                      <w:szCs w:val="21"/>
                    </w:rPr>
                    <w:t>25.29</w:t>
                  </w:r>
                </w:p>
              </w:tc>
              <w:tc>
                <w:tcPr>
                  <w:tcW w:w="1706" w:type="dxa"/>
                  <w:vAlign w:val="center"/>
                </w:tcPr>
                <w:p>
                  <w:pPr>
                    <w:jc w:val="center"/>
                    <w:rPr>
                      <w:bCs/>
                      <w:szCs w:val="21"/>
                    </w:rPr>
                  </w:pPr>
                  <w:r>
                    <w:rPr>
                      <w:bCs/>
                      <w:szCs w:val="21"/>
                    </w:rPr>
                    <w:t>废水罐</w:t>
                  </w:r>
                  <w:r>
                    <w:rPr>
                      <w:rFonts w:hint="eastAsia"/>
                      <w:bCs/>
                      <w:szCs w:val="21"/>
                    </w:rPr>
                    <w:t>、应急池</w:t>
                  </w:r>
                  <w:r>
                    <w:rPr>
                      <w:bCs/>
                      <w:szCs w:val="21"/>
                    </w:rPr>
                    <w:t>收集</w:t>
                  </w:r>
                </w:p>
              </w:tc>
              <w:tc>
                <w:tcPr>
                  <w:tcW w:w="2960" w:type="dxa"/>
                  <w:vMerge w:val="continue"/>
                  <w:vAlign w:val="center"/>
                </w:tcPr>
                <w:p>
                  <w:pPr>
                    <w:jc w:val="center"/>
                    <w:rPr>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trPr>
              <w:tc>
                <w:tcPr>
                  <w:tcW w:w="1086" w:type="dxa"/>
                  <w:vAlign w:val="center"/>
                </w:tcPr>
                <w:p>
                  <w:pPr>
                    <w:jc w:val="center"/>
                    <w:rPr>
                      <w:bCs/>
                      <w:szCs w:val="21"/>
                    </w:rPr>
                  </w:pPr>
                  <w:r>
                    <w:rPr>
                      <w:rFonts w:hint="eastAsia"/>
                      <w:bCs/>
                      <w:szCs w:val="21"/>
                    </w:rPr>
                    <w:t>场地</w:t>
                  </w:r>
                  <w:r>
                    <w:rPr>
                      <w:bCs/>
                      <w:szCs w:val="21"/>
                    </w:rPr>
                    <w:t>雨水</w:t>
                  </w:r>
                </w:p>
              </w:tc>
              <w:tc>
                <w:tcPr>
                  <w:tcW w:w="1339" w:type="dxa"/>
                  <w:vAlign w:val="center"/>
                </w:tcPr>
                <w:p>
                  <w:pPr>
                    <w:jc w:val="center"/>
                    <w:rPr>
                      <w:bCs/>
                      <w:szCs w:val="21"/>
                    </w:rPr>
                  </w:pPr>
                  <w:r>
                    <w:rPr>
                      <w:bCs/>
                      <w:szCs w:val="21"/>
                    </w:rPr>
                    <w:t>COD、SS、石油类等</w:t>
                  </w:r>
                </w:p>
              </w:tc>
              <w:tc>
                <w:tcPr>
                  <w:tcW w:w="1134" w:type="dxa"/>
                  <w:vAlign w:val="center"/>
                </w:tcPr>
                <w:p>
                  <w:pPr>
                    <w:jc w:val="center"/>
                    <w:rPr>
                      <w:bCs/>
                      <w:szCs w:val="21"/>
                    </w:rPr>
                  </w:pPr>
                  <w:r>
                    <w:rPr>
                      <w:bCs/>
                      <w:szCs w:val="21"/>
                    </w:rPr>
                    <w:t>12</w:t>
                  </w:r>
                </w:p>
              </w:tc>
              <w:tc>
                <w:tcPr>
                  <w:tcW w:w="1706" w:type="dxa"/>
                  <w:vAlign w:val="center"/>
                </w:tcPr>
                <w:p>
                  <w:pPr>
                    <w:jc w:val="center"/>
                    <w:rPr>
                      <w:bCs/>
                      <w:szCs w:val="21"/>
                    </w:rPr>
                  </w:pPr>
                  <w:r>
                    <w:rPr>
                      <w:rFonts w:hint="eastAsia"/>
                      <w:bCs/>
                      <w:szCs w:val="21"/>
                    </w:rPr>
                    <w:t>废水罐、应急池</w:t>
                  </w:r>
                </w:p>
              </w:tc>
              <w:tc>
                <w:tcPr>
                  <w:tcW w:w="2960" w:type="dxa"/>
                  <w:vMerge w:val="continue"/>
                  <w:vAlign w:val="center"/>
                </w:tcPr>
                <w:p>
                  <w:pPr>
                    <w:jc w:val="center"/>
                    <w:rPr>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trPr>
              <w:tc>
                <w:tcPr>
                  <w:tcW w:w="1086" w:type="dxa"/>
                  <w:vAlign w:val="center"/>
                </w:tcPr>
                <w:p>
                  <w:pPr>
                    <w:jc w:val="center"/>
                    <w:rPr>
                      <w:bCs/>
                      <w:szCs w:val="21"/>
                    </w:rPr>
                  </w:pPr>
                  <w:r>
                    <w:rPr>
                      <w:bCs/>
                      <w:szCs w:val="21"/>
                    </w:rPr>
                    <w:t>压裂废水</w:t>
                  </w:r>
                </w:p>
              </w:tc>
              <w:tc>
                <w:tcPr>
                  <w:tcW w:w="1339" w:type="dxa"/>
                  <w:vAlign w:val="center"/>
                </w:tcPr>
                <w:p>
                  <w:pPr>
                    <w:jc w:val="center"/>
                    <w:rPr>
                      <w:bCs/>
                      <w:szCs w:val="21"/>
                    </w:rPr>
                  </w:pPr>
                  <w:r>
                    <w:rPr>
                      <w:bCs/>
                      <w:szCs w:val="21"/>
                    </w:rPr>
                    <w:t>pH、COD、SS、石油类等</w:t>
                  </w:r>
                </w:p>
              </w:tc>
              <w:tc>
                <w:tcPr>
                  <w:tcW w:w="1134" w:type="dxa"/>
                  <w:vAlign w:val="center"/>
                </w:tcPr>
                <w:p>
                  <w:pPr>
                    <w:jc w:val="center"/>
                    <w:rPr>
                      <w:bCs/>
                      <w:szCs w:val="21"/>
                    </w:rPr>
                  </w:pPr>
                  <w:r>
                    <w:rPr>
                      <w:bCs/>
                      <w:szCs w:val="21"/>
                    </w:rPr>
                    <w:t>82.3</w:t>
                  </w:r>
                </w:p>
              </w:tc>
              <w:tc>
                <w:tcPr>
                  <w:tcW w:w="1706" w:type="dxa"/>
                  <w:vAlign w:val="center"/>
                </w:tcPr>
                <w:p>
                  <w:pPr>
                    <w:jc w:val="center"/>
                    <w:rPr>
                      <w:bCs/>
                      <w:szCs w:val="21"/>
                    </w:rPr>
                  </w:pPr>
                  <w:r>
                    <w:rPr>
                      <w:rFonts w:hint="eastAsia"/>
                      <w:bCs/>
                      <w:szCs w:val="21"/>
                    </w:rPr>
                    <w:t>废水罐、应急池</w:t>
                  </w:r>
                </w:p>
              </w:tc>
              <w:tc>
                <w:tcPr>
                  <w:tcW w:w="2960" w:type="dxa"/>
                  <w:vAlign w:val="center"/>
                </w:tcPr>
                <w:p>
                  <w:pPr>
                    <w:jc w:val="center"/>
                    <w:rPr>
                      <w:bCs/>
                      <w:szCs w:val="21"/>
                    </w:rPr>
                  </w:pPr>
                  <w:r>
                    <w:rPr>
                      <w:bCs/>
                      <w:szCs w:val="21"/>
                    </w:rPr>
                    <w:t>加碱中和处理后用罐车运至泸州经济技术开发区四川瑞利生物科技有限公司污水处理厂处理</w:t>
                  </w:r>
                </w:p>
              </w:tc>
            </w:tr>
          </w:tbl>
          <w:p>
            <w:pPr>
              <w:spacing w:line="360" w:lineRule="auto"/>
              <w:ind w:firstLine="420" w:firstLineChars="200"/>
              <w:rPr>
                <w:bCs/>
                <w:szCs w:val="21"/>
              </w:rPr>
            </w:pPr>
          </w:p>
          <w:p>
            <w:pPr>
              <w:spacing w:line="360" w:lineRule="auto"/>
              <w:ind w:firstLine="420" w:firstLineChars="200"/>
              <w:rPr>
                <w:bCs/>
                <w:szCs w:val="21"/>
              </w:rPr>
            </w:pPr>
            <w:r>
              <w:rPr>
                <w:bCs/>
                <w:szCs w:val="21"/>
              </w:rPr>
              <w:t>本工程应急池500m</w:t>
            </w:r>
            <w:r>
              <w:rPr>
                <w:bCs/>
                <w:szCs w:val="21"/>
                <w:vertAlign w:val="superscript"/>
              </w:rPr>
              <w:t>3</w:t>
            </w:r>
            <w:r>
              <w:rPr>
                <w:bCs/>
                <w:szCs w:val="21"/>
              </w:rPr>
              <w:t>，</w:t>
            </w:r>
            <w:r>
              <w:rPr>
                <w:rFonts w:hint="eastAsia"/>
                <w:bCs/>
                <w:szCs w:val="21"/>
              </w:rPr>
              <w:t>本项目钻井过程中废水总量小于</w:t>
            </w:r>
            <w:r>
              <w:rPr>
                <w:bCs/>
                <w:szCs w:val="21"/>
              </w:rPr>
              <w:t>500m</w:t>
            </w:r>
            <w:r>
              <w:rPr>
                <w:bCs/>
                <w:szCs w:val="21"/>
                <w:vertAlign w:val="superscript"/>
              </w:rPr>
              <w:t>3</w:t>
            </w:r>
            <w:r>
              <w:rPr>
                <w:rFonts w:hint="eastAsia"/>
                <w:bCs/>
                <w:szCs w:val="21"/>
              </w:rPr>
              <w:t>，满足废水暂存需求。</w:t>
            </w:r>
            <w:r>
              <w:rPr>
                <w:bCs/>
                <w:szCs w:val="21"/>
              </w:rPr>
              <w:t>若四川瑞利生物科技有限公司污水处理厂处理不能接受本工程废水时，应急池</w:t>
            </w:r>
            <w:r>
              <w:rPr>
                <w:rFonts w:hint="eastAsia"/>
                <w:bCs/>
                <w:szCs w:val="21"/>
              </w:rPr>
              <w:t>及废水罐</w:t>
            </w:r>
            <w:r>
              <w:rPr>
                <w:bCs/>
                <w:szCs w:val="21"/>
              </w:rPr>
              <w:t>可满足本工程临时储存废水的需求。并及时寻找有能力处置钻井废水处理单位，妥善处置钻井废水。</w:t>
            </w:r>
          </w:p>
          <w:p>
            <w:pPr>
              <w:spacing w:line="360" w:lineRule="auto"/>
              <w:ind w:firstLine="420" w:firstLineChars="200"/>
              <w:rPr>
                <w:bCs/>
                <w:szCs w:val="21"/>
              </w:rPr>
            </w:pPr>
            <w:r>
              <w:rPr>
                <w:bCs/>
                <w:szCs w:val="21"/>
              </w:rPr>
              <w:fldChar w:fldCharType="begin"/>
            </w:r>
            <w:r>
              <w:rPr>
                <w:bCs/>
                <w:szCs w:val="21"/>
              </w:rPr>
              <w:instrText xml:space="preserve"> </w:instrText>
            </w:r>
            <w:r>
              <w:rPr>
                <w:rFonts w:hint="eastAsia"/>
                <w:bCs/>
                <w:szCs w:val="21"/>
              </w:rPr>
              <w:instrText xml:space="preserve">= 7 \* GB3</w:instrText>
            </w:r>
            <w:r>
              <w:rPr>
                <w:bCs/>
                <w:szCs w:val="21"/>
              </w:rPr>
              <w:instrText xml:space="preserve"> </w:instrText>
            </w:r>
            <w:r>
              <w:rPr>
                <w:bCs/>
                <w:szCs w:val="21"/>
              </w:rPr>
              <w:fldChar w:fldCharType="separate"/>
            </w:r>
            <w:r>
              <w:rPr>
                <w:rFonts w:hint="eastAsia"/>
                <w:bCs/>
                <w:szCs w:val="21"/>
              </w:rPr>
              <w:t>⑦</w:t>
            </w:r>
            <w:r>
              <w:rPr>
                <w:bCs/>
                <w:szCs w:val="21"/>
              </w:rPr>
              <w:fldChar w:fldCharType="end"/>
            </w:r>
            <w:r>
              <w:rPr>
                <w:bCs/>
                <w:szCs w:val="21"/>
              </w:rPr>
              <w:t>运输废水、油类运输管理要求</w:t>
            </w:r>
          </w:p>
          <w:p>
            <w:pPr>
              <w:spacing w:line="360" w:lineRule="auto"/>
              <w:ind w:firstLine="420" w:firstLineChars="200"/>
              <w:rPr>
                <w:bCs/>
                <w:szCs w:val="21"/>
              </w:rPr>
            </w:pPr>
            <w:r>
              <w:rPr>
                <w:rFonts w:hint="eastAsia"/>
                <w:bCs/>
                <w:szCs w:val="21"/>
              </w:rPr>
              <w:t>根据大庆油田有限责任公司安排，项目</w:t>
            </w:r>
            <w:r>
              <w:rPr>
                <w:bCs/>
                <w:szCs w:val="21"/>
              </w:rPr>
              <w:t>废水</w:t>
            </w:r>
            <w:r>
              <w:rPr>
                <w:rFonts w:hint="eastAsia"/>
                <w:bCs/>
                <w:szCs w:val="21"/>
              </w:rPr>
              <w:t>由中国石油集团川庆钻探工程有限公司重庆运输总公司</w:t>
            </w:r>
            <w:r>
              <w:rPr>
                <w:bCs/>
                <w:szCs w:val="21"/>
              </w:rPr>
              <w:t>通过罐车转运至泸州经济开发区四川瑞利生物科技有限公司污水处理厂，运前检查罐车安全排查隐患，检查罐车储水罐是否漏水，采用专门的罐车密闭运输。</w:t>
            </w:r>
          </w:p>
          <w:p>
            <w:pPr>
              <w:spacing w:line="360" w:lineRule="auto"/>
              <w:ind w:firstLine="420" w:firstLineChars="200"/>
              <w:rPr>
                <w:bCs/>
                <w:szCs w:val="21"/>
              </w:rPr>
            </w:pPr>
            <w:r>
              <w:rPr>
                <w:bCs/>
                <w:szCs w:val="21"/>
              </w:rPr>
              <w:t>工程废水的转运路线较长，沿途经过的地区多，存在发生事故所引发的</w:t>
            </w:r>
            <w:r>
              <w:rPr>
                <w:rFonts w:hint="eastAsia"/>
                <w:bCs/>
                <w:color w:val="auto"/>
                <w:szCs w:val="21"/>
              </w:rPr>
              <w:t>次生</w:t>
            </w:r>
            <w:r>
              <w:rPr>
                <w:bCs/>
                <w:color w:val="auto"/>
                <w:szCs w:val="21"/>
              </w:rPr>
              <w:t>环境</w:t>
            </w:r>
            <w:r>
              <w:rPr>
                <w:bCs/>
                <w:szCs w:val="21"/>
              </w:rPr>
              <w:t>污染。一旦发生交通事故或其他原因导致废水外溢，一方面可能会将造成土壤和地下水体污染，另一方面，若事故发生在跨河桥梁段，泄漏的废水会直接污染地表水体。</w:t>
            </w:r>
          </w:p>
          <w:p>
            <w:pPr>
              <w:spacing w:line="360" w:lineRule="auto"/>
              <w:ind w:firstLine="420" w:firstLineChars="200"/>
              <w:rPr>
                <w:bCs/>
                <w:szCs w:val="21"/>
              </w:rPr>
            </w:pPr>
            <w:r>
              <w:rPr>
                <w:bCs/>
                <w:szCs w:val="21"/>
              </w:rPr>
              <w:t>运输废水、油类要用密闭罐车进行运输，为降低运输过程中的风险，本着切实保护环境的原则，在运输过程中应采取如下措施：</w:t>
            </w:r>
          </w:p>
          <w:p>
            <w:pPr>
              <w:spacing w:line="360" w:lineRule="auto"/>
              <w:ind w:firstLine="420" w:firstLineChars="200"/>
              <w:rPr>
                <w:bCs/>
                <w:szCs w:val="21"/>
              </w:rPr>
            </w:pPr>
            <w:r>
              <w:rPr>
                <w:bCs/>
                <w:szCs w:val="21"/>
              </w:rPr>
              <w:fldChar w:fldCharType="begin"/>
            </w:r>
            <w:r>
              <w:rPr>
                <w:bCs/>
                <w:szCs w:val="21"/>
              </w:rPr>
              <w:instrText xml:space="preserve"> = 1 \* ROMAN </w:instrText>
            </w:r>
            <w:r>
              <w:rPr>
                <w:bCs/>
                <w:szCs w:val="21"/>
              </w:rPr>
              <w:fldChar w:fldCharType="separate"/>
            </w:r>
            <w:r>
              <w:rPr>
                <w:bCs/>
                <w:szCs w:val="21"/>
              </w:rPr>
              <w:t>I</w:t>
            </w:r>
            <w:r>
              <w:rPr>
                <w:bCs/>
                <w:szCs w:val="21"/>
              </w:rPr>
              <w:fldChar w:fldCharType="end"/>
            </w:r>
            <w:r>
              <w:rPr>
                <w:bCs/>
                <w:szCs w:val="21"/>
              </w:rPr>
              <w:t>、</w:t>
            </w:r>
            <w:r>
              <w:rPr>
                <w:rFonts w:hint="eastAsia"/>
                <w:bCs/>
                <w:szCs w:val="21"/>
              </w:rPr>
              <w:t>废水转运单位在开展运输工作前，应对运输人员进行相关安全环保知识培训，运输车辆、装卸工具必须符合安全环保要求，装卸过程中不得溢出和泄漏。严禁随意倾倒、排放或者向第三方转移废水。</w:t>
            </w:r>
          </w:p>
          <w:p>
            <w:pPr>
              <w:spacing w:line="360" w:lineRule="auto"/>
              <w:ind w:firstLine="420" w:firstLineChars="200"/>
              <w:rPr>
                <w:bCs/>
                <w:szCs w:val="21"/>
              </w:rPr>
            </w:pPr>
            <w:r>
              <w:rPr>
                <w:bCs/>
                <w:szCs w:val="21"/>
              </w:rPr>
              <w:fldChar w:fldCharType="begin"/>
            </w:r>
            <w:r>
              <w:rPr>
                <w:bCs/>
                <w:szCs w:val="21"/>
              </w:rPr>
              <w:instrText xml:space="preserve"> = 2 \* ROMAN </w:instrText>
            </w:r>
            <w:r>
              <w:rPr>
                <w:bCs/>
                <w:szCs w:val="21"/>
              </w:rPr>
              <w:fldChar w:fldCharType="separate"/>
            </w:r>
            <w:r>
              <w:rPr>
                <w:bCs/>
                <w:szCs w:val="21"/>
              </w:rPr>
              <w:t>II</w:t>
            </w:r>
            <w:r>
              <w:rPr>
                <w:bCs/>
                <w:szCs w:val="21"/>
              </w:rPr>
              <w:fldChar w:fldCharType="end"/>
            </w:r>
            <w:r>
              <w:rPr>
                <w:bCs/>
                <w:szCs w:val="21"/>
              </w:rPr>
              <w:t>、</w:t>
            </w:r>
            <w:r>
              <w:rPr>
                <w:rFonts w:hint="eastAsia"/>
                <w:bCs/>
                <w:szCs w:val="21"/>
              </w:rPr>
              <w:t>运输前规划运输路线，废水转运过程中应严格按照规定的路线运输到相应的目的地；运输过程中应尽量避开环境敏感区（重点是饮用水源保护区），遇环境敏感区需减速慢行确保安全通过，同时要注意清洁运输，防止废水泄漏。</w:t>
            </w:r>
          </w:p>
          <w:p>
            <w:pPr>
              <w:spacing w:line="360" w:lineRule="auto"/>
              <w:ind w:firstLine="420" w:firstLineChars="200"/>
              <w:rPr>
                <w:bCs/>
                <w:szCs w:val="21"/>
              </w:rPr>
            </w:pPr>
            <w:r>
              <w:rPr>
                <w:bCs/>
                <w:szCs w:val="21"/>
              </w:rPr>
              <w:fldChar w:fldCharType="begin"/>
            </w:r>
            <w:r>
              <w:rPr>
                <w:bCs/>
                <w:szCs w:val="21"/>
              </w:rPr>
              <w:instrText xml:space="preserve"> </w:instrText>
            </w:r>
            <w:r>
              <w:rPr>
                <w:rFonts w:hint="eastAsia"/>
                <w:bCs/>
                <w:szCs w:val="21"/>
              </w:rPr>
              <w:instrText xml:space="preserve">= 3 \* ROMAN</w:instrText>
            </w:r>
            <w:r>
              <w:rPr>
                <w:bCs/>
                <w:szCs w:val="21"/>
              </w:rPr>
              <w:instrText xml:space="preserve"> </w:instrText>
            </w:r>
            <w:r>
              <w:rPr>
                <w:bCs/>
                <w:szCs w:val="21"/>
              </w:rPr>
              <w:fldChar w:fldCharType="separate"/>
            </w:r>
            <w:r>
              <w:rPr>
                <w:bCs/>
                <w:szCs w:val="21"/>
              </w:rPr>
              <w:t>III</w:t>
            </w:r>
            <w:r>
              <w:rPr>
                <w:bCs/>
                <w:szCs w:val="21"/>
              </w:rPr>
              <w:fldChar w:fldCharType="end"/>
            </w:r>
            <w:r>
              <w:rPr>
                <w:bCs/>
                <w:szCs w:val="21"/>
              </w:rPr>
              <w:t>、建立建设单位与当地政府、生态</w:t>
            </w:r>
            <w:r>
              <w:rPr>
                <w:rFonts w:hint="eastAsia"/>
                <w:bCs/>
                <w:szCs w:val="21"/>
              </w:rPr>
              <w:t>环境</w:t>
            </w:r>
            <w:r>
              <w:rPr>
                <w:bCs/>
                <w:szCs w:val="21"/>
              </w:rPr>
              <w:t>局等相关部门的联络机制，若有险情发生，应及时与作业区值班人员取得联系，若确认发生废水外溢事故，应及时上报当地政府、环境生态局等相关部门。</w:t>
            </w:r>
          </w:p>
          <w:p>
            <w:pPr>
              <w:spacing w:line="360" w:lineRule="auto"/>
              <w:ind w:firstLine="420" w:firstLineChars="200"/>
              <w:rPr>
                <w:bCs/>
                <w:szCs w:val="21"/>
              </w:rPr>
            </w:pPr>
            <w:r>
              <w:rPr>
                <w:bCs/>
                <w:szCs w:val="21"/>
              </w:rPr>
              <w:fldChar w:fldCharType="begin"/>
            </w:r>
            <w:r>
              <w:rPr>
                <w:bCs/>
                <w:szCs w:val="21"/>
              </w:rPr>
              <w:instrText xml:space="preserve"> </w:instrText>
            </w:r>
            <w:r>
              <w:rPr>
                <w:rFonts w:hint="eastAsia"/>
                <w:bCs/>
                <w:szCs w:val="21"/>
              </w:rPr>
              <w:instrText xml:space="preserve">= 4 \* ROMAN</w:instrText>
            </w:r>
            <w:r>
              <w:rPr>
                <w:bCs/>
                <w:szCs w:val="21"/>
              </w:rPr>
              <w:instrText xml:space="preserve"> </w:instrText>
            </w:r>
            <w:r>
              <w:rPr>
                <w:bCs/>
                <w:szCs w:val="21"/>
              </w:rPr>
              <w:fldChar w:fldCharType="separate"/>
            </w:r>
            <w:r>
              <w:rPr>
                <w:bCs/>
                <w:szCs w:val="21"/>
              </w:rPr>
              <w:t>IV</w:t>
            </w:r>
            <w:r>
              <w:rPr>
                <w:bCs/>
                <w:szCs w:val="21"/>
              </w:rPr>
              <w:fldChar w:fldCharType="end"/>
            </w:r>
            <w:r>
              <w:rPr>
                <w:bCs/>
                <w:szCs w:val="21"/>
              </w:rPr>
              <w:t>、对承包废水转运的承包商实施车辆登记制度，为每台车安装GPS，并纳入建设方的GPS监控系统平台。</w:t>
            </w:r>
          </w:p>
          <w:p>
            <w:pPr>
              <w:spacing w:line="360" w:lineRule="auto"/>
              <w:ind w:firstLine="420" w:firstLineChars="200"/>
              <w:rPr>
                <w:bCs/>
                <w:szCs w:val="21"/>
              </w:rPr>
            </w:pPr>
            <w:r>
              <w:rPr>
                <w:bCs/>
                <w:szCs w:val="21"/>
              </w:rPr>
              <w:fldChar w:fldCharType="begin"/>
            </w:r>
            <w:r>
              <w:rPr>
                <w:bCs/>
                <w:szCs w:val="21"/>
              </w:rPr>
              <w:instrText xml:space="preserve"> </w:instrText>
            </w:r>
            <w:r>
              <w:rPr>
                <w:rFonts w:hint="eastAsia"/>
                <w:bCs/>
                <w:szCs w:val="21"/>
              </w:rPr>
              <w:instrText xml:space="preserve">= 5 \* ROMAN</w:instrText>
            </w:r>
            <w:r>
              <w:rPr>
                <w:bCs/>
                <w:szCs w:val="21"/>
              </w:rPr>
              <w:instrText xml:space="preserve"> </w:instrText>
            </w:r>
            <w:r>
              <w:rPr>
                <w:bCs/>
                <w:szCs w:val="21"/>
              </w:rPr>
              <w:fldChar w:fldCharType="separate"/>
            </w:r>
            <w:r>
              <w:rPr>
                <w:bCs/>
                <w:szCs w:val="21"/>
              </w:rPr>
              <w:t>V</w:t>
            </w:r>
            <w:r>
              <w:rPr>
                <w:bCs/>
                <w:szCs w:val="21"/>
              </w:rPr>
              <w:fldChar w:fldCharType="end"/>
            </w:r>
            <w:r>
              <w:rPr>
                <w:bCs/>
                <w:szCs w:val="21"/>
              </w:rPr>
              <w:t>、转运过程做好转运台账，严格实施交接清单制度。</w:t>
            </w:r>
          </w:p>
          <w:p>
            <w:pPr>
              <w:spacing w:line="360" w:lineRule="auto"/>
              <w:ind w:firstLine="420" w:firstLineChars="200"/>
              <w:rPr>
                <w:bCs/>
                <w:szCs w:val="21"/>
              </w:rPr>
            </w:pPr>
            <w:r>
              <w:rPr>
                <w:bCs/>
                <w:szCs w:val="21"/>
              </w:rPr>
              <w:fldChar w:fldCharType="begin"/>
            </w:r>
            <w:r>
              <w:rPr>
                <w:bCs/>
                <w:szCs w:val="21"/>
              </w:rPr>
              <w:instrText xml:space="preserve"> </w:instrText>
            </w:r>
            <w:r>
              <w:rPr>
                <w:rFonts w:hint="eastAsia"/>
                <w:bCs/>
                <w:szCs w:val="21"/>
              </w:rPr>
              <w:instrText xml:space="preserve">= 6 \* ROMAN</w:instrText>
            </w:r>
            <w:r>
              <w:rPr>
                <w:bCs/>
                <w:szCs w:val="21"/>
              </w:rPr>
              <w:instrText xml:space="preserve"> </w:instrText>
            </w:r>
            <w:r>
              <w:rPr>
                <w:bCs/>
                <w:szCs w:val="21"/>
              </w:rPr>
              <w:fldChar w:fldCharType="separate"/>
            </w:r>
            <w:r>
              <w:rPr>
                <w:bCs/>
                <w:szCs w:val="21"/>
              </w:rPr>
              <w:t>VI</w:t>
            </w:r>
            <w:r>
              <w:rPr>
                <w:bCs/>
                <w:szCs w:val="21"/>
              </w:rPr>
              <w:fldChar w:fldCharType="end"/>
            </w:r>
            <w:r>
              <w:rPr>
                <w:bCs/>
                <w:szCs w:val="21"/>
              </w:rPr>
              <w:t>、加强罐车装载量管理，严禁超载。</w:t>
            </w:r>
          </w:p>
          <w:p>
            <w:pPr>
              <w:spacing w:line="360" w:lineRule="auto"/>
              <w:ind w:firstLine="420" w:firstLineChars="200"/>
              <w:rPr>
                <w:bCs/>
                <w:szCs w:val="21"/>
              </w:rPr>
            </w:pPr>
            <w:r>
              <w:rPr>
                <w:bCs/>
                <w:szCs w:val="21"/>
              </w:rPr>
              <w:fldChar w:fldCharType="begin"/>
            </w:r>
            <w:r>
              <w:rPr>
                <w:bCs/>
                <w:szCs w:val="21"/>
              </w:rPr>
              <w:instrText xml:space="preserve"> </w:instrText>
            </w:r>
            <w:r>
              <w:rPr>
                <w:rFonts w:hint="eastAsia"/>
                <w:bCs/>
                <w:szCs w:val="21"/>
              </w:rPr>
              <w:instrText xml:space="preserve">= 7 \* ROMAN</w:instrText>
            </w:r>
            <w:r>
              <w:rPr>
                <w:bCs/>
                <w:szCs w:val="21"/>
              </w:rPr>
              <w:instrText xml:space="preserve"> </w:instrText>
            </w:r>
            <w:r>
              <w:rPr>
                <w:bCs/>
                <w:szCs w:val="21"/>
              </w:rPr>
              <w:fldChar w:fldCharType="separate"/>
            </w:r>
            <w:r>
              <w:rPr>
                <w:bCs/>
                <w:szCs w:val="21"/>
              </w:rPr>
              <w:t>VII</w:t>
            </w:r>
            <w:r>
              <w:rPr>
                <w:bCs/>
                <w:szCs w:val="21"/>
              </w:rPr>
              <w:fldChar w:fldCharType="end"/>
            </w:r>
            <w:r>
              <w:rPr>
                <w:bCs/>
                <w:szCs w:val="21"/>
              </w:rPr>
              <w:t>、加强对废水罐车司机的安全教育，定期对罐车进行安全检查，严格遵守交通规则，避免交通事故发生。加强对除驾驶员外的其他拉运工作人员管理，要求运输人员技术过硬、经验丰富、工作认真负责。加强对废水罐车的管理，防止人为原因造成的废水外溢。</w:t>
            </w:r>
          </w:p>
          <w:p>
            <w:pPr>
              <w:spacing w:line="360" w:lineRule="auto"/>
              <w:ind w:firstLine="420" w:firstLineChars="200"/>
              <w:rPr>
                <w:bCs/>
                <w:szCs w:val="21"/>
              </w:rPr>
            </w:pPr>
            <w:r>
              <w:rPr>
                <w:bCs/>
                <w:szCs w:val="21"/>
              </w:rPr>
              <w:fldChar w:fldCharType="begin"/>
            </w:r>
            <w:r>
              <w:rPr>
                <w:bCs/>
                <w:szCs w:val="21"/>
              </w:rPr>
              <w:instrText xml:space="preserve"> </w:instrText>
            </w:r>
            <w:r>
              <w:rPr>
                <w:rFonts w:hint="eastAsia"/>
                <w:bCs/>
                <w:szCs w:val="21"/>
              </w:rPr>
              <w:instrText xml:space="preserve">= 8 \* ROMAN</w:instrText>
            </w:r>
            <w:r>
              <w:rPr>
                <w:bCs/>
                <w:szCs w:val="21"/>
              </w:rPr>
              <w:instrText xml:space="preserve"> </w:instrText>
            </w:r>
            <w:r>
              <w:rPr>
                <w:bCs/>
                <w:szCs w:val="21"/>
              </w:rPr>
              <w:fldChar w:fldCharType="separate"/>
            </w:r>
            <w:r>
              <w:rPr>
                <w:bCs/>
                <w:szCs w:val="21"/>
              </w:rPr>
              <w:t>VIII</w:t>
            </w:r>
            <w:r>
              <w:rPr>
                <w:bCs/>
                <w:szCs w:val="21"/>
              </w:rPr>
              <w:fldChar w:fldCharType="end"/>
            </w:r>
            <w:r>
              <w:rPr>
                <w:bCs/>
                <w:szCs w:val="21"/>
              </w:rPr>
              <w:t>、转运罐车行驶至河流（含河沟、塘堰等）较近位置或者穿越河流（含河沟等）的道路时，应放慢行驶速度。废水转运尽量避开暴雨时节。</w:t>
            </w:r>
          </w:p>
          <w:p>
            <w:pPr>
              <w:spacing w:line="360" w:lineRule="auto"/>
              <w:ind w:firstLine="420" w:firstLineChars="200"/>
              <w:rPr>
                <w:bCs/>
                <w:szCs w:val="21"/>
              </w:rPr>
            </w:pPr>
            <w:r>
              <w:rPr>
                <w:bCs/>
                <w:szCs w:val="21"/>
              </w:rPr>
              <w:fldChar w:fldCharType="begin"/>
            </w:r>
            <w:r>
              <w:rPr>
                <w:bCs/>
                <w:szCs w:val="21"/>
              </w:rPr>
              <w:instrText xml:space="preserve"> </w:instrText>
            </w:r>
            <w:r>
              <w:rPr>
                <w:rFonts w:hint="eastAsia"/>
                <w:bCs/>
                <w:szCs w:val="21"/>
              </w:rPr>
              <w:instrText xml:space="preserve">= 9 \* ROMAN</w:instrText>
            </w:r>
            <w:r>
              <w:rPr>
                <w:bCs/>
                <w:szCs w:val="21"/>
              </w:rPr>
              <w:instrText xml:space="preserve"> </w:instrText>
            </w:r>
            <w:r>
              <w:rPr>
                <w:bCs/>
                <w:szCs w:val="21"/>
              </w:rPr>
              <w:fldChar w:fldCharType="separate"/>
            </w:r>
            <w:r>
              <w:rPr>
                <w:bCs/>
                <w:szCs w:val="21"/>
              </w:rPr>
              <w:t>IX</w:t>
            </w:r>
            <w:r>
              <w:rPr>
                <w:bCs/>
                <w:szCs w:val="21"/>
              </w:rPr>
              <w:fldChar w:fldCharType="end"/>
            </w:r>
            <w:r>
              <w:rPr>
                <w:rFonts w:hint="eastAsia"/>
                <w:bCs/>
                <w:szCs w:val="21"/>
              </w:rPr>
              <w:t>、</w:t>
            </w:r>
            <w:r>
              <w:rPr>
                <w:bCs/>
                <w:szCs w:val="21"/>
              </w:rPr>
              <w:t>建立废水转运五联单制度。</w:t>
            </w:r>
          </w:p>
          <w:p>
            <w:pPr>
              <w:spacing w:line="360" w:lineRule="auto"/>
              <w:ind w:firstLine="420" w:firstLineChars="200"/>
              <w:rPr>
                <w:bCs/>
                <w:szCs w:val="21"/>
              </w:rPr>
            </w:pPr>
            <w:r>
              <w:rPr>
                <w:bCs/>
                <w:szCs w:val="21"/>
              </w:rPr>
              <w:fldChar w:fldCharType="begin"/>
            </w:r>
            <w:r>
              <w:rPr>
                <w:bCs/>
                <w:szCs w:val="21"/>
              </w:rPr>
              <w:instrText xml:space="preserve"> </w:instrText>
            </w:r>
            <w:r>
              <w:rPr>
                <w:rFonts w:hint="eastAsia"/>
                <w:bCs/>
                <w:szCs w:val="21"/>
              </w:rPr>
              <w:instrText xml:space="preserve">= 8 \* GB3</w:instrText>
            </w:r>
            <w:r>
              <w:rPr>
                <w:bCs/>
                <w:szCs w:val="21"/>
              </w:rPr>
              <w:instrText xml:space="preserve"> </w:instrText>
            </w:r>
            <w:r>
              <w:rPr>
                <w:bCs/>
                <w:szCs w:val="21"/>
              </w:rPr>
              <w:fldChar w:fldCharType="separate"/>
            </w:r>
            <w:r>
              <w:rPr>
                <w:rFonts w:hint="eastAsia"/>
                <w:bCs/>
                <w:szCs w:val="21"/>
              </w:rPr>
              <w:t>⑧</w:t>
            </w:r>
            <w:r>
              <w:rPr>
                <w:bCs/>
                <w:szCs w:val="21"/>
              </w:rPr>
              <w:fldChar w:fldCharType="end"/>
            </w:r>
            <w:r>
              <w:rPr>
                <w:bCs/>
                <w:szCs w:val="21"/>
              </w:rPr>
              <w:t>生活污水处置措施</w:t>
            </w:r>
          </w:p>
          <w:p>
            <w:pPr>
              <w:spacing w:line="360" w:lineRule="auto"/>
              <w:ind w:firstLine="420" w:firstLineChars="200"/>
              <w:rPr>
                <w:bCs/>
                <w:szCs w:val="21"/>
              </w:rPr>
            </w:pPr>
            <w:r>
              <w:rPr>
                <w:bCs/>
                <w:szCs w:val="21"/>
              </w:rPr>
              <w:t>生活污水主要产生在办公区、临时宿舍区，钻井队施工期间，钻井队</w:t>
            </w:r>
            <w:r>
              <w:rPr>
                <w:rFonts w:hint="eastAsia"/>
                <w:bCs/>
                <w:szCs w:val="21"/>
              </w:rPr>
              <w:t>生活</w:t>
            </w:r>
            <w:r>
              <w:rPr>
                <w:bCs/>
                <w:szCs w:val="21"/>
              </w:rPr>
              <w:t>污水经旱厕收集后由吸污车拉运至北山镇污水处理厂处理后排放。</w:t>
            </w:r>
          </w:p>
          <w:p>
            <w:pPr>
              <w:spacing w:line="360" w:lineRule="auto"/>
              <w:ind w:firstLine="420" w:firstLineChars="200"/>
              <w:rPr>
                <w:bCs/>
                <w:szCs w:val="21"/>
              </w:rPr>
            </w:pPr>
            <w:r>
              <w:rPr>
                <w:rFonts w:hint="eastAsia"/>
                <w:bCs/>
                <w:szCs w:val="21"/>
              </w:rPr>
              <w:t>北山镇污水处理厂位于达州市通川区北山镇，根据达州市通川生态环境局2</w:t>
            </w:r>
            <w:r>
              <w:rPr>
                <w:bCs/>
                <w:szCs w:val="21"/>
              </w:rPr>
              <w:t>021</w:t>
            </w:r>
            <w:r>
              <w:rPr>
                <w:rFonts w:hint="eastAsia"/>
                <w:bCs/>
                <w:szCs w:val="21"/>
              </w:rPr>
              <w:t>年</w:t>
            </w:r>
            <w:r>
              <w:rPr>
                <w:bCs/>
                <w:szCs w:val="21"/>
              </w:rPr>
              <w:t>9</w:t>
            </w:r>
            <w:r>
              <w:rPr>
                <w:rFonts w:hint="eastAsia"/>
                <w:bCs/>
                <w:szCs w:val="21"/>
              </w:rPr>
              <w:t>月1</w:t>
            </w:r>
            <w:r>
              <w:rPr>
                <w:bCs/>
                <w:szCs w:val="21"/>
              </w:rPr>
              <w:t>3</w:t>
            </w:r>
            <w:r>
              <w:rPr>
                <w:rFonts w:hint="eastAsia"/>
                <w:bCs/>
                <w:szCs w:val="21"/>
              </w:rPr>
              <w:t>日对《通川区17个乡镇污水处理改造工程（北山镇污水处理站）环境影响报告表》下达了批复，目前该污水处理厂已建设完毕，设计处理量为</w:t>
            </w:r>
            <w:r>
              <w:rPr>
                <w:bCs/>
                <w:szCs w:val="21"/>
              </w:rPr>
              <w:t>500</w:t>
            </w:r>
            <w:r>
              <w:rPr>
                <w:rFonts w:hint="eastAsia"/>
                <w:bCs/>
                <w:szCs w:val="21"/>
              </w:rPr>
              <w:t>m</w:t>
            </w:r>
            <w:r>
              <w:rPr>
                <w:bCs/>
                <w:szCs w:val="21"/>
                <w:vertAlign w:val="superscript"/>
              </w:rPr>
              <w:t>3</w:t>
            </w:r>
            <w:r>
              <w:rPr>
                <w:bCs/>
                <w:szCs w:val="21"/>
              </w:rPr>
              <w:t>/</w:t>
            </w:r>
            <w:r>
              <w:rPr>
                <w:rFonts w:hint="eastAsia"/>
                <w:bCs/>
                <w:szCs w:val="21"/>
              </w:rPr>
              <w:t>d，采用较为先进处理工艺，具有去除效率高，出水水质稳定，抗冲击负荷能力强等特点，处理后尾水达《城镇污水处理厂污染物排放标准》（</w:t>
            </w:r>
            <w:r>
              <w:rPr>
                <w:bCs/>
                <w:szCs w:val="21"/>
              </w:rPr>
              <w:t>GB 18918-2002</w:t>
            </w:r>
            <w:r>
              <w:rPr>
                <w:rFonts w:hint="eastAsia"/>
                <w:bCs/>
                <w:szCs w:val="21"/>
              </w:rPr>
              <w:t>）中一级A标准。根据调查，北山镇污水处理厂目前日处理量约为</w:t>
            </w:r>
            <w:r>
              <w:rPr>
                <w:bCs/>
                <w:szCs w:val="21"/>
              </w:rPr>
              <w:t>3000</w:t>
            </w:r>
            <w:r>
              <w:rPr>
                <w:rFonts w:hint="eastAsia"/>
                <w:bCs/>
                <w:szCs w:val="21"/>
              </w:rPr>
              <w:t>m</w:t>
            </w:r>
            <w:r>
              <w:rPr>
                <w:bCs/>
                <w:szCs w:val="21"/>
                <w:vertAlign w:val="superscript"/>
              </w:rPr>
              <w:t>3</w:t>
            </w:r>
            <w:r>
              <w:rPr>
                <w:bCs/>
                <w:szCs w:val="21"/>
              </w:rPr>
              <w:t>/</w:t>
            </w:r>
            <w:r>
              <w:rPr>
                <w:rFonts w:hint="eastAsia"/>
                <w:bCs/>
                <w:szCs w:val="21"/>
              </w:rPr>
              <w:t>d，本项目生活污水量为2</w:t>
            </w:r>
            <w:r>
              <w:rPr>
                <w:bCs/>
                <w:szCs w:val="21"/>
              </w:rPr>
              <w:t>.72</w:t>
            </w:r>
            <w:r>
              <w:rPr>
                <w:rFonts w:hint="eastAsia"/>
                <w:bCs/>
                <w:szCs w:val="21"/>
              </w:rPr>
              <w:t>m</w:t>
            </w:r>
            <w:r>
              <w:rPr>
                <w:bCs/>
                <w:szCs w:val="21"/>
                <w:vertAlign w:val="superscript"/>
              </w:rPr>
              <w:t>3</w:t>
            </w:r>
            <w:r>
              <w:rPr>
                <w:bCs/>
                <w:szCs w:val="21"/>
              </w:rPr>
              <w:t>/</w:t>
            </w:r>
            <w:r>
              <w:rPr>
                <w:rFonts w:hint="eastAsia"/>
                <w:bCs/>
                <w:szCs w:val="21"/>
              </w:rPr>
              <w:t>d，且废水水质较为简单，不会对北山镇污水处理厂造成水质冲击，因此本项目生活污水</w:t>
            </w:r>
            <w:r>
              <w:rPr>
                <w:bCs/>
                <w:szCs w:val="21"/>
              </w:rPr>
              <w:t>经旱厕收集后由吸污车拉运至北山镇污水处理厂</w:t>
            </w:r>
            <w:r>
              <w:rPr>
                <w:rFonts w:hint="eastAsia"/>
                <w:bCs/>
                <w:szCs w:val="21"/>
              </w:rPr>
              <w:t>可行。</w:t>
            </w:r>
          </w:p>
          <w:p>
            <w:pPr>
              <w:spacing w:line="360" w:lineRule="auto"/>
              <w:ind w:firstLine="420" w:firstLineChars="200"/>
              <w:rPr>
                <w:bCs/>
                <w:szCs w:val="21"/>
              </w:rPr>
            </w:pPr>
            <w:r>
              <w:rPr>
                <w:bCs/>
                <w:szCs w:val="21"/>
              </w:rPr>
              <w:t>综上所述，钻井期间产生的废水得到有效解决，废水不外排，对周边环境影响较小。</w:t>
            </w:r>
          </w:p>
          <w:p>
            <w:pPr>
              <w:spacing w:line="360" w:lineRule="auto"/>
              <w:rPr>
                <w:b/>
                <w:bCs/>
                <w:szCs w:val="21"/>
              </w:rPr>
            </w:pPr>
            <w:r>
              <w:rPr>
                <w:b/>
                <w:bCs/>
                <w:szCs w:val="21"/>
              </w:rPr>
              <w:t>5.3噪声控制措施及可行性分析</w:t>
            </w:r>
          </w:p>
          <w:p>
            <w:pPr>
              <w:spacing w:line="360" w:lineRule="auto"/>
              <w:ind w:firstLine="420" w:firstLineChars="200"/>
              <w:rPr>
                <w:bCs/>
                <w:szCs w:val="21"/>
              </w:rPr>
            </w:pPr>
            <w:r>
              <w:rPr>
                <w:rFonts w:hint="eastAsia"/>
                <w:bCs/>
                <w:szCs w:val="21"/>
              </w:rPr>
              <w:t>（1）钻前工程</w:t>
            </w:r>
          </w:p>
          <w:p>
            <w:pPr>
              <w:spacing w:line="360" w:lineRule="auto"/>
              <w:ind w:firstLine="420" w:firstLineChars="200"/>
              <w:rPr>
                <w:bCs/>
                <w:szCs w:val="21"/>
              </w:rPr>
            </w:pPr>
            <w:r>
              <w:rPr>
                <w:rFonts w:hint="eastAsia"/>
                <w:bCs/>
                <w:szCs w:val="21"/>
              </w:rPr>
              <w:t>运输设备等车辆沿固定路线</w:t>
            </w:r>
            <w:r>
              <w:rPr>
                <w:rFonts w:hint="eastAsia"/>
                <w:bCs/>
                <w:color w:val="auto"/>
                <w:szCs w:val="21"/>
              </w:rPr>
              <w:t>行驶</w:t>
            </w:r>
            <w:r>
              <w:rPr>
                <w:rFonts w:hint="eastAsia"/>
                <w:bCs/>
                <w:szCs w:val="21"/>
              </w:rPr>
              <w:t>，尽量减少鸣笛。钻前作业建设时合理安排施工时间，在靠近民居点施工时不得深夜施工。拟建项目周边农户较分散，施工噪声影响随施工的结束而消失，在当地环境可接受范围内。</w:t>
            </w:r>
          </w:p>
          <w:p>
            <w:pPr>
              <w:spacing w:line="360" w:lineRule="auto"/>
              <w:ind w:firstLine="420" w:firstLineChars="200"/>
              <w:rPr>
                <w:bCs/>
                <w:szCs w:val="21"/>
              </w:rPr>
            </w:pPr>
            <w:r>
              <w:rPr>
                <w:bCs/>
                <w:szCs w:val="21"/>
              </w:rPr>
              <w:t>（2</w:t>
            </w:r>
            <w:r>
              <w:rPr>
                <w:rFonts w:hint="eastAsia"/>
                <w:bCs/>
                <w:szCs w:val="21"/>
              </w:rPr>
              <w:t>）</w:t>
            </w:r>
            <w:r>
              <w:rPr>
                <w:bCs/>
                <w:szCs w:val="21"/>
              </w:rPr>
              <w:t>钻井工程</w:t>
            </w:r>
          </w:p>
          <w:p>
            <w:pPr>
              <w:spacing w:line="360" w:lineRule="auto"/>
              <w:ind w:firstLine="420" w:firstLineChars="200"/>
              <w:rPr>
                <w:bCs/>
                <w:szCs w:val="21"/>
              </w:rPr>
            </w:pPr>
            <w:r>
              <w:rPr>
                <w:bCs/>
                <w:szCs w:val="21"/>
              </w:rPr>
              <w:t>钻井工程噪声是在钻井作业期间和测试放喷期间产生的，虽然</w:t>
            </w:r>
            <w:r>
              <w:rPr>
                <w:rFonts w:hint="eastAsia"/>
                <w:bCs/>
                <w:szCs w:val="21"/>
              </w:rPr>
              <w:t>作业</w:t>
            </w:r>
            <w:r>
              <w:rPr>
                <w:bCs/>
                <w:szCs w:val="21"/>
              </w:rPr>
              <w:t>周期短，并且只在作业时产生，但对居民的影响是客观存在的，故本环评建议采取以下措施：</w:t>
            </w:r>
          </w:p>
          <w:p>
            <w:pPr>
              <w:spacing w:line="360" w:lineRule="auto"/>
              <w:ind w:firstLine="420" w:firstLineChars="200"/>
              <w:rPr>
                <w:bCs/>
                <w:szCs w:val="21"/>
              </w:rPr>
            </w:pPr>
            <w:r>
              <w:rPr>
                <w:bCs/>
                <w:szCs w:val="21"/>
              </w:rPr>
              <w:fldChar w:fldCharType="begin"/>
            </w:r>
            <w:r>
              <w:rPr>
                <w:bCs/>
                <w:szCs w:val="21"/>
              </w:rPr>
              <w:instrText xml:space="preserve"> </w:instrText>
            </w:r>
            <w:r>
              <w:rPr>
                <w:rFonts w:hint="eastAsia"/>
                <w:bCs/>
                <w:szCs w:val="21"/>
              </w:rPr>
              <w:instrText xml:space="preserve">= 1 \* ROMAN</w:instrText>
            </w:r>
            <w:r>
              <w:rPr>
                <w:bCs/>
                <w:szCs w:val="21"/>
              </w:rPr>
              <w:instrText xml:space="preserve"> </w:instrText>
            </w:r>
            <w:r>
              <w:rPr>
                <w:bCs/>
                <w:szCs w:val="21"/>
              </w:rPr>
              <w:fldChar w:fldCharType="separate"/>
            </w:r>
            <w:r>
              <w:rPr>
                <w:bCs/>
                <w:szCs w:val="21"/>
              </w:rPr>
              <w:t>I</w:t>
            </w:r>
            <w:r>
              <w:rPr>
                <w:bCs/>
                <w:szCs w:val="21"/>
              </w:rPr>
              <w:fldChar w:fldCharType="end"/>
            </w:r>
            <w:r>
              <w:rPr>
                <w:bCs/>
                <w:szCs w:val="21"/>
              </w:rPr>
              <w:t>、尽量选取同等功率的低噪声设备，井场内的高噪设备远离农户布置，施工方在施工期间应加强施工管理，泥浆泵加衬弹性垫料和安装消声装置，钻机、泥浆泵等设备应做好日常维护，同时在操作时做到平稳操作，避免作业时产生非正常的噪声；</w:t>
            </w:r>
          </w:p>
          <w:p>
            <w:pPr>
              <w:spacing w:line="360" w:lineRule="auto"/>
              <w:ind w:firstLine="420" w:firstLineChars="200"/>
              <w:rPr>
                <w:bCs/>
                <w:szCs w:val="21"/>
              </w:rPr>
            </w:pPr>
            <w:r>
              <w:rPr>
                <w:bCs/>
                <w:szCs w:val="21"/>
              </w:rPr>
              <w:fldChar w:fldCharType="begin"/>
            </w:r>
            <w:r>
              <w:rPr>
                <w:bCs/>
                <w:szCs w:val="21"/>
              </w:rPr>
              <w:instrText xml:space="preserve"> </w:instrText>
            </w:r>
            <w:r>
              <w:rPr>
                <w:rFonts w:hint="eastAsia"/>
                <w:bCs/>
                <w:szCs w:val="21"/>
              </w:rPr>
              <w:instrText xml:space="preserve">= 2 \* ROMAN</w:instrText>
            </w:r>
            <w:r>
              <w:rPr>
                <w:bCs/>
                <w:szCs w:val="21"/>
              </w:rPr>
              <w:instrText xml:space="preserve"> </w:instrText>
            </w:r>
            <w:r>
              <w:rPr>
                <w:bCs/>
                <w:szCs w:val="21"/>
              </w:rPr>
              <w:fldChar w:fldCharType="separate"/>
            </w:r>
            <w:r>
              <w:rPr>
                <w:bCs/>
                <w:szCs w:val="21"/>
              </w:rPr>
              <w:t>II</w:t>
            </w:r>
            <w:r>
              <w:rPr>
                <w:bCs/>
                <w:szCs w:val="21"/>
              </w:rPr>
              <w:fldChar w:fldCharType="end"/>
            </w:r>
            <w:r>
              <w:rPr>
                <w:bCs/>
                <w:szCs w:val="21"/>
              </w:rPr>
              <w:t>、在夜间作业时，应平稳操作，避免非正常噪声；</w:t>
            </w:r>
          </w:p>
          <w:p>
            <w:pPr>
              <w:spacing w:line="360" w:lineRule="auto"/>
              <w:ind w:firstLine="420" w:firstLineChars="200"/>
              <w:rPr>
                <w:bCs/>
                <w:szCs w:val="21"/>
              </w:rPr>
            </w:pPr>
            <w:r>
              <w:rPr>
                <w:bCs/>
                <w:szCs w:val="21"/>
              </w:rPr>
              <w:fldChar w:fldCharType="begin"/>
            </w:r>
            <w:r>
              <w:rPr>
                <w:bCs/>
                <w:szCs w:val="21"/>
              </w:rPr>
              <w:instrText xml:space="preserve"> </w:instrText>
            </w:r>
            <w:r>
              <w:rPr>
                <w:rFonts w:hint="eastAsia"/>
                <w:bCs/>
                <w:szCs w:val="21"/>
              </w:rPr>
              <w:instrText xml:space="preserve">= 3 \* ROMAN</w:instrText>
            </w:r>
            <w:r>
              <w:rPr>
                <w:bCs/>
                <w:szCs w:val="21"/>
              </w:rPr>
              <w:instrText xml:space="preserve"> </w:instrText>
            </w:r>
            <w:r>
              <w:rPr>
                <w:bCs/>
                <w:szCs w:val="21"/>
              </w:rPr>
              <w:fldChar w:fldCharType="separate"/>
            </w:r>
            <w:r>
              <w:rPr>
                <w:bCs/>
                <w:szCs w:val="21"/>
              </w:rPr>
              <w:t>III</w:t>
            </w:r>
            <w:r>
              <w:rPr>
                <w:bCs/>
                <w:szCs w:val="21"/>
              </w:rPr>
              <w:fldChar w:fldCharType="end"/>
            </w:r>
            <w:r>
              <w:rPr>
                <w:bCs/>
                <w:szCs w:val="21"/>
              </w:rPr>
              <w:t>、在钻井作业条件允许的情况下优先采用电网供电，使用柴油机发电时安装隔振垫、消声器等隔音措施；</w:t>
            </w:r>
          </w:p>
          <w:p>
            <w:pPr>
              <w:spacing w:line="360" w:lineRule="auto"/>
              <w:ind w:firstLine="420" w:firstLineChars="200"/>
              <w:rPr>
                <w:bCs/>
                <w:szCs w:val="21"/>
              </w:rPr>
            </w:pPr>
            <w:r>
              <w:rPr>
                <w:bCs/>
                <w:szCs w:val="21"/>
              </w:rPr>
              <w:fldChar w:fldCharType="begin"/>
            </w:r>
            <w:r>
              <w:rPr>
                <w:bCs/>
                <w:szCs w:val="21"/>
              </w:rPr>
              <w:instrText xml:space="preserve"> </w:instrText>
            </w:r>
            <w:r>
              <w:rPr>
                <w:rFonts w:hint="eastAsia"/>
                <w:bCs/>
                <w:szCs w:val="21"/>
              </w:rPr>
              <w:instrText xml:space="preserve">= 4 \* ROMAN</w:instrText>
            </w:r>
            <w:r>
              <w:rPr>
                <w:bCs/>
                <w:szCs w:val="21"/>
              </w:rPr>
              <w:instrText xml:space="preserve"> </w:instrText>
            </w:r>
            <w:r>
              <w:rPr>
                <w:bCs/>
                <w:szCs w:val="21"/>
              </w:rPr>
              <w:fldChar w:fldCharType="separate"/>
            </w:r>
            <w:r>
              <w:rPr>
                <w:bCs/>
                <w:szCs w:val="21"/>
              </w:rPr>
              <w:t>IV</w:t>
            </w:r>
            <w:r>
              <w:rPr>
                <w:bCs/>
                <w:szCs w:val="21"/>
              </w:rPr>
              <w:fldChar w:fldCharType="end"/>
            </w:r>
            <w:r>
              <w:rPr>
                <w:bCs/>
                <w:szCs w:val="21"/>
              </w:rPr>
              <w:t>、施工方在钻井工作期间对噪声影响超标的农户通过临时租用房屋、加强沟通协调等方式减轻噪声影响。</w:t>
            </w:r>
          </w:p>
          <w:p>
            <w:pPr>
              <w:spacing w:line="360" w:lineRule="auto"/>
              <w:ind w:firstLine="420" w:firstLineChars="200"/>
              <w:rPr>
                <w:bCs/>
                <w:szCs w:val="21"/>
              </w:rPr>
            </w:pPr>
            <w:r>
              <w:rPr>
                <w:bCs/>
                <w:szCs w:val="21"/>
              </w:rPr>
              <w:t>通过以上措施，本项目施工期噪声对声环境的影响是可以接受的。同时由于钻井噪声属于施工噪声，钻井时间较短，随着钻井工程的结束，本项目对周边环境造成的影响也会随之消失。</w:t>
            </w:r>
          </w:p>
          <w:p>
            <w:pPr>
              <w:spacing w:line="360" w:lineRule="auto"/>
              <w:ind w:firstLine="420" w:firstLineChars="200"/>
              <w:rPr>
                <w:bCs/>
                <w:szCs w:val="21"/>
              </w:rPr>
            </w:pPr>
            <w:r>
              <w:rPr>
                <w:bCs/>
                <w:szCs w:val="21"/>
              </w:rPr>
              <w:t>综上，通过使用网电钻井以及进行基础减震，部分设备房屋隔声以及对超标居民钻井期间通过临时租用房屋、临时撤离、加强沟通协调等方式减轻噪声影响。钻井工程对声环境的影响是可以接受的。</w:t>
            </w:r>
          </w:p>
          <w:p>
            <w:pPr>
              <w:spacing w:line="360" w:lineRule="auto"/>
              <w:ind w:firstLine="420" w:firstLineChars="200"/>
              <w:rPr>
                <w:bCs/>
                <w:szCs w:val="21"/>
              </w:rPr>
            </w:pPr>
            <w:r>
              <w:rPr>
                <w:bCs/>
                <w:szCs w:val="21"/>
              </w:rPr>
              <w:t>（3）</w:t>
            </w:r>
            <w:r>
              <w:rPr>
                <w:rFonts w:hint="eastAsia"/>
                <w:bCs/>
                <w:szCs w:val="21"/>
              </w:rPr>
              <w:t>压裂</w:t>
            </w:r>
            <w:r>
              <w:rPr>
                <w:bCs/>
                <w:szCs w:val="21"/>
              </w:rPr>
              <w:t>测试放喷</w:t>
            </w:r>
          </w:p>
          <w:p>
            <w:pPr>
              <w:spacing w:line="360" w:lineRule="auto"/>
              <w:ind w:firstLine="420" w:firstLineChars="200"/>
              <w:rPr>
                <w:bCs/>
                <w:szCs w:val="21"/>
              </w:rPr>
            </w:pPr>
            <w:r>
              <w:rPr>
                <w:bCs/>
                <w:szCs w:val="21"/>
              </w:rPr>
              <w:t>测试放喷时产生的高压气流噪声为100～110dB(A)，持续时间约3小时，在昼间进行，周边居民</w:t>
            </w:r>
            <w:r>
              <w:rPr>
                <w:rFonts w:hint="eastAsia"/>
                <w:bCs/>
                <w:szCs w:val="21"/>
              </w:rPr>
              <w:t>均</w:t>
            </w:r>
            <w:r>
              <w:rPr>
                <w:bCs/>
                <w:szCs w:val="21"/>
              </w:rPr>
              <w:t>在燃烧池100m外，测试放喷影响小，且随着测试的结束，噪声影响也消失，影响可以接受。</w:t>
            </w:r>
          </w:p>
          <w:p>
            <w:pPr>
              <w:spacing w:line="360" w:lineRule="auto"/>
              <w:rPr>
                <w:b/>
                <w:bCs/>
                <w:szCs w:val="21"/>
              </w:rPr>
            </w:pPr>
            <w:r>
              <w:rPr>
                <w:b/>
                <w:bCs/>
                <w:szCs w:val="21"/>
              </w:rPr>
              <w:t>5.4固废处理措施可行性分析</w:t>
            </w:r>
          </w:p>
          <w:p>
            <w:pPr>
              <w:pStyle w:val="209"/>
              <w:ind w:firstLine="420"/>
              <w:rPr>
                <w:sz w:val="21"/>
              </w:rPr>
            </w:pPr>
            <w:r>
              <w:rPr>
                <w:rFonts w:hint="eastAsia"/>
                <w:sz w:val="21"/>
              </w:rPr>
              <w:t>（1）钻前工程</w:t>
            </w:r>
          </w:p>
          <w:p>
            <w:pPr>
              <w:pStyle w:val="209"/>
              <w:ind w:firstLine="420"/>
              <w:rPr>
                <w:sz w:val="21"/>
              </w:rPr>
            </w:pPr>
            <w:r>
              <w:rPr>
                <w:rFonts w:hint="eastAsia"/>
                <w:sz w:val="21"/>
              </w:rPr>
              <w:t>钻前作业中平整井场、修建应急池产生的表层土壤运至后场临时堆放，完成前场施工后再将耕植土覆盖至填方边坡上部，表层土壤采用分层开挖，分层堆放，完井后用于复耕的表层覆土。表层</w:t>
            </w:r>
            <w:bookmarkStart w:id="39" w:name="_GoBack"/>
            <w:r>
              <w:rPr>
                <w:rFonts w:hint="eastAsia"/>
                <w:color w:val="auto"/>
                <w:sz w:val="21"/>
              </w:rPr>
              <w:t>耕植土</w:t>
            </w:r>
            <w:bookmarkEnd w:id="39"/>
            <w:r>
              <w:rPr>
                <w:rFonts w:hint="eastAsia"/>
                <w:sz w:val="21"/>
              </w:rPr>
              <w:t>及时堆放</w:t>
            </w:r>
            <w:r>
              <w:rPr>
                <w:sz w:val="21"/>
              </w:rPr>
              <w:t>与耕植土堆放区</w:t>
            </w:r>
            <w:r>
              <w:rPr>
                <w:rFonts w:hint="eastAsia"/>
                <w:sz w:val="21"/>
              </w:rPr>
              <w:t>，表层土以下的土应及时进行回填，并夯实，先对埋在下层的压实，再用原有表层土覆盖于上层堆砌。施工过程中产生的生活垃圾以及包装材料等固体废物统一收集，定期送往城镇垃圾处理系统处理。</w:t>
            </w:r>
          </w:p>
          <w:p>
            <w:pPr>
              <w:pStyle w:val="209"/>
              <w:ind w:firstLine="420"/>
              <w:rPr>
                <w:sz w:val="21"/>
              </w:rPr>
            </w:pPr>
            <w:r>
              <w:rPr>
                <w:rFonts w:hint="eastAsia"/>
                <w:sz w:val="21"/>
              </w:rPr>
              <w:t>通过采取上述措施后，施工过程中产生的固废不会对环境产生影响。</w:t>
            </w:r>
          </w:p>
          <w:p>
            <w:pPr>
              <w:pStyle w:val="209"/>
              <w:ind w:firstLine="420"/>
              <w:rPr>
                <w:sz w:val="21"/>
              </w:rPr>
            </w:pPr>
            <w:r>
              <w:rPr>
                <w:rFonts w:hint="eastAsia"/>
                <w:sz w:val="21"/>
              </w:rPr>
              <w:t>（2）钻井工程、压裂工程</w:t>
            </w:r>
          </w:p>
          <w:p>
            <w:pPr>
              <w:pStyle w:val="209"/>
              <w:ind w:firstLine="420"/>
              <w:rPr>
                <w:sz w:val="21"/>
              </w:rPr>
            </w:pPr>
            <w:r>
              <w:rPr>
                <w:sz w:val="21"/>
              </w:rPr>
              <w:t>项目产生的固体废物可分为一般工业固废、危险废物和生活垃圾，其中一般工业固废主要包括</w:t>
            </w:r>
            <w:r>
              <w:rPr>
                <w:rFonts w:hint="eastAsia"/>
                <w:sz w:val="21"/>
              </w:rPr>
              <w:t>导管段产生的清水钻屑，一开~三开</w:t>
            </w:r>
            <w:r>
              <w:rPr>
                <w:sz w:val="21"/>
              </w:rPr>
              <w:t>井段</w:t>
            </w:r>
            <w:r>
              <w:rPr>
                <w:rFonts w:hint="eastAsia"/>
                <w:sz w:val="21"/>
              </w:rPr>
              <w:t>采用</w:t>
            </w:r>
            <w:r>
              <w:rPr>
                <w:sz w:val="21"/>
              </w:rPr>
              <w:t>水基钻井液钻后产生的岩屑、废弃水基泥浆，危险废物包括设备产生废油。</w:t>
            </w:r>
          </w:p>
          <w:p>
            <w:pPr>
              <w:pStyle w:val="209"/>
              <w:ind w:firstLine="420"/>
              <w:rPr>
                <w:bCs/>
                <w:sz w:val="21"/>
              </w:rPr>
            </w:pPr>
            <w:r>
              <w:rPr>
                <w:bCs/>
                <w:sz w:val="21"/>
              </w:rPr>
              <w:fldChar w:fldCharType="begin"/>
            </w:r>
            <w:r>
              <w:rPr>
                <w:bCs/>
                <w:sz w:val="21"/>
              </w:rPr>
              <w:instrText xml:space="preserve"> </w:instrText>
            </w:r>
            <w:r>
              <w:rPr>
                <w:rFonts w:hint="eastAsia"/>
                <w:bCs/>
                <w:sz w:val="21"/>
              </w:rPr>
              <w:instrText xml:space="preserve">= 1 \* GB3</w:instrText>
            </w:r>
            <w:r>
              <w:rPr>
                <w:bCs/>
                <w:sz w:val="21"/>
              </w:rPr>
              <w:instrText xml:space="preserve"> </w:instrText>
            </w:r>
            <w:r>
              <w:rPr>
                <w:bCs/>
                <w:sz w:val="21"/>
              </w:rPr>
              <w:fldChar w:fldCharType="separate"/>
            </w:r>
            <w:r>
              <w:rPr>
                <w:rFonts w:hint="eastAsia"/>
                <w:bCs/>
                <w:sz w:val="21"/>
              </w:rPr>
              <w:t>①</w:t>
            </w:r>
            <w:r>
              <w:rPr>
                <w:bCs/>
                <w:sz w:val="21"/>
              </w:rPr>
              <w:fldChar w:fldCharType="end"/>
            </w:r>
            <w:r>
              <w:rPr>
                <w:bCs/>
                <w:sz w:val="21"/>
              </w:rPr>
              <w:t>一般工业固废处置措施可行性分析</w:t>
            </w:r>
          </w:p>
          <w:p>
            <w:pPr>
              <w:pStyle w:val="209"/>
              <w:ind w:firstLine="420"/>
              <w:rPr>
                <w:bCs/>
                <w:sz w:val="21"/>
              </w:rPr>
            </w:pPr>
            <w:r>
              <w:rPr>
                <w:bCs/>
                <w:sz w:val="21"/>
              </w:rPr>
              <w:t>本项目钻井期间采用现场清洁化生产方案，满足《陆上石油天然气开采水基钻井废弃物处理处置及资源化利用技术规范》，对钻井过程中产生的污染物实行随钻处理。</w:t>
            </w:r>
            <w:r>
              <w:rPr>
                <w:rFonts w:hint="eastAsia"/>
                <w:bCs/>
                <w:sz w:val="21"/>
              </w:rPr>
              <w:t>清水钻井、</w:t>
            </w:r>
            <w:r>
              <w:rPr>
                <w:bCs/>
                <w:sz w:val="21"/>
              </w:rPr>
              <w:t>水基钻井过程中由井底排出的泥浆经振动筛、离心机分离出细颗粒泥浆进入泥浆循环罐，分离出的</w:t>
            </w:r>
            <w:r>
              <w:rPr>
                <w:rFonts w:hint="eastAsia"/>
                <w:bCs/>
                <w:sz w:val="21"/>
              </w:rPr>
              <w:t>清水钻屑、</w:t>
            </w:r>
            <w:r>
              <w:rPr>
                <w:bCs/>
                <w:sz w:val="21"/>
              </w:rPr>
              <w:t>水基岩屑通过螺旋传输装置</w:t>
            </w:r>
            <w:r>
              <w:rPr>
                <w:rFonts w:hint="eastAsia"/>
                <w:bCs/>
                <w:sz w:val="21"/>
              </w:rPr>
              <w:t>后于岩屑堆放区</w:t>
            </w:r>
            <w:r>
              <w:rPr>
                <w:bCs/>
                <w:sz w:val="21"/>
              </w:rPr>
              <w:t>暂存</w:t>
            </w:r>
            <w:r>
              <w:rPr>
                <w:rFonts w:hint="eastAsia"/>
                <w:bCs/>
                <w:sz w:val="21"/>
              </w:rPr>
              <w:t>，岩屑堆放区已做重点防渗并设置围堰，满足本项目水基岩屑暂存需求。</w:t>
            </w:r>
          </w:p>
          <w:p>
            <w:pPr>
              <w:pStyle w:val="209"/>
              <w:ind w:firstLine="420"/>
              <w:rPr>
                <w:bCs/>
                <w:sz w:val="21"/>
              </w:rPr>
            </w:pPr>
            <w:r>
              <w:rPr>
                <w:rFonts w:hint="eastAsia"/>
                <w:bCs/>
                <w:sz w:val="21"/>
              </w:rPr>
              <w:t>清水岩屑、水基岩屑、废水基泥浆根据《达州市生态环境局办公室关于进一步加强固体废物污染防治工作的通知》（达市环办发〔2021〕24号），就近交给依法取得生态环境部门关于利用和处置相关工业固体废物项目环评批复、具有处理处置相应固体废物能力并配套建设有废气、废水、固废等污染物治理设施的单位进行资源化利用。</w:t>
            </w:r>
          </w:p>
          <w:p>
            <w:pPr>
              <w:spacing w:line="360" w:lineRule="auto"/>
              <w:ind w:firstLine="420" w:firstLineChars="200"/>
              <w:rPr>
                <w:bCs/>
                <w:szCs w:val="21"/>
              </w:rPr>
            </w:pPr>
            <w:r>
              <w:rPr>
                <w:bCs/>
                <w:szCs w:val="21"/>
              </w:rPr>
              <w:fldChar w:fldCharType="begin"/>
            </w:r>
            <w:r>
              <w:rPr>
                <w:bCs/>
                <w:szCs w:val="21"/>
              </w:rPr>
              <w:instrText xml:space="preserve"> </w:instrText>
            </w:r>
            <w:r>
              <w:rPr>
                <w:rFonts w:hint="eastAsia"/>
                <w:bCs/>
                <w:szCs w:val="21"/>
              </w:rPr>
              <w:instrText xml:space="preserve">= 2 \* GB3</w:instrText>
            </w:r>
            <w:r>
              <w:rPr>
                <w:bCs/>
                <w:szCs w:val="21"/>
              </w:rPr>
              <w:instrText xml:space="preserve"> </w:instrText>
            </w:r>
            <w:r>
              <w:rPr>
                <w:bCs/>
                <w:szCs w:val="21"/>
              </w:rPr>
              <w:fldChar w:fldCharType="separate"/>
            </w:r>
            <w:r>
              <w:rPr>
                <w:rFonts w:hint="eastAsia"/>
                <w:bCs/>
                <w:szCs w:val="21"/>
              </w:rPr>
              <w:t>②</w:t>
            </w:r>
            <w:r>
              <w:rPr>
                <w:bCs/>
                <w:szCs w:val="21"/>
              </w:rPr>
              <w:fldChar w:fldCharType="end"/>
            </w:r>
            <w:r>
              <w:rPr>
                <w:bCs/>
                <w:szCs w:val="21"/>
              </w:rPr>
              <w:t>清洁化操作工艺（清洁生产操作平台）、固体预处理收集、临时储存</w:t>
            </w:r>
          </w:p>
          <w:p>
            <w:pPr>
              <w:spacing w:line="360" w:lineRule="auto"/>
              <w:ind w:firstLine="420" w:firstLineChars="200"/>
              <w:rPr>
                <w:szCs w:val="21"/>
              </w:rPr>
            </w:pPr>
            <w:r>
              <w:rPr>
                <w:szCs w:val="21"/>
              </w:rPr>
              <w:t>泥浆循环系统分离产生的废泥浆（失效泥浆）按照清洁化生产方案</w:t>
            </w:r>
            <w:r>
              <w:rPr>
                <w:rFonts w:hint="eastAsia"/>
                <w:szCs w:val="21"/>
              </w:rPr>
              <w:t>经循环罐收集</w:t>
            </w:r>
            <w:r>
              <w:rPr>
                <w:szCs w:val="21"/>
              </w:rPr>
              <w:t>，收集后</w:t>
            </w:r>
            <w:r>
              <w:rPr>
                <w:rFonts w:hint="eastAsia"/>
                <w:szCs w:val="21"/>
              </w:rPr>
              <w:t>经</w:t>
            </w:r>
            <w:r>
              <w:rPr>
                <w:szCs w:val="21"/>
              </w:rPr>
              <w:t>清洁生产操作平台再次进行脱水处理，脱水产生的废水经清洁生产操作平台内的废水处理罐混凝沉淀处理</w:t>
            </w:r>
            <w:r>
              <w:rPr>
                <w:rFonts w:hint="eastAsia"/>
                <w:szCs w:val="21"/>
              </w:rPr>
              <w:t>，上清液经废水罐或应急池暂存后用于压裂作业用水，不能回用时由罐车拉运至四川瑞利生物科技有限公司处置</w:t>
            </w:r>
            <w:r>
              <w:rPr>
                <w:szCs w:val="21"/>
              </w:rPr>
              <w:t>。下部沉淀污泥和脱水后的泥浆转运至岩屑堆放区临时储存</w:t>
            </w:r>
            <w:r>
              <w:rPr>
                <w:rFonts w:hint="eastAsia"/>
                <w:szCs w:val="21"/>
              </w:rPr>
              <w:t>，</w:t>
            </w:r>
            <w:r>
              <w:rPr>
                <w:szCs w:val="21"/>
              </w:rPr>
              <w:t>分离产生的岩屑</w:t>
            </w:r>
            <w:r>
              <w:rPr>
                <w:rFonts w:hint="eastAsia"/>
                <w:szCs w:val="21"/>
              </w:rPr>
              <w:t>经</w:t>
            </w:r>
            <w:r>
              <w:rPr>
                <w:szCs w:val="21"/>
              </w:rPr>
              <w:t>岩屑堆放区临时储存。</w:t>
            </w:r>
          </w:p>
          <w:p>
            <w:pPr>
              <w:spacing w:line="360" w:lineRule="auto"/>
              <w:ind w:firstLine="420" w:firstLineChars="200"/>
              <w:rPr>
                <w:szCs w:val="21"/>
              </w:rPr>
            </w:pPr>
            <w:r>
              <w:rPr>
                <w:rFonts w:hint="eastAsia"/>
                <w:szCs w:val="21"/>
              </w:rPr>
              <w:t>本项目钻井过程中，钻井泥浆</w:t>
            </w:r>
            <w:r>
              <w:rPr>
                <w:szCs w:val="21"/>
              </w:rPr>
              <w:t>通过清洁生产操作平台</w:t>
            </w:r>
            <w:r>
              <w:rPr>
                <w:rFonts w:hint="eastAsia"/>
                <w:szCs w:val="21"/>
              </w:rPr>
              <w:t>后</w:t>
            </w:r>
            <w:r>
              <w:rPr>
                <w:szCs w:val="21"/>
              </w:rPr>
              <w:t>，做到固体废物有效收集处理回用</w:t>
            </w:r>
            <w:r>
              <w:rPr>
                <w:rFonts w:hint="eastAsia"/>
                <w:szCs w:val="21"/>
              </w:rPr>
              <w:t>，</w:t>
            </w:r>
            <w:r>
              <w:rPr>
                <w:szCs w:val="21"/>
              </w:rPr>
              <w:t>采用随钻不落地</w:t>
            </w:r>
            <w:r>
              <w:rPr>
                <w:rFonts w:hint="eastAsia"/>
                <w:szCs w:val="21"/>
              </w:rPr>
              <w:t>技术</w:t>
            </w:r>
            <w:r>
              <w:rPr>
                <w:szCs w:val="21"/>
              </w:rPr>
              <w:t>，有利于减轻对环境的影响</w:t>
            </w:r>
            <w:r>
              <w:rPr>
                <w:rFonts w:hint="eastAsia"/>
                <w:szCs w:val="21"/>
              </w:rPr>
              <w:t>，</w:t>
            </w:r>
            <w:r>
              <w:rPr>
                <w:szCs w:val="21"/>
              </w:rPr>
              <w:t>措施可行，纳入工程投资，技术经济可行。岩屑堆放区进行了防渗和防雨，符合《一般工业固体废物贮存和填埋污染控制标准》（GB18599-2020）Ⅱ类场的相应要求。纳入工程投资，经济</w:t>
            </w:r>
            <w:r>
              <w:rPr>
                <w:rFonts w:hint="eastAsia"/>
                <w:szCs w:val="21"/>
              </w:rPr>
              <w:t>技术</w:t>
            </w:r>
            <w:r>
              <w:rPr>
                <w:szCs w:val="21"/>
              </w:rPr>
              <w:t>可行。</w:t>
            </w:r>
          </w:p>
          <w:p>
            <w:pPr>
              <w:spacing w:line="360" w:lineRule="auto"/>
              <w:ind w:firstLine="422" w:firstLineChars="200"/>
              <w:rPr>
                <w:b/>
                <w:bCs/>
                <w:szCs w:val="21"/>
              </w:rPr>
            </w:pPr>
            <w:r>
              <w:rPr>
                <w:b/>
                <w:bCs/>
                <w:szCs w:val="21"/>
              </w:rPr>
              <w:fldChar w:fldCharType="begin"/>
            </w:r>
            <w:r>
              <w:rPr>
                <w:b/>
                <w:bCs/>
                <w:szCs w:val="21"/>
              </w:rPr>
              <w:instrText xml:space="preserve"> </w:instrText>
            </w:r>
            <w:r>
              <w:rPr>
                <w:rFonts w:hint="eastAsia"/>
                <w:b/>
                <w:bCs/>
                <w:szCs w:val="21"/>
              </w:rPr>
              <w:instrText xml:space="preserve">= 3 \* GB3</w:instrText>
            </w:r>
            <w:r>
              <w:rPr>
                <w:b/>
                <w:bCs/>
                <w:szCs w:val="21"/>
              </w:rPr>
              <w:instrText xml:space="preserve"> </w:instrText>
            </w:r>
            <w:r>
              <w:rPr>
                <w:b/>
                <w:bCs/>
                <w:szCs w:val="21"/>
              </w:rPr>
              <w:fldChar w:fldCharType="separate"/>
            </w:r>
            <w:r>
              <w:rPr>
                <w:rFonts w:hint="eastAsia"/>
                <w:b/>
                <w:bCs/>
                <w:szCs w:val="21"/>
              </w:rPr>
              <w:t>③</w:t>
            </w:r>
            <w:r>
              <w:rPr>
                <w:b/>
                <w:bCs/>
                <w:szCs w:val="21"/>
              </w:rPr>
              <w:fldChar w:fldCharType="end"/>
            </w:r>
            <w:r>
              <w:rPr>
                <w:b/>
                <w:bCs/>
                <w:szCs w:val="21"/>
              </w:rPr>
              <w:t>危险废物处置措施</w:t>
            </w:r>
          </w:p>
          <w:p>
            <w:pPr>
              <w:spacing w:line="360" w:lineRule="auto"/>
              <w:ind w:firstLine="420" w:firstLineChars="200"/>
              <w:rPr>
                <w:szCs w:val="21"/>
              </w:rPr>
            </w:pPr>
            <w:r>
              <w:rPr>
                <w:szCs w:val="21"/>
              </w:rPr>
              <w:t>本项目产生的危险废物主要为废油</w:t>
            </w:r>
            <w:r>
              <w:rPr>
                <w:rFonts w:hint="eastAsia"/>
                <w:szCs w:val="21"/>
              </w:rPr>
              <w:t>、废油桶</w:t>
            </w:r>
            <w:r>
              <w:rPr>
                <w:szCs w:val="21"/>
              </w:rPr>
              <w:t>，根据《关于发布&lt;建设项目危险废物环境影响评价指南&gt;的公告》（环境保护部公告2017年第43号），本次评价应全过程全时段分析危险废物的产生、收集、贮存、运输、利用、处置情况。废油主要产生于钻井期间各机械设备，废油</w:t>
            </w:r>
            <w:r>
              <w:rPr>
                <w:rFonts w:hint="eastAsia"/>
                <w:szCs w:val="21"/>
              </w:rPr>
              <w:t>及废油桶</w:t>
            </w:r>
            <w:r>
              <w:rPr>
                <w:szCs w:val="21"/>
              </w:rPr>
              <w:t>收集后暂存于清洁化操作平台中的危废暂存区内，随后及时交由具有危险废物处理资质的单位拉运处置</w:t>
            </w:r>
            <w:r>
              <w:rPr>
                <w:rFonts w:hint="eastAsia"/>
                <w:szCs w:val="21"/>
              </w:rPr>
              <w:t>；岩屑堆放区及清洁生产操作平台已做重点防渗，并设置围堰，满足暂存需求。</w:t>
            </w:r>
          </w:p>
          <w:p>
            <w:pPr>
              <w:spacing w:line="360" w:lineRule="auto"/>
              <w:ind w:firstLine="420" w:firstLineChars="200"/>
              <w:rPr>
                <w:szCs w:val="21"/>
              </w:rPr>
            </w:pPr>
            <w:r>
              <w:rPr>
                <w:szCs w:val="21"/>
              </w:rPr>
              <w:t>危险废物应按照《危险废物产生单位管理计划制定指南》进行管理。工程对废油的收集、贮存和运输应满足《危险废物收集、贮存、运输技术规范》（HJ2025-2012）、《危险废物贮存污染控制标准》（GB18597-2001）及其2013年修改单的相关规定。</w:t>
            </w:r>
          </w:p>
          <w:p>
            <w:pPr>
              <w:spacing w:line="360" w:lineRule="auto"/>
              <w:ind w:firstLine="420" w:firstLineChars="200"/>
              <w:rPr>
                <w:szCs w:val="21"/>
              </w:rPr>
            </w:pPr>
            <w:r>
              <w:rPr>
                <w:szCs w:val="21"/>
              </w:rPr>
              <w:t>依据《危险废物收集、贮存、运输技术规范》（HJ2025-2012），项目应加强以下措施：</w:t>
            </w:r>
          </w:p>
          <w:p>
            <w:pPr>
              <w:spacing w:line="360" w:lineRule="auto"/>
              <w:ind w:firstLine="420" w:firstLineChars="200"/>
              <w:rPr>
                <w:szCs w:val="21"/>
              </w:rPr>
            </w:pPr>
            <w:r>
              <w:rPr>
                <w:szCs w:val="21"/>
              </w:rPr>
              <w:t>1）危险废物的收集作业</w:t>
            </w:r>
          </w:p>
          <w:p>
            <w:pPr>
              <w:spacing w:line="360" w:lineRule="auto"/>
              <w:ind w:firstLine="420" w:firstLineChars="200"/>
              <w:rPr>
                <w:szCs w:val="21"/>
              </w:rPr>
            </w:pPr>
            <w:r>
              <w:rPr>
                <w:rFonts w:hint="eastAsia"/>
                <w:szCs w:val="21"/>
              </w:rPr>
              <w:t>A、</w:t>
            </w:r>
            <w:r>
              <w:rPr>
                <w:szCs w:val="21"/>
              </w:rPr>
              <w:t>应根据收集设备、转运车辆以及现场人员等实际情况确定相应作业区域，同时要设置作业界限标志和警示牌。</w:t>
            </w:r>
          </w:p>
          <w:p>
            <w:pPr>
              <w:spacing w:line="360" w:lineRule="auto"/>
              <w:ind w:firstLine="420" w:firstLineChars="200"/>
              <w:rPr>
                <w:szCs w:val="21"/>
              </w:rPr>
            </w:pPr>
            <w:r>
              <w:rPr>
                <w:rFonts w:hint="eastAsia"/>
                <w:szCs w:val="21"/>
              </w:rPr>
              <w:t>B、</w:t>
            </w:r>
            <w:r>
              <w:rPr>
                <w:szCs w:val="21"/>
              </w:rPr>
              <w:t>作业区域内应设置危险废物收集专用通道和人员避险通道。</w:t>
            </w:r>
          </w:p>
          <w:p>
            <w:pPr>
              <w:spacing w:line="360" w:lineRule="auto"/>
              <w:ind w:firstLine="420" w:firstLineChars="200"/>
              <w:rPr>
                <w:szCs w:val="21"/>
              </w:rPr>
            </w:pPr>
            <w:r>
              <w:rPr>
                <w:rFonts w:hint="eastAsia" w:ascii="宋体" w:hAnsi="宋体" w:cs="宋体"/>
                <w:szCs w:val="21"/>
              </w:rPr>
              <w:t>C、</w:t>
            </w:r>
            <w:r>
              <w:rPr>
                <w:szCs w:val="21"/>
              </w:rPr>
              <w:t>收集时应配备必要的收集工具和包装物，以及必要的应急监测设备及应急装备。</w:t>
            </w:r>
          </w:p>
          <w:p>
            <w:pPr>
              <w:spacing w:line="360" w:lineRule="auto"/>
              <w:ind w:firstLine="420" w:firstLineChars="200"/>
              <w:rPr>
                <w:szCs w:val="21"/>
              </w:rPr>
            </w:pPr>
            <w:r>
              <w:rPr>
                <w:rFonts w:hint="eastAsia" w:ascii="宋体" w:hAnsi="宋体" w:cs="宋体"/>
                <w:szCs w:val="21"/>
              </w:rPr>
              <w:t>D、</w:t>
            </w:r>
            <w:r>
              <w:rPr>
                <w:szCs w:val="21"/>
              </w:rPr>
              <w:t>危险废物收集应参照本标准附录A填写记录表，并将记录表作为危险废物管理的重要档案妥善保存。</w:t>
            </w:r>
          </w:p>
          <w:p>
            <w:pPr>
              <w:spacing w:line="360" w:lineRule="auto"/>
              <w:ind w:firstLine="420" w:firstLineChars="200"/>
              <w:rPr>
                <w:szCs w:val="21"/>
              </w:rPr>
            </w:pPr>
            <w:r>
              <w:rPr>
                <w:rFonts w:hint="eastAsia"/>
                <w:szCs w:val="21"/>
              </w:rPr>
              <w:t>E、</w:t>
            </w:r>
            <w:r>
              <w:rPr>
                <w:szCs w:val="21"/>
              </w:rPr>
              <w:t>收集结束后应清理和恢复收集作业区域，确保作业区域环境整洁安全。</w:t>
            </w:r>
          </w:p>
          <w:p>
            <w:pPr>
              <w:spacing w:line="360" w:lineRule="auto"/>
              <w:ind w:firstLine="420" w:firstLineChars="200"/>
              <w:rPr>
                <w:szCs w:val="21"/>
              </w:rPr>
            </w:pPr>
            <w:r>
              <w:rPr>
                <w:rFonts w:hint="eastAsia" w:ascii="宋体" w:hAnsi="宋体" w:cs="宋体"/>
                <w:szCs w:val="21"/>
              </w:rPr>
              <w:t>F、</w:t>
            </w:r>
            <w:r>
              <w:rPr>
                <w:szCs w:val="21"/>
              </w:rPr>
              <w:t>收集过危险废物的容器、设备、设施、场所及其它物品转作它用时，应消除污染，确保其使用安全。</w:t>
            </w:r>
          </w:p>
          <w:p>
            <w:pPr>
              <w:spacing w:line="360" w:lineRule="auto"/>
              <w:ind w:firstLine="420" w:firstLineChars="200"/>
              <w:rPr>
                <w:szCs w:val="21"/>
              </w:rPr>
            </w:pPr>
            <w:r>
              <w:rPr>
                <w:szCs w:val="21"/>
              </w:rPr>
              <w:t>2）危险废物贮存</w:t>
            </w:r>
          </w:p>
          <w:p>
            <w:pPr>
              <w:spacing w:line="360" w:lineRule="auto"/>
              <w:ind w:firstLine="420" w:firstLineChars="200"/>
              <w:rPr>
                <w:szCs w:val="21"/>
              </w:rPr>
            </w:pPr>
            <w:r>
              <w:rPr>
                <w:rFonts w:hint="eastAsia" w:ascii="宋体" w:hAnsi="宋体" w:cs="宋体"/>
                <w:szCs w:val="21"/>
              </w:rPr>
              <w:t>A、</w:t>
            </w:r>
            <w:r>
              <w:rPr>
                <w:szCs w:val="21"/>
              </w:rPr>
              <w:t>危险废物贮存设施应配备通讯设备、照明设施和消防设施。</w:t>
            </w:r>
          </w:p>
          <w:p>
            <w:pPr>
              <w:spacing w:line="360" w:lineRule="auto"/>
              <w:ind w:firstLine="420" w:firstLineChars="200"/>
              <w:rPr>
                <w:szCs w:val="21"/>
              </w:rPr>
            </w:pPr>
            <w:r>
              <w:rPr>
                <w:rFonts w:hint="eastAsia" w:ascii="宋体" w:hAnsi="宋体" w:cs="宋体"/>
                <w:szCs w:val="21"/>
              </w:rPr>
              <w:t>B、</w:t>
            </w:r>
            <w:r>
              <w:rPr>
                <w:szCs w:val="21"/>
              </w:rPr>
              <w:t>贮存危险废物时应按危险废物的种类和特性进行分区贮存，每个贮存区域之间宜设置挡墙间隔，并应设置防雨、防火、防雷、防扬尘装置。</w:t>
            </w:r>
          </w:p>
          <w:p>
            <w:pPr>
              <w:spacing w:line="360" w:lineRule="auto"/>
              <w:ind w:firstLine="420" w:firstLineChars="200"/>
              <w:rPr>
                <w:szCs w:val="21"/>
              </w:rPr>
            </w:pPr>
            <w:r>
              <w:rPr>
                <w:rFonts w:hint="eastAsia"/>
                <w:szCs w:val="21"/>
              </w:rPr>
              <w:t>C、</w:t>
            </w:r>
            <w:r>
              <w:rPr>
                <w:szCs w:val="21"/>
              </w:rPr>
              <w:t>建设单位应明确危险废物贮存设施现状，包括设施名称、数量、类型、面积及贮存能力，掌握贮存危险废物的类别、名称、数量及贮存原因，提出危险废物贮存过程的污染防治和事故预防措施等内容。</w:t>
            </w:r>
          </w:p>
          <w:p>
            <w:pPr>
              <w:spacing w:line="360" w:lineRule="auto"/>
              <w:ind w:firstLine="420" w:firstLineChars="200"/>
              <w:rPr>
                <w:szCs w:val="21"/>
              </w:rPr>
            </w:pPr>
            <w:r>
              <w:rPr>
                <w:szCs w:val="21"/>
              </w:rPr>
              <w:t>3）危险废物的运输</w:t>
            </w:r>
          </w:p>
          <w:p>
            <w:pPr>
              <w:spacing w:line="360" w:lineRule="auto"/>
              <w:ind w:firstLine="420" w:firstLineChars="200"/>
              <w:rPr>
                <w:szCs w:val="21"/>
              </w:rPr>
            </w:pPr>
            <w:r>
              <w:rPr>
                <w:rFonts w:hint="eastAsia"/>
                <w:szCs w:val="21"/>
              </w:rPr>
              <w:t>A、</w:t>
            </w:r>
            <w:r>
              <w:rPr>
                <w:szCs w:val="21"/>
              </w:rPr>
              <w:t>危险废物公路运输应按照《道路危险货物运输管理规定》（交通部令﹝2005年﹞）第9号)、JT617以及JT618执行。</w:t>
            </w:r>
          </w:p>
          <w:p>
            <w:pPr>
              <w:spacing w:line="360" w:lineRule="auto"/>
              <w:ind w:firstLine="420" w:firstLineChars="200"/>
              <w:rPr>
                <w:szCs w:val="21"/>
              </w:rPr>
            </w:pPr>
            <w:r>
              <w:rPr>
                <w:rFonts w:hint="eastAsia" w:ascii="宋体" w:hAnsi="宋体" w:cs="宋体"/>
                <w:szCs w:val="21"/>
              </w:rPr>
              <w:t>B、运</w:t>
            </w:r>
            <w:r>
              <w:rPr>
                <w:szCs w:val="21"/>
              </w:rPr>
              <w:t>输单位承运危险废物时，应在危险废物包装上按照GB18597附录A设置标志。</w:t>
            </w:r>
          </w:p>
          <w:p>
            <w:pPr>
              <w:spacing w:line="360" w:lineRule="auto"/>
              <w:ind w:firstLine="420" w:firstLineChars="200"/>
              <w:rPr>
                <w:szCs w:val="21"/>
              </w:rPr>
            </w:pPr>
            <w:r>
              <w:rPr>
                <w:rFonts w:hint="eastAsia" w:ascii="宋体" w:hAnsi="宋体" w:cs="宋体"/>
                <w:szCs w:val="21"/>
              </w:rPr>
              <w:t>C、</w:t>
            </w:r>
            <w:r>
              <w:rPr>
                <w:szCs w:val="21"/>
              </w:rPr>
              <w:t>危险废物公路运输时，运输车辆应按GB13392设置车辆标志。</w:t>
            </w:r>
          </w:p>
          <w:p>
            <w:pPr>
              <w:spacing w:line="360" w:lineRule="auto"/>
              <w:ind w:firstLine="420" w:firstLineChars="200"/>
              <w:rPr>
                <w:szCs w:val="21"/>
              </w:rPr>
            </w:pPr>
            <w:r>
              <w:rPr>
                <w:rFonts w:hint="eastAsia" w:ascii="宋体" w:hAnsi="宋体" w:cs="宋体"/>
                <w:szCs w:val="21"/>
              </w:rPr>
              <w:t>D、</w:t>
            </w:r>
            <w:r>
              <w:rPr>
                <w:szCs w:val="21"/>
              </w:rPr>
              <w:t>危险废物运输应遵守危险货物运输管理的相关规定，按照危险废物特性分类运输。自行运输危险废物的应描述拟采用运输工具状况，包括工具种类、载重量、使用年限、危险货物运输资质、污染防治和事故预防措施等；委托外单位运输危险废物的，应描述委托运输具体状况，包括委托运输单位、危险货物运输资质等。</w:t>
            </w:r>
          </w:p>
          <w:p>
            <w:pPr>
              <w:spacing w:line="360" w:lineRule="auto"/>
              <w:ind w:firstLine="420" w:firstLineChars="200"/>
              <w:rPr>
                <w:szCs w:val="21"/>
              </w:rPr>
            </w:pPr>
            <w:r>
              <w:rPr>
                <w:szCs w:val="21"/>
              </w:rPr>
              <w:t>4）危险废物转移</w:t>
            </w:r>
          </w:p>
          <w:p>
            <w:pPr>
              <w:spacing w:line="360" w:lineRule="auto"/>
              <w:ind w:firstLine="420" w:firstLineChars="200"/>
              <w:rPr>
                <w:szCs w:val="21"/>
              </w:rPr>
            </w:pPr>
            <w:r>
              <w:rPr>
                <w:szCs w:val="21"/>
              </w:rPr>
              <w:t>本工程开发过程中涉及到的危险废物交由有危废运输资质的单位进行转运，转运过程参照《危险废物收集、贮存、运输技术规范》（HJ2025-2012）严格执行危废申报和五联单管理制度，在项目建设过程中，建设方结合钻井施工进度，建立分季度废油转运内部管理台账，同时为确保转运安全，对危废转运采取的如下管理措施：</w:t>
            </w:r>
          </w:p>
          <w:p>
            <w:pPr>
              <w:spacing w:line="360" w:lineRule="auto"/>
              <w:ind w:firstLine="420" w:firstLineChars="200"/>
              <w:rPr>
                <w:szCs w:val="21"/>
              </w:rPr>
            </w:pPr>
            <w:r>
              <w:rPr>
                <w:szCs w:val="21"/>
              </w:rPr>
              <w:t>A、制定科学合理的车辆运输，根据车辆运输实施相应的管理。</w:t>
            </w:r>
          </w:p>
          <w:p>
            <w:pPr>
              <w:spacing w:line="360" w:lineRule="auto"/>
              <w:ind w:firstLine="420" w:firstLineChars="200"/>
              <w:rPr>
                <w:szCs w:val="21"/>
              </w:rPr>
            </w:pPr>
            <w:r>
              <w:rPr>
                <w:szCs w:val="21"/>
              </w:rPr>
              <w:t>B、危废承运单位为非公司所属单位，承运方需具备公司安全环保准入资格和相应的运输服务准入资格。</w:t>
            </w:r>
          </w:p>
          <w:p>
            <w:pPr>
              <w:spacing w:line="360" w:lineRule="auto"/>
              <w:ind w:firstLine="420" w:firstLineChars="200"/>
              <w:rPr>
                <w:szCs w:val="21"/>
              </w:rPr>
            </w:pPr>
            <w:r>
              <w:rPr>
                <w:szCs w:val="21"/>
              </w:rPr>
              <w:t>C、承运单位在开展运输工作之前，应对运输人员进行相关安全环保知识培训，运输车辆、装卸工具必须符合安全环保要求，装卸和运输危废过程中不得溢出和渗漏。严禁任意倾倒、排放或向第三方转移危废。</w:t>
            </w:r>
          </w:p>
          <w:p>
            <w:pPr>
              <w:spacing w:line="360" w:lineRule="auto"/>
              <w:ind w:firstLine="420" w:firstLineChars="200"/>
              <w:rPr>
                <w:szCs w:val="21"/>
              </w:rPr>
            </w:pPr>
            <w:r>
              <w:rPr>
                <w:szCs w:val="21"/>
              </w:rPr>
              <w:t>D、承运人员进入井场装卸废油时，必须遵守探勘事业部的有关安全环保管理规定，并服从井站值班人员的管理，不得擅自进入生产装置区和操作井场设备设施。</w:t>
            </w:r>
          </w:p>
          <w:p>
            <w:pPr>
              <w:spacing w:line="360" w:lineRule="auto"/>
              <w:ind w:firstLine="420" w:firstLineChars="200"/>
              <w:rPr>
                <w:szCs w:val="21"/>
              </w:rPr>
            </w:pPr>
            <w:r>
              <w:rPr>
                <w:szCs w:val="21"/>
              </w:rPr>
              <w:t>E、危废车辆运输严格执行签认制度。签认单复印件报属地管理单位安全部门和承运单位备查，保存期不得少于二年。</w:t>
            </w:r>
          </w:p>
          <w:p>
            <w:pPr>
              <w:spacing w:line="360" w:lineRule="auto"/>
              <w:ind w:firstLine="420" w:firstLineChars="200"/>
              <w:rPr>
                <w:szCs w:val="21"/>
              </w:rPr>
            </w:pPr>
            <w:r>
              <w:rPr>
                <w:szCs w:val="21"/>
              </w:rPr>
              <w:t>F、危废转运路线应尽可能绕避集中式饮用水源保护区等环境敏感地。</w:t>
            </w:r>
          </w:p>
          <w:p>
            <w:pPr>
              <w:spacing w:line="360" w:lineRule="auto"/>
              <w:ind w:firstLine="420" w:firstLineChars="200"/>
              <w:rPr>
                <w:szCs w:val="21"/>
              </w:rPr>
            </w:pPr>
            <w:r>
              <w:rPr>
                <w:szCs w:val="21"/>
              </w:rPr>
              <w:t>G、转运时采取槽车密闭输送。</w:t>
            </w:r>
          </w:p>
          <w:p>
            <w:pPr>
              <w:spacing w:line="360" w:lineRule="auto"/>
              <w:ind w:firstLine="420" w:firstLineChars="200"/>
              <w:rPr>
                <w:szCs w:val="21"/>
              </w:rPr>
            </w:pPr>
            <w:r>
              <w:rPr>
                <w:szCs w:val="21"/>
              </w:rPr>
              <w:t>H、尽量避免在雨天和大雾天转运。</w:t>
            </w:r>
          </w:p>
          <w:p>
            <w:pPr>
              <w:spacing w:line="360" w:lineRule="auto"/>
              <w:ind w:firstLine="420" w:firstLineChars="200"/>
              <w:rPr>
                <w:szCs w:val="21"/>
              </w:rPr>
            </w:pPr>
            <w:r>
              <w:rPr>
                <w:szCs w:val="21"/>
              </w:rPr>
              <w:t>本项目根据《非常规油气开采含油污泥处理处置技术规范》（SYT 7481-2020）中要求，全面推行清洁生产，按照</w:t>
            </w:r>
            <w:r>
              <w:rPr>
                <w:rFonts w:ascii="宋体" w:hAnsi="宋体"/>
                <w:szCs w:val="21"/>
              </w:rPr>
              <w:t>“</w:t>
            </w:r>
            <w:r>
              <w:rPr>
                <w:szCs w:val="21"/>
              </w:rPr>
              <w:t>减量化、资源化、无害化</w:t>
            </w:r>
            <w:r>
              <w:rPr>
                <w:rFonts w:ascii="宋体" w:hAnsi="宋体"/>
                <w:szCs w:val="21"/>
              </w:rPr>
              <w:t>”</w:t>
            </w:r>
            <w:r>
              <w:rPr>
                <w:szCs w:val="21"/>
              </w:rPr>
              <w:t>的原则，从勘探的全过程，减少含油污泥的产生量，满足在收集、暂存、转运、处理、利用及处置各个环节应采取相应的防渗漏、防扬撒、防渗漏措施。</w:t>
            </w:r>
          </w:p>
          <w:p>
            <w:pPr>
              <w:spacing w:line="360" w:lineRule="auto"/>
              <w:ind w:firstLine="422" w:firstLineChars="200"/>
              <w:rPr>
                <w:b/>
                <w:szCs w:val="21"/>
              </w:rPr>
            </w:pPr>
            <w:r>
              <w:rPr>
                <w:b/>
                <w:szCs w:val="21"/>
              </w:rPr>
              <w:fldChar w:fldCharType="begin"/>
            </w:r>
            <w:r>
              <w:rPr>
                <w:b/>
                <w:szCs w:val="21"/>
              </w:rPr>
              <w:instrText xml:space="preserve"> </w:instrText>
            </w:r>
            <w:r>
              <w:rPr>
                <w:rFonts w:hint="eastAsia"/>
                <w:b/>
                <w:szCs w:val="21"/>
              </w:rPr>
              <w:instrText xml:space="preserve">= 4 \* GB3</w:instrText>
            </w:r>
            <w:r>
              <w:rPr>
                <w:b/>
                <w:szCs w:val="21"/>
              </w:rPr>
              <w:instrText xml:space="preserve"> </w:instrText>
            </w:r>
            <w:r>
              <w:rPr>
                <w:b/>
                <w:szCs w:val="21"/>
              </w:rPr>
              <w:fldChar w:fldCharType="separate"/>
            </w:r>
            <w:r>
              <w:rPr>
                <w:rFonts w:hint="eastAsia"/>
                <w:b/>
                <w:szCs w:val="21"/>
              </w:rPr>
              <w:t>④</w:t>
            </w:r>
            <w:r>
              <w:rPr>
                <w:b/>
                <w:szCs w:val="21"/>
              </w:rPr>
              <w:fldChar w:fldCharType="end"/>
            </w:r>
            <w:r>
              <w:rPr>
                <w:rFonts w:hint="eastAsia"/>
                <w:b/>
                <w:szCs w:val="21"/>
              </w:rPr>
              <w:t>生活垃圾处置措施可行性分析</w:t>
            </w:r>
          </w:p>
          <w:p>
            <w:pPr>
              <w:spacing w:line="360" w:lineRule="auto"/>
              <w:ind w:firstLine="420" w:firstLineChars="200"/>
              <w:rPr>
                <w:szCs w:val="21"/>
              </w:rPr>
            </w:pPr>
            <w:r>
              <w:rPr>
                <w:rFonts w:hint="eastAsia"/>
                <w:szCs w:val="21"/>
              </w:rPr>
              <w:t>钻井队作业人员的生活垃圾储存于生活垃圾桶，交由当地环卫部门处理，措施可行。</w:t>
            </w:r>
          </w:p>
          <w:p>
            <w:pPr>
              <w:spacing w:line="360" w:lineRule="auto"/>
              <w:ind w:firstLine="420" w:firstLineChars="200"/>
              <w:rPr>
                <w:szCs w:val="21"/>
              </w:rPr>
            </w:pPr>
            <w:r>
              <w:rPr>
                <w:szCs w:val="21"/>
              </w:rPr>
              <w:fldChar w:fldCharType="begin"/>
            </w:r>
            <w:r>
              <w:rPr>
                <w:szCs w:val="21"/>
              </w:rPr>
              <w:instrText xml:space="preserve"> </w:instrText>
            </w:r>
            <w:r>
              <w:rPr>
                <w:rFonts w:hint="eastAsia"/>
                <w:szCs w:val="21"/>
              </w:rPr>
              <w:instrText xml:space="preserve">= 5 \* GB3</w:instrText>
            </w:r>
            <w:r>
              <w:rPr>
                <w:szCs w:val="21"/>
              </w:rPr>
              <w:instrText xml:space="preserve"> </w:instrText>
            </w:r>
            <w:r>
              <w:rPr>
                <w:szCs w:val="21"/>
              </w:rPr>
              <w:fldChar w:fldCharType="separate"/>
            </w:r>
            <w:r>
              <w:rPr>
                <w:rFonts w:hint="eastAsia"/>
                <w:szCs w:val="21"/>
              </w:rPr>
              <w:t>⑤</w:t>
            </w:r>
            <w:r>
              <w:rPr>
                <w:szCs w:val="21"/>
              </w:rPr>
              <w:fldChar w:fldCharType="end"/>
            </w:r>
            <w:r>
              <w:rPr>
                <w:rFonts w:hint="eastAsia"/>
                <w:szCs w:val="21"/>
              </w:rPr>
              <w:t>废包装材料处置措施可行性分析</w:t>
            </w:r>
          </w:p>
          <w:p>
            <w:pPr>
              <w:spacing w:line="360" w:lineRule="auto"/>
              <w:ind w:firstLine="420" w:firstLineChars="200"/>
              <w:rPr>
                <w:szCs w:val="21"/>
              </w:rPr>
            </w:pPr>
            <w:r>
              <w:rPr>
                <w:rFonts w:hint="eastAsia"/>
                <w:szCs w:val="21"/>
              </w:rPr>
              <w:t>钻井期间产生的废包装材料主要为各原辅材料的包装袋，产生量较少，收集后全部回收利用。</w:t>
            </w:r>
          </w:p>
          <w:p>
            <w:pPr>
              <w:spacing w:line="360" w:lineRule="auto"/>
              <w:ind w:firstLine="420" w:firstLineChars="200"/>
              <w:rPr>
                <w:bCs/>
                <w:szCs w:val="21"/>
              </w:rPr>
            </w:pPr>
            <w:r>
              <w:rPr>
                <w:bCs/>
                <w:szCs w:val="21"/>
              </w:rPr>
              <w:t>综上所述，本项目固体废物对周边环境影响较小。</w:t>
            </w:r>
          </w:p>
          <w:p>
            <w:pPr>
              <w:spacing w:line="360" w:lineRule="auto"/>
              <w:rPr>
                <w:b/>
                <w:bCs/>
                <w:szCs w:val="21"/>
              </w:rPr>
            </w:pPr>
            <w:r>
              <w:rPr>
                <w:b/>
                <w:bCs/>
                <w:szCs w:val="21"/>
              </w:rPr>
              <w:t>5.5地下水防治措施可行性分析</w:t>
            </w:r>
          </w:p>
          <w:p>
            <w:pPr>
              <w:spacing w:line="360" w:lineRule="auto"/>
              <w:ind w:firstLine="420" w:firstLineChars="200"/>
              <w:rPr>
                <w:szCs w:val="21"/>
              </w:rPr>
            </w:pPr>
            <w:r>
              <w:rPr>
                <w:szCs w:val="21"/>
              </w:rPr>
              <w:t>（1）源头控制</w:t>
            </w:r>
          </w:p>
          <w:p>
            <w:pPr>
              <w:spacing w:line="360" w:lineRule="auto"/>
              <w:ind w:firstLine="420" w:firstLineChars="200"/>
              <w:rPr>
                <w:szCs w:val="21"/>
              </w:rPr>
            </w:pPr>
            <w:r>
              <w:rPr>
                <w:szCs w:val="21"/>
              </w:rPr>
              <w:t>钻井设计中采取先进的钻井方案和清洁钻井液体系，导管段采用清水钻进，一开~</w:t>
            </w:r>
            <w:r>
              <w:rPr>
                <w:rFonts w:hint="eastAsia"/>
                <w:szCs w:val="21"/>
              </w:rPr>
              <w:t>三开</w:t>
            </w:r>
            <w:r>
              <w:rPr>
                <w:szCs w:val="21"/>
              </w:rPr>
              <w:t>井段均采用水基钻井液钻井。评价提出井场储备足够的堵漏剂，堵漏剂的选取应考虑清洁、无毒、对人体无害，环境污染轻的种类。通过实施清洁化操作，能够减少新鲜水用量，实行清污分流，减少污水产生量。岩屑堆放区</w:t>
            </w:r>
            <w:r>
              <w:rPr>
                <w:rFonts w:hint="eastAsia"/>
                <w:szCs w:val="21"/>
              </w:rPr>
              <w:t>已建设</w:t>
            </w:r>
            <w:r>
              <w:rPr>
                <w:szCs w:val="21"/>
              </w:rPr>
              <w:t>雨棚。经济技术可行。</w:t>
            </w:r>
          </w:p>
          <w:p>
            <w:pPr>
              <w:spacing w:line="360" w:lineRule="auto"/>
              <w:ind w:firstLine="420" w:firstLineChars="200"/>
              <w:rPr>
                <w:szCs w:val="21"/>
              </w:rPr>
            </w:pPr>
            <w:r>
              <w:rPr>
                <w:szCs w:val="21"/>
              </w:rPr>
              <w:t>（2）防渗分区及防渗措施</w:t>
            </w:r>
          </w:p>
          <w:p>
            <w:pPr>
              <w:spacing w:line="360" w:lineRule="auto"/>
              <w:ind w:firstLine="420" w:firstLineChars="200"/>
              <w:rPr>
                <w:szCs w:val="21"/>
              </w:rPr>
            </w:pPr>
            <w:r>
              <w:rPr>
                <w:szCs w:val="21"/>
              </w:rPr>
              <w:t>重点防渗区：井口区、井架基础区、井场设备基础硬化区（柴油机动力区、泥浆泵区、发电房和气源房基础区、循环系统）、清洁生产操作平台、岩屑堆放区、油罐区、放喷池、应急池、集酸坑和临时储酸罐区。</w:t>
            </w:r>
          </w:p>
          <w:p>
            <w:pPr>
              <w:spacing w:line="360" w:lineRule="auto"/>
              <w:ind w:firstLine="420" w:firstLineChars="200"/>
              <w:rPr>
                <w:szCs w:val="21"/>
              </w:rPr>
            </w:pPr>
            <w:r>
              <w:rPr>
                <w:szCs w:val="21"/>
              </w:rPr>
              <w:t>防渗要求：</w:t>
            </w:r>
            <w:r>
              <w:rPr>
                <w:rFonts w:hint="eastAsia"/>
                <w:szCs w:val="21"/>
              </w:rPr>
              <w:t>各区域防渗要求满足</w:t>
            </w:r>
            <w:r>
              <w:rPr>
                <w:szCs w:val="21"/>
              </w:rPr>
              <w:t>等效黏土防渗层厚度大于等于6m，渗透系数小于等于10</w:t>
            </w:r>
            <w:r>
              <w:rPr>
                <w:szCs w:val="21"/>
                <w:vertAlign w:val="superscript"/>
              </w:rPr>
              <w:t>-7</w:t>
            </w:r>
            <w:r>
              <w:rPr>
                <w:szCs w:val="21"/>
              </w:rPr>
              <w:t>cm/s。</w:t>
            </w:r>
          </w:p>
          <w:p>
            <w:pPr>
              <w:spacing w:line="360" w:lineRule="auto"/>
              <w:ind w:firstLine="420" w:firstLineChars="200"/>
              <w:rPr>
                <w:szCs w:val="21"/>
              </w:rPr>
            </w:pPr>
            <w:r>
              <w:rPr>
                <w:szCs w:val="21"/>
              </w:rPr>
              <w:t>后期临时储酸罐区可布置在岩屑堆放区利用其雨棚、挡墙围堰和地面防渗措施。</w:t>
            </w:r>
          </w:p>
          <w:p>
            <w:pPr>
              <w:spacing w:line="360" w:lineRule="auto"/>
              <w:ind w:firstLine="420" w:firstLineChars="200"/>
              <w:rPr>
                <w:szCs w:val="21"/>
              </w:rPr>
            </w:pPr>
            <w:r>
              <w:rPr>
                <w:szCs w:val="21"/>
              </w:rPr>
              <w:t>一般防渗区：泥浆储备罐区、隔油池、</w:t>
            </w:r>
            <w:r>
              <w:rPr>
                <w:rFonts w:hint="eastAsia"/>
                <w:szCs w:val="21"/>
              </w:rPr>
              <w:t>清污分流区域、旱厕、井场部分</w:t>
            </w:r>
            <w:r>
              <w:rPr>
                <w:szCs w:val="21"/>
              </w:rPr>
              <w:t>。防渗要求：</w:t>
            </w:r>
            <w:r>
              <w:rPr>
                <w:rFonts w:hint="eastAsia"/>
                <w:szCs w:val="21"/>
              </w:rPr>
              <w:t>上述区域防渗要求满足</w:t>
            </w:r>
            <w:r>
              <w:rPr>
                <w:szCs w:val="21"/>
              </w:rPr>
              <w:t>等效黏土防渗层厚度大于等于1.5m，渗透系数小于等于10</w:t>
            </w:r>
            <w:r>
              <w:rPr>
                <w:szCs w:val="21"/>
                <w:vertAlign w:val="superscript"/>
              </w:rPr>
              <w:t>-7</w:t>
            </w:r>
            <w:r>
              <w:rPr>
                <w:szCs w:val="21"/>
              </w:rPr>
              <w:t>cm/s。</w:t>
            </w:r>
          </w:p>
          <w:p>
            <w:pPr>
              <w:spacing w:line="360" w:lineRule="auto"/>
              <w:ind w:firstLine="420" w:firstLineChars="200"/>
              <w:rPr>
                <w:bCs/>
                <w:szCs w:val="21"/>
              </w:rPr>
            </w:pPr>
            <w:r>
              <w:rPr>
                <w:bCs/>
                <w:kern w:val="0"/>
                <w:szCs w:val="21"/>
                <w:lang w:bidi="ar"/>
              </w:rPr>
              <w:t>结合混凝防渗性能分析，设计中采取的防渗措施总体</w:t>
            </w:r>
            <w:r>
              <w:rPr>
                <w:bCs/>
                <w:szCs w:val="21"/>
              </w:rPr>
              <w:t>满足防渗要求。</w:t>
            </w:r>
          </w:p>
          <w:p>
            <w:pPr>
              <w:spacing w:line="360" w:lineRule="auto"/>
              <w:ind w:firstLine="420" w:firstLineChars="200"/>
              <w:rPr>
                <w:bCs/>
                <w:szCs w:val="21"/>
              </w:rPr>
            </w:pPr>
            <w:r>
              <w:rPr>
                <w:bCs/>
                <w:szCs w:val="21"/>
              </w:rPr>
              <w:t>（3）地下水保护措施</w:t>
            </w:r>
          </w:p>
          <w:p>
            <w:pPr>
              <w:spacing w:line="360" w:lineRule="auto"/>
              <w:ind w:firstLine="420" w:firstLineChars="200"/>
              <w:jc w:val="left"/>
              <w:rPr>
                <w:szCs w:val="21"/>
              </w:rPr>
            </w:pPr>
            <w:r>
              <w:rPr>
                <w:szCs w:val="21"/>
              </w:rPr>
              <w:t>通过采取地下水防治措施可有效保护项目所在地地下水环境，合理选址和分区防渗、重点防护等措施在天然气井建设项目中已多次成功应用，地下水防治措施可行，本项目建设正常工况下对当地居民取水水井地下水环境影响较小，但在事故工况下会对区域地下水含水成造成一定范围的超标影响。居民水井一旦受本项目影响，居民饮用水供给得不到有效保障，环境影响后果较大，故本评价建议在发生地下水污染事故时，若发现地下水受到污染，立即告知村民停止饮用地下水源，启动地下水应急监测方案，因本项目导致周边居民饮水及生产用水困难时，由建设单位应解决居民用水问题，临时拉运自来水或外购桶装水等方式解决居民用水问题，直到居民饮水问题得以解决。</w:t>
            </w:r>
          </w:p>
          <w:p>
            <w:pPr>
              <w:spacing w:line="360" w:lineRule="auto"/>
              <w:ind w:firstLine="420" w:firstLineChars="200"/>
              <w:jc w:val="left"/>
              <w:rPr>
                <w:szCs w:val="21"/>
              </w:rPr>
            </w:pPr>
            <w:r>
              <w:rPr>
                <w:szCs w:val="21"/>
              </w:rPr>
              <w:t>综上所述，通过采取上述地下水防治措施可有效保护项目所在地地下水环境，减轻地下水环境影响。本项目采取的合理选址、分区防渗、源头控制、优化工艺、应急响应等措施在钻井项目中已多次成功应用，地下水防治措施可行。</w:t>
            </w:r>
          </w:p>
          <w:p>
            <w:pPr>
              <w:spacing w:line="360" w:lineRule="auto"/>
              <w:rPr>
                <w:b/>
                <w:bCs/>
                <w:szCs w:val="21"/>
              </w:rPr>
            </w:pPr>
            <w:r>
              <w:rPr>
                <w:b/>
                <w:bCs/>
                <w:szCs w:val="21"/>
              </w:rPr>
              <w:t>5.6环境风险影响分析及措施可行性分析</w:t>
            </w:r>
          </w:p>
          <w:p>
            <w:pPr>
              <w:spacing w:line="360" w:lineRule="auto"/>
              <w:rPr>
                <w:b/>
                <w:bCs/>
                <w:szCs w:val="21"/>
              </w:rPr>
            </w:pPr>
            <w:r>
              <w:rPr>
                <w:b/>
                <w:bCs/>
                <w:szCs w:val="21"/>
              </w:rPr>
              <w:t>5.6.1井喷风险防范措施</w:t>
            </w:r>
          </w:p>
          <w:p>
            <w:pPr>
              <w:spacing w:line="360" w:lineRule="auto"/>
              <w:ind w:firstLine="420" w:firstLineChars="200"/>
              <w:rPr>
                <w:bCs/>
                <w:szCs w:val="21"/>
              </w:rPr>
            </w:pPr>
            <w:r>
              <w:rPr>
                <w:bCs/>
                <w:szCs w:val="21"/>
              </w:rPr>
              <w:t>井喷发生后，应立即组织首先撤离井口周边500m的居民。井喷失控后，在15min内完成井口点火燃烧泄漏天然气。将天然气燃烧转化为CO</w:t>
            </w:r>
            <w:r>
              <w:rPr>
                <w:bCs/>
                <w:szCs w:val="21"/>
                <w:vertAlign w:val="subscript"/>
              </w:rPr>
              <w:t>2</w:t>
            </w:r>
            <w:r>
              <w:rPr>
                <w:bCs/>
                <w:szCs w:val="21"/>
              </w:rPr>
              <w:t>和H</w:t>
            </w:r>
            <w:r>
              <w:rPr>
                <w:bCs/>
                <w:szCs w:val="21"/>
                <w:vertAlign w:val="subscript"/>
              </w:rPr>
              <w:t>2</w:t>
            </w:r>
            <w:r>
              <w:rPr>
                <w:bCs/>
                <w:szCs w:val="21"/>
              </w:rPr>
              <w:t>O。放喷燃烧期间井口外500m范围内确保无居民。点火应监测甲烷浓度，取5.0%和15%作为甲烷的爆炸上、下限区域，防止爆炸事故。</w:t>
            </w:r>
          </w:p>
          <w:p>
            <w:pPr>
              <w:spacing w:line="360" w:lineRule="auto"/>
              <w:rPr>
                <w:bCs/>
                <w:szCs w:val="21"/>
              </w:rPr>
            </w:pPr>
            <w:r>
              <w:rPr>
                <w:b/>
                <w:bCs/>
                <w:szCs w:val="21"/>
              </w:rPr>
              <w:t>5.6.2防柴油、油类外溢措施</w:t>
            </w:r>
          </w:p>
          <w:p>
            <w:pPr>
              <w:spacing w:line="360" w:lineRule="auto"/>
              <w:ind w:firstLine="420" w:firstLineChars="200"/>
              <w:rPr>
                <w:bCs/>
                <w:szCs w:val="21"/>
              </w:rPr>
            </w:pPr>
            <w:r>
              <w:rPr>
                <w:bCs/>
                <w:szCs w:val="21"/>
              </w:rPr>
              <w:t>（1）加强柴油罐、废油桶收集罐的维护保养，避免柴油、油类泄漏事件的发生。</w:t>
            </w:r>
          </w:p>
          <w:p>
            <w:pPr>
              <w:spacing w:line="360" w:lineRule="auto"/>
              <w:ind w:firstLine="420" w:firstLineChars="200"/>
              <w:rPr>
                <w:bCs/>
                <w:szCs w:val="21"/>
              </w:rPr>
            </w:pPr>
            <w:r>
              <w:rPr>
                <w:bCs/>
                <w:szCs w:val="21"/>
              </w:rPr>
              <w:t>（2）加强柴油、油类运输车辆的维护，确保车辆和连接管道处于良好状态。</w:t>
            </w:r>
          </w:p>
          <w:p>
            <w:pPr>
              <w:spacing w:line="360" w:lineRule="auto"/>
              <w:ind w:firstLine="420" w:firstLineChars="200"/>
              <w:rPr>
                <w:bCs/>
                <w:szCs w:val="21"/>
              </w:rPr>
            </w:pPr>
            <w:r>
              <w:rPr>
                <w:bCs/>
                <w:szCs w:val="21"/>
              </w:rPr>
              <w:t>（3）加强员工风险防范意识教育，严格按操作规程操作。在柴油、油类转运时，应对油罐及连接管道等进行严格检查，确保在不存在隐患的情况下进行转运。</w:t>
            </w:r>
          </w:p>
          <w:p>
            <w:pPr>
              <w:spacing w:line="360" w:lineRule="auto"/>
              <w:ind w:firstLine="420" w:firstLineChars="200"/>
              <w:rPr>
                <w:bCs/>
                <w:szCs w:val="21"/>
              </w:rPr>
            </w:pPr>
            <w:r>
              <w:rPr>
                <w:bCs/>
                <w:szCs w:val="21"/>
              </w:rPr>
              <w:t>（4）在油罐周围设0.3m高围堰（容积为20m</w:t>
            </w:r>
            <w:r>
              <w:rPr>
                <w:bCs/>
                <w:szCs w:val="21"/>
                <w:vertAlign w:val="superscript"/>
              </w:rPr>
              <w:t>3</w:t>
            </w:r>
            <w:r>
              <w:rPr>
                <w:bCs/>
                <w:szCs w:val="21"/>
              </w:rPr>
              <w:t>），正常情况下应保证应急池有足够的容积，确保事故时能将泄漏的柴油导流至应急池。</w:t>
            </w:r>
          </w:p>
          <w:p>
            <w:pPr>
              <w:spacing w:line="360" w:lineRule="auto"/>
              <w:ind w:firstLine="420" w:firstLineChars="200"/>
              <w:rPr>
                <w:bCs/>
                <w:szCs w:val="21"/>
              </w:rPr>
            </w:pPr>
            <w:r>
              <w:rPr>
                <w:bCs/>
                <w:szCs w:val="21"/>
              </w:rPr>
              <w:t>（5）在泥浆储备罐区域周围设置围堰，围堰高0.3m（容积为10m</w:t>
            </w:r>
            <w:r>
              <w:rPr>
                <w:bCs/>
                <w:szCs w:val="21"/>
                <w:vertAlign w:val="superscript"/>
              </w:rPr>
              <w:t>3</w:t>
            </w:r>
            <w:r>
              <w:rPr>
                <w:bCs/>
                <w:szCs w:val="21"/>
              </w:rPr>
              <w:t>）。</w:t>
            </w:r>
          </w:p>
          <w:p>
            <w:pPr>
              <w:spacing w:line="360" w:lineRule="auto"/>
              <w:ind w:firstLine="420" w:firstLineChars="200"/>
              <w:rPr>
                <w:bCs/>
                <w:szCs w:val="21"/>
              </w:rPr>
            </w:pPr>
            <w:r>
              <w:rPr>
                <w:bCs/>
                <w:szCs w:val="21"/>
              </w:rPr>
              <w:t>（6）柴油罐区围堰内地坪、泥浆储备罐区地盘采用混凝土地坪，并进行防渗漏处理</w:t>
            </w:r>
          </w:p>
          <w:p>
            <w:pPr>
              <w:spacing w:line="360" w:lineRule="auto"/>
              <w:rPr>
                <w:b/>
                <w:bCs/>
                <w:szCs w:val="21"/>
              </w:rPr>
            </w:pPr>
            <w:r>
              <w:rPr>
                <w:b/>
                <w:bCs/>
                <w:szCs w:val="21"/>
              </w:rPr>
              <w:t>5.6.3井漏防范措施</w:t>
            </w:r>
          </w:p>
          <w:p>
            <w:pPr>
              <w:spacing w:line="360" w:lineRule="auto"/>
              <w:ind w:firstLine="420" w:firstLineChars="200"/>
              <w:rPr>
                <w:bCs/>
                <w:szCs w:val="21"/>
              </w:rPr>
            </w:pPr>
            <w:r>
              <w:rPr>
                <w:bCs/>
                <w:szCs w:val="21"/>
              </w:rPr>
              <w:t>在钻井过程中对井漏应坚持预防为主的原则，主要包括避开复杂地质环境、选用和维持较低的井筒内钻井介质压力、提高地层承压能力等防范措施：</w:t>
            </w:r>
          </w:p>
          <w:p>
            <w:pPr>
              <w:spacing w:line="360" w:lineRule="auto"/>
              <w:ind w:firstLine="420" w:firstLineChars="200"/>
              <w:rPr>
                <w:bCs/>
                <w:szCs w:val="21"/>
              </w:rPr>
            </w:pPr>
            <w:r>
              <w:rPr>
                <w:bCs/>
                <w:szCs w:val="21"/>
              </w:rPr>
              <w:t>（1）通过地质勘探合理选址</w:t>
            </w:r>
          </w:p>
          <w:p>
            <w:pPr>
              <w:spacing w:line="360" w:lineRule="auto"/>
              <w:ind w:firstLine="420" w:firstLineChars="200"/>
              <w:rPr>
                <w:bCs/>
                <w:szCs w:val="21"/>
              </w:rPr>
            </w:pPr>
            <w:r>
              <w:rPr>
                <w:bCs/>
                <w:szCs w:val="21"/>
              </w:rPr>
              <w:t>根据对地区构造</w:t>
            </w:r>
            <w:r>
              <w:rPr>
                <w:rFonts w:hint="eastAsia"/>
                <w:bCs/>
                <w:szCs w:val="21"/>
              </w:rPr>
              <w:t>以及</w:t>
            </w:r>
            <w:r>
              <w:rPr>
                <w:bCs/>
                <w:szCs w:val="21"/>
              </w:rPr>
              <w:t>钻井地质资料分析，业主单位结合区域水文地质资料，合理选择井眼位置，确保导管段避开溶洞和暗河等复杂地质，从井位选择上降低钻井工程风险。</w:t>
            </w:r>
          </w:p>
          <w:p>
            <w:pPr>
              <w:spacing w:line="360" w:lineRule="auto"/>
              <w:ind w:firstLine="420" w:firstLineChars="200"/>
              <w:rPr>
                <w:bCs/>
                <w:szCs w:val="21"/>
              </w:rPr>
            </w:pPr>
            <w:r>
              <w:rPr>
                <w:bCs/>
                <w:szCs w:val="21"/>
              </w:rPr>
              <w:t>（2）降低井下环空压耗</w:t>
            </w:r>
          </w:p>
          <w:p>
            <w:pPr>
              <w:spacing w:line="360" w:lineRule="auto"/>
              <w:ind w:firstLine="420" w:firstLineChars="200"/>
              <w:rPr>
                <w:bCs/>
                <w:szCs w:val="21"/>
              </w:rPr>
            </w:pPr>
            <w:r>
              <w:rPr>
                <w:bCs/>
                <w:szCs w:val="21"/>
              </w:rPr>
              <w:t>在保证钻井介质（钻井泥浆）能携带钻屑的前提下，尽可能降低钻井介质粘度，提高泥饼质量，防止因井壁泥饼较厚起环空间隙较小，导致环空压耗增大。</w:t>
            </w:r>
          </w:p>
          <w:p>
            <w:pPr>
              <w:spacing w:line="360" w:lineRule="auto"/>
              <w:ind w:firstLine="420" w:firstLineChars="200"/>
              <w:rPr>
                <w:bCs/>
                <w:szCs w:val="21"/>
              </w:rPr>
            </w:pPr>
            <w:r>
              <w:rPr>
                <w:bCs/>
                <w:szCs w:val="21"/>
              </w:rPr>
              <w:t>（3）提高地层承压能力地层的漏失主要取决于地层的特性，通过人为的方法提高地层的承压能力，封堵漏失孔道，从而达到防漏的目的。</w:t>
            </w:r>
          </w:p>
          <w:p>
            <w:pPr>
              <w:spacing w:line="360" w:lineRule="auto"/>
              <w:ind w:firstLine="420" w:firstLineChars="200"/>
              <w:rPr>
                <w:bCs/>
                <w:szCs w:val="21"/>
              </w:rPr>
            </w:pPr>
            <w:r>
              <w:rPr>
                <w:bCs/>
                <w:szCs w:val="21"/>
              </w:rPr>
              <w:t>项目建设存在一定环境风险，主要为废水泄漏外溢和井喷，但事故发生概率低。在严格按照各类作业操作规程进行施工作业，严格执行报告提出的风险防范措施并制定环境风险应急预案后，项目环境风险处于可接受水平。</w:t>
            </w:r>
          </w:p>
          <w:p>
            <w:pPr>
              <w:spacing w:line="360" w:lineRule="auto"/>
              <w:rPr>
                <w:szCs w:val="21"/>
              </w:rPr>
            </w:pPr>
            <w:r>
              <w:rPr>
                <w:b/>
                <w:bCs/>
                <w:szCs w:val="21"/>
              </w:rPr>
              <w:t>5.7土壤环境影响保护</w:t>
            </w:r>
            <w:r>
              <w:rPr>
                <w:b/>
                <w:szCs w:val="21"/>
              </w:rPr>
              <w:t>措施可行性分析</w:t>
            </w:r>
          </w:p>
          <w:p>
            <w:pPr>
              <w:adjustRightInd w:val="0"/>
              <w:snapToGrid w:val="0"/>
              <w:spacing w:line="360" w:lineRule="auto"/>
              <w:ind w:firstLine="420" w:firstLineChars="200"/>
              <w:rPr>
                <w:szCs w:val="21"/>
              </w:rPr>
            </w:pPr>
            <w:r>
              <w:rPr>
                <w:szCs w:val="21"/>
              </w:rPr>
              <w:t>针对可能对土壤造成的影响，本项目拟采取以下措施：</w:t>
            </w:r>
          </w:p>
          <w:p>
            <w:pPr>
              <w:adjustRightInd w:val="0"/>
              <w:snapToGrid w:val="0"/>
              <w:spacing w:line="360" w:lineRule="auto"/>
              <w:ind w:firstLine="420" w:firstLineChars="200"/>
              <w:rPr>
                <w:szCs w:val="21"/>
              </w:rPr>
            </w:pPr>
            <w:r>
              <w:rPr>
                <w:rFonts w:hint="eastAsia" w:ascii="宋体" w:hAnsi="宋体" w:cs="宋体"/>
                <w:szCs w:val="21"/>
              </w:rPr>
              <w:t>（1）</w:t>
            </w:r>
            <w:r>
              <w:rPr>
                <w:szCs w:val="21"/>
              </w:rPr>
              <w:t>本项目采用</w:t>
            </w:r>
            <w:r>
              <w:rPr>
                <w:rFonts w:ascii="宋体" w:hAnsi="宋体"/>
                <w:szCs w:val="21"/>
              </w:rPr>
              <w:t>“</w:t>
            </w:r>
            <w:r>
              <w:rPr>
                <w:szCs w:val="21"/>
              </w:rPr>
              <w:t>泥浆不落地工艺</w:t>
            </w:r>
            <w:r>
              <w:rPr>
                <w:rFonts w:ascii="宋体" w:hAnsi="宋体"/>
                <w:szCs w:val="21"/>
              </w:rPr>
              <w:t>”</w:t>
            </w:r>
            <w:r>
              <w:rPr>
                <w:szCs w:val="21"/>
              </w:rPr>
              <w:t>，钻井期间产生的岩屑通过岩屑罐收集后及时外运资源化利用，油类通过废油桶收集后回收利用；而项目产生的钻井废水、洗井废水、</w:t>
            </w:r>
            <w:r>
              <w:rPr>
                <w:rFonts w:hint="eastAsia"/>
                <w:szCs w:val="21"/>
              </w:rPr>
              <w:t>场地</w:t>
            </w:r>
            <w:r>
              <w:rPr>
                <w:szCs w:val="21"/>
              </w:rPr>
              <w:t>雨水</w:t>
            </w:r>
            <w:r>
              <w:rPr>
                <w:rFonts w:hint="eastAsia"/>
                <w:szCs w:val="21"/>
              </w:rPr>
              <w:t>用于配置压裂液，不能回用时</w:t>
            </w:r>
            <w:r>
              <w:rPr>
                <w:szCs w:val="21"/>
              </w:rPr>
              <w:t>及时拉运至四川瑞利生物科技有限公司处置。因此项目产生的各类污染物均能得到有效处置，从根本上消除了对周边土壤环境的污染隐患。</w:t>
            </w:r>
          </w:p>
          <w:p>
            <w:pPr>
              <w:adjustRightInd w:val="0"/>
              <w:snapToGrid w:val="0"/>
              <w:spacing w:line="360" w:lineRule="auto"/>
              <w:ind w:firstLine="420" w:firstLineChars="200"/>
              <w:rPr>
                <w:szCs w:val="21"/>
              </w:rPr>
            </w:pPr>
            <w:r>
              <w:rPr>
                <w:rFonts w:hint="eastAsia" w:ascii="宋体" w:hAnsi="宋体" w:cs="宋体"/>
                <w:szCs w:val="21"/>
              </w:rPr>
              <w:t>（2）</w:t>
            </w:r>
            <w:r>
              <w:rPr>
                <w:szCs w:val="21"/>
              </w:rPr>
              <w:t>本项目针对各产污单元采取了分区防渗措施，可有效防治污染物渗入地下，并及时地将泄漏、渗漏的污染物收集并进行集中处理。</w:t>
            </w:r>
          </w:p>
          <w:p>
            <w:pPr>
              <w:adjustRightInd w:val="0"/>
              <w:snapToGrid w:val="0"/>
              <w:spacing w:line="360" w:lineRule="auto"/>
              <w:ind w:firstLine="420" w:firstLineChars="200"/>
              <w:rPr>
                <w:szCs w:val="21"/>
              </w:rPr>
            </w:pPr>
            <w:r>
              <w:rPr>
                <w:rFonts w:hint="eastAsia" w:ascii="宋体" w:hAnsi="宋体" w:cs="宋体"/>
                <w:szCs w:val="21"/>
              </w:rPr>
              <w:t>（3）</w:t>
            </w:r>
            <w:r>
              <w:rPr>
                <w:szCs w:val="21"/>
              </w:rPr>
              <w:t>本项目井场采用清污分流、雨污分流制，井场内设置有污水截流沟，井场散落的污水汇入截流沟，最终可集中收集至污水罐或</w:t>
            </w:r>
            <w:r>
              <w:rPr>
                <w:rFonts w:hint="eastAsia"/>
                <w:szCs w:val="21"/>
              </w:rPr>
              <w:t>应急池</w:t>
            </w:r>
            <w:r>
              <w:rPr>
                <w:szCs w:val="21"/>
              </w:rPr>
              <w:t>内。</w:t>
            </w:r>
          </w:p>
          <w:p>
            <w:pPr>
              <w:spacing w:line="360" w:lineRule="auto"/>
              <w:ind w:firstLine="420" w:firstLineChars="200"/>
              <w:rPr>
                <w:szCs w:val="21"/>
              </w:rPr>
            </w:pPr>
            <w:r>
              <w:rPr>
                <w:szCs w:val="21"/>
              </w:rPr>
              <w:t>综上所述，项目在采取以上防控措施后，可满足相关标准要求，项目建设对土壤环境影响处于可接受水平。</w:t>
            </w:r>
          </w:p>
          <w:p>
            <w:pPr>
              <w:spacing w:line="360" w:lineRule="auto"/>
              <w:rPr>
                <w:b/>
                <w:bCs/>
                <w:szCs w:val="21"/>
              </w:rPr>
            </w:pPr>
            <w:r>
              <w:rPr>
                <w:b/>
                <w:bCs/>
                <w:szCs w:val="21"/>
              </w:rPr>
              <w:t>5.8生态保护与恢复</w:t>
            </w:r>
            <w:r>
              <w:rPr>
                <w:b/>
                <w:szCs w:val="21"/>
              </w:rPr>
              <w:t>措施可行性分析</w:t>
            </w:r>
          </w:p>
          <w:p>
            <w:pPr>
              <w:pStyle w:val="200"/>
              <w:spacing w:line="360" w:lineRule="auto"/>
              <w:ind w:firstLine="0" w:firstLineChars="0"/>
              <w:rPr>
                <w:b/>
                <w:kern w:val="2"/>
                <w:sz w:val="21"/>
                <w:szCs w:val="21"/>
              </w:rPr>
            </w:pPr>
            <w:r>
              <w:rPr>
                <w:b/>
                <w:kern w:val="2"/>
                <w:sz w:val="21"/>
                <w:szCs w:val="21"/>
              </w:rPr>
              <w:t>5.8.1施工结束后环境保护措施</w:t>
            </w:r>
          </w:p>
          <w:p>
            <w:pPr>
              <w:pStyle w:val="200"/>
              <w:spacing w:line="360" w:lineRule="auto"/>
              <w:ind w:firstLine="420"/>
              <w:rPr>
                <w:sz w:val="21"/>
                <w:szCs w:val="21"/>
              </w:rPr>
            </w:pPr>
            <w:r>
              <w:rPr>
                <w:sz w:val="21"/>
                <w:szCs w:val="21"/>
              </w:rPr>
              <w:t>工程结束后，由建设单位决定是否进行下一步施工计划，若无开采价值，则由建设单位决定井场设备全部搬迁。设备搬迁完成后即对场地内设施进行拆除，如清除场地碎石、拆除硬化地面及设备基础、拆除旱厕等。由此将产生场地碎石、硬化地面及防渗、旱厕等设施拆除废物，作为建筑废渣处理。</w:t>
            </w:r>
          </w:p>
          <w:p>
            <w:pPr>
              <w:pStyle w:val="200"/>
              <w:spacing w:line="360" w:lineRule="auto"/>
              <w:ind w:firstLine="420"/>
              <w:rPr>
                <w:sz w:val="21"/>
                <w:szCs w:val="21"/>
              </w:rPr>
            </w:pPr>
            <w:r>
              <w:rPr>
                <w:sz w:val="21"/>
                <w:szCs w:val="21"/>
              </w:rPr>
              <w:t>（1）临时用地先清除地表的建筑，再用井场、应急池和填埋池建设时的表层土作为种植土，进行植被恢复。恢复流程为：钻井完成→拆除建（构）筑物→清理场地→人工松土→将土覆盖→整理摊铺耕植土方→交付农民复耕。</w:t>
            </w:r>
          </w:p>
          <w:p>
            <w:pPr>
              <w:pStyle w:val="200"/>
              <w:spacing w:line="360" w:lineRule="auto"/>
              <w:ind w:firstLine="420"/>
              <w:rPr>
                <w:sz w:val="21"/>
                <w:szCs w:val="21"/>
              </w:rPr>
            </w:pPr>
            <w:r>
              <w:rPr>
                <w:sz w:val="21"/>
                <w:szCs w:val="21"/>
              </w:rPr>
              <w:t>（2）油气测试完毕后，拆除放喷池周围的砖墙，并进行回收。清除放喷测试留下的痕迹，再用井场和应急池建设时的表层土进行覆盖，然后进行植被的恢复。根据现场调查情况看，放喷池占地为水田，工程完工后可进行土地功能的恢复。</w:t>
            </w:r>
          </w:p>
          <w:p>
            <w:pPr>
              <w:pStyle w:val="200"/>
              <w:spacing w:line="360" w:lineRule="auto"/>
              <w:ind w:firstLine="420"/>
              <w:rPr>
                <w:sz w:val="21"/>
                <w:szCs w:val="21"/>
              </w:rPr>
            </w:pPr>
            <w:r>
              <w:rPr>
                <w:sz w:val="21"/>
                <w:szCs w:val="21"/>
              </w:rPr>
              <w:t>（3）人工拆除临时占地基础。将井场建设保留的耕植土直接摊铺覆盖于场面上，然后进行植被的恢复，可进行农业生产，也可种植经济林木等。</w:t>
            </w:r>
          </w:p>
          <w:p>
            <w:pPr>
              <w:pStyle w:val="200"/>
              <w:spacing w:line="360" w:lineRule="auto"/>
              <w:ind w:firstLine="420"/>
              <w:rPr>
                <w:sz w:val="21"/>
                <w:szCs w:val="21"/>
              </w:rPr>
            </w:pPr>
            <w:r>
              <w:rPr>
                <w:sz w:val="21"/>
                <w:szCs w:val="21"/>
              </w:rPr>
              <w:t>（4）为尽快恢复土地功能，可增施肥料，加强灌溉，以改良土壤结构及其理化性质，提高土壤的保肥保水能力，恢复土壤生产能力。井场涉及用地类型主要为耕地，复垦确保与周边现状一致。建设初期采用表土分层剥离、存放，分层回填，预防措施得当，复垦后，对土壤进行翻耕、平整及培肥改良。</w:t>
            </w:r>
          </w:p>
          <w:p>
            <w:pPr>
              <w:pStyle w:val="200"/>
              <w:spacing w:line="360" w:lineRule="auto"/>
              <w:ind w:firstLine="0" w:firstLineChars="0"/>
              <w:rPr>
                <w:b/>
                <w:kern w:val="2"/>
                <w:sz w:val="21"/>
                <w:szCs w:val="21"/>
              </w:rPr>
            </w:pPr>
            <w:r>
              <w:rPr>
                <w:b/>
                <w:kern w:val="2"/>
                <w:sz w:val="21"/>
                <w:szCs w:val="21"/>
              </w:rPr>
              <w:t>5.8.2生态恢复方案</w:t>
            </w:r>
          </w:p>
          <w:p>
            <w:pPr>
              <w:pStyle w:val="200"/>
              <w:spacing w:line="360" w:lineRule="auto"/>
              <w:ind w:firstLine="420"/>
              <w:rPr>
                <w:sz w:val="21"/>
                <w:szCs w:val="21"/>
              </w:rPr>
            </w:pPr>
            <w:r>
              <w:rPr>
                <w:sz w:val="21"/>
                <w:szCs w:val="21"/>
              </w:rPr>
              <w:t>根据《中华人民共和国土地管理法》规定和相关地方规定，对工程临时征地进行补偿；严禁砍伐野外植被；严格规定施工作业范围，严格限制施工活动范围；鼓励居民进行植被恢复，临时活动房搬迁后，搬迁基础，进行植被恢复。若完井测试结果表明该井不产油气或无工业开采价值，则将井口用水泥封固并进行完井后的完井设备搬迁工作，拆除井口装置、泥浆储备罐、放喷池、发电房等地面设施，做到工完、料净、场地清，再表层覆盖耕作土层，将废弃的井场恢复原状。</w:t>
            </w:r>
          </w:p>
          <w:p>
            <w:pPr>
              <w:pStyle w:val="200"/>
              <w:spacing w:line="360" w:lineRule="auto"/>
              <w:ind w:firstLine="0" w:firstLineChars="0"/>
              <w:rPr>
                <w:b/>
                <w:kern w:val="2"/>
                <w:sz w:val="21"/>
                <w:szCs w:val="21"/>
              </w:rPr>
            </w:pPr>
            <w:r>
              <w:rPr>
                <w:b/>
                <w:kern w:val="2"/>
                <w:sz w:val="21"/>
                <w:szCs w:val="21"/>
              </w:rPr>
              <w:t>5.8.3土地复垦</w:t>
            </w:r>
          </w:p>
          <w:p>
            <w:pPr>
              <w:pStyle w:val="200"/>
              <w:spacing w:line="360" w:lineRule="auto"/>
              <w:ind w:firstLine="420"/>
              <w:rPr>
                <w:sz w:val="21"/>
                <w:szCs w:val="21"/>
              </w:rPr>
            </w:pPr>
            <w:r>
              <w:rPr>
                <w:sz w:val="21"/>
                <w:szCs w:val="21"/>
              </w:rPr>
              <w:t>（1）复垦方向：总体全面复垦为旱地、水田，对边坡等不局部复垦耕地条件的种植草本植物恢复生态。</w:t>
            </w:r>
          </w:p>
          <w:p>
            <w:pPr>
              <w:pStyle w:val="200"/>
              <w:spacing w:line="360" w:lineRule="auto"/>
              <w:ind w:firstLine="420"/>
              <w:rPr>
                <w:sz w:val="21"/>
                <w:szCs w:val="21"/>
              </w:rPr>
            </w:pPr>
            <w:r>
              <w:rPr>
                <w:sz w:val="21"/>
                <w:szCs w:val="21"/>
              </w:rPr>
              <w:t>（2）复垦率及工期、植被恢复期。复垦率100%，钻井完工后进行复垦，施工期3个月。复垦种植恢复期2年。</w:t>
            </w:r>
          </w:p>
          <w:p>
            <w:pPr>
              <w:pStyle w:val="200"/>
              <w:spacing w:line="360" w:lineRule="auto"/>
              <w:ind w:firstLine="420"/>
              <w:rPr>
                <w:sz w:val="21"/>
                <w:szCs w:val="21"/>
              </w:rPr>
            </w:pPr>
            <w:r>
              <w:rPr>
                <w:sz w:val="21"/>
                <w:szCs w:val="21"/>
              </w:rPr>
              <w:t>（3）复垦土壤：主要采用临时表土堆场耕植土以及其他临时占地原有耕植土。</w:t>
            </w:r>
          </w:p>
          <w:p>
            <w:pPr>
              <w:pStyle w:val="200"/>
              <w:spacing w:line="360" w:lineRule="auto"/>
              <w:ind w:firstLine="420"/>
              <w:rPr>
                <w:sz w:val="21"/>
                <w:szCs w:val="21"/>
              </w:rPr>
            </w:pPr>
            <w:r>
              <w:rPr>
                <w:sz w:val="21"/>
                <w:szCs w:val="21"/>
              </w:rPr>
              <w:t>（4）复垦范围：若无开采价值，井场除保留井口封井装置区外全部拆除，平整、翻耕、培肥改良复垦。若后续具有开发价值，根据后续地面集输工程征用占地，对占地墙外的区域全部拆除，平整、翻耕、培肥改良复垦。包括井场及井场外的油水罐区、泥浆罐区、生活区、放喷坑、耕植土堆放区、清洁生产操作平台、岩屑堆放区、应急池以及边坡等。</w:t>
            </w:r>
          </w:p>
          <w:p>
            <w:pPr>
              <w:pStyle w:val="200"/>
              <w:spacing w:line="360" w:lineRule="auto"/>
              <w:ind w:firstLine="420"/>
              <w:rPr>
                <w:sz w:val="21"/>
                <w:szCs w:val="21"/>
              </w:rPr>
            </w:pPr>
            <w:r>
              <w:rPr>
                <w:sz w:val="21"/>
                <w:szCs w:val="21"/>
              </w:rPr>
              <w:t>（5）复垦要求：对土壤进行翻耕、平整及培肥改良。满足《土地复垦质量控制标准》（TD/T1036-2013）中规定的要求。</w:t>
            </w:r>
          </w:p>
          <w:p>
            <w:pPr>
              <w:pStyle w:val="200"/>
              <w:spacing w:line="360" w:lineRule="auto"/>
              <w:ind w:firstLine="420"/>
              <w:rPr>
                <w:sz w:val="21"/>
                <w:szCs w:val="21"/>
              </w:rPr>
            </w:pPr>
            <w:r>
              <w:rPr>
                <w:sz w:val="21"/>
                <w:szCs w:val="21"/>
              </w:rPr>
              <w:t>（6）临时用地先清除地表的建筑，再用井场建设时的表层土作为种植土，进行植被恢复。恢复流程为：钻井完成→拆除建（构）筑物→清理场地→人工松土→将土覆盖→整理摊铺耕植土方→交付农民复耕。</w:t>
            </w:r>
          </w:p>
          <w:p>
            <w:pPr>
              <w:pStyle w:val="200"/>
              <w:spacing w:line="360" w:lineRule="auto"/>
              <w:ind w:firstLine="420"/>
              <w:rPr>
                <w:sz w:val="21"/>
                <w:szCs w:val="21"/>
              </w:rPr>
            </w:pPr>
            <w:r>
              <w:rPr>
                <w:sz w:val="21"/>
                <w:szCs w:val="21"/>
              </w:rPr>
              <w:t>（7）完钻后及时对井场以及临时设施（生活区）和清洁生产操作平台等，进行生态恢复，可恢复为旱地；恢复用土利用钻前工程施工时剥离的表层耕植土，表层耕植土放置在表层。</w:t>
            </w:r>
          </w:p>
          <w:p>
            <w:pPr>
              <w:pStyle w:val="200"/>
              <w:spacing w:line="360" w:lineRule="auto"/>
              <w:ind w:firstLine="420"/>
              <w:rPr>
                <w:sz w:val="21"/>
                <w:szCs w:val="21"/>
              </w:rPr>
            </w:pPr>
            <w:r>
              <w:rPr>
                <w:sz w:val="21"/>
                <w:szCs w:val="21"/>
              </w:rPr>
              <w:t>（8）完钻后对放喷坑、对集液池进行覆土回填，种植普通杂草绿化恢复生态，覆土回填底层采用的砾石覆盖回填，回填厚度为30cm；中间层采用厚度为15cm的粗砂石土回填；顶层采用厚度为35cm的预先剥离的表土进行覆盖</w:t>
            </w:r>
            <w:r>
              <w:rPr>
                <w:rFonts w:hint="eastAsia"/>
                <w:sz w:val="21"/>
                <w:szCs w:val="21"/>
              </w:rPr>
              <w:t>（</w:t>
            </w:r>
            <w:r>
              <w:rPr>
                <w:sz w:val="21"/>
                <w:szCs w:val="21"/>
              </w:rPr>
              <w:t>取土来自井场设置的耕植土堆放区</w:t>
            </w:r>
            <w:r>
              <w:rPr>
                <w:rFonts w:hint="eastAsia"/>
                <w:sz w:val="21"/>
                <w:szCs w:val="21"/>
              </w:rPr>
              <w:t>）</w:t>
            </w:r>
            <w:r>
              <w:rPr>
                <w:sz w:val="21"/>
                <w:szCs w:val="21"/>
              </w:rPr>
              <w:t>。</w:t>
            </w:r>
          </w:p>
          <w:p>
            <w:pPr>
              <w:pStyle w:val="200"/>
              <w:spacing w:line="360" w:lineRule="auto"/>
              <w:ind w:firstLine="420"/>
              <w:rPr>
                <w:b/>
                <w:sz w:val="21"/>
                <w:szCs w:val="21"/>
              </w:rPr>
            </w:pPr>
            <w:r>
              <w:rPr>
                <w:rFonts w:hint="eastAsia"/>
                <w:sz w:val="21"/>
                <w:szCs w:val="21"/>
              </w:rPr>
              <w:t>施工</w:t>
            </w:r>
            <w:r>
              <w:rPr>
                <w:sz w:val="21"/>
                <w:szCs w:val="21"/>
              </w:rPr>
              <w:t>结束后，生态环境能够得到恢复，对生态环境的影响可接受，且拟采取措施较为成熟，简单可行</w:t>
            </w:r>
            <w:r>
              <w:rPr>
                <w:b/>
                <w:sz w:val="21"/>
                <w:szCs w:val="21"/>
              </w:rPr>
              <w:t>。</w:t>
            </w:r>
          </w:p>
          <w:p>
            <w:pPr>
              <w:spacing w:line="360" w:lineRule="auto"/>
              <w:rPr>
                <w:b/>
                <w:bCs/>
                <w:szCs w:val="21"/>
              </w:rPr>
            </w:pPr>
            <w:r>
              <w:rPr>
                <w:b/>
                <w:bCs/>
                <w:szCs w:val="21"/>
              </w:rPr>
              <w:t>5.9环境管理与监测计划</w:t>
            </w:r>
          </w:p>
          <w:p>
            <w:pPr>
              <w:adjustRightInd w:val="0"/>
              <w:snapToGrid w:val="0"/>
              <w:spacing w:line="360" w:lineRule="auto"/>
              <w:ind w:firstLine="460" w:firstLineChars="200"/>
              <w:rPr>
                <w:bCs/>
                <w:spacing w:val="10"/>
                <w:szCs w:val="21"/>
              </w:rPr>
            </w:pPr>
            <w:r>
              <w:rPr>
                <w:rFonts w:hint="eastAsia" w:ascii="宋体" w:hAnsi="宋体" w:cs="宋体"/>
                <w:bCs/>
                <w:spacing w:val="10"/>
                <w:szCs w:val="21"/>
              </w:rPr>
              <w:t>根据《排污单位自行监测技术指南 总</w:t>
            </w:r>
            <w:r>
              <w:rPr>
                <w:rFonts w:hAnsi="宋体"/>
                <w:bCs/>
                <w:spacing w:val="10"/>
                <w:szCs w:val="21"/>
              </w:rPr>
              <w:t>则》（</w:t>
            </w:r>
            <w:r>
              <w:rPr>
                <w:bCs/>
                <w:spacing w:val="10"/>
                <w:szCs w:val="21"/>
              </w:rPr>
              <w:t>HJ819-2017</w:t>
            </w:r>
            <w:r>
              <w:rPr>
                <w:rFonts w:hAnsi="宋体"/>
                <w:bCs/>
                <w:spacing w:val="10"/>
                <w:szCs w:val="21"/>
              </w:rPr>
              <w:t>）要求，结合项目污染物特点，制定项目环境监测计划，提出如下监测计划：</w:t>
            </w:r>
          </w:p>
          <w:p>
            <w:pPr>
              <w:pStyle w:val="209"/>
              <w:numPr>
                <w:ilvl w:val="0"/>
                <w:numId w:val="7"/>
              </w:numPr>
              <w:ind w:firstLineChars="0"/>
              <w:jc w:val="center"/>
              <w:rPr>
                <w:b/>
                <w:sz w:val="21"/>
              </w:rPr>
            </w:pPr>
            <w:r>
              <w:rPr>
                <w:b/>
                <w:sz w:val="21"/>
              </w:rPr>
              <w:t>环境监测计划</w:t>
            </w:r>
            <w:r>
              <w:rPr>
                <w:rFonts w:hint="eastAsia"/>
                <w:b/>
                <w:sz w:val="21"/>
              </w:rPr>
              <w:t>一览表</w:t>
            </w:r>
          </w:p>
          <w:tbl>
            <w:tblPr>
              <w:tblStyle w:val="4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7"/>
              <w:gridCol w:w="634"/>
              <w:gridCol w:w="1615"/>
              <w:gridCol w:w="1328"/>
              <w:gridCol w:w="2255"/>
              <w:gridCol w:w="17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8" w:type="pct"/>
                  <w:gridSpan w:val="2"/>
                  <w:tcBorders>
                    <w:top w:val="single" w:color="auto" w:sz="4" w:space="0"/>
                    <w:left w:val="single" w:color="auto" w:sz="4" w:space="0"/>
                    <w:bottom w:val="single" w:color="auto" w:sz="4" w:space="0"/>
                    <w:right w:val="single" w:color="auto" w:sz="4" w:space="0"/>
                  </w:tcBorders>
                  <w:vAlign w:val="center"/>
                </w:tcPr>
                <w:p>
                  <w:pPr>
                    <w:snapToGrid w:val="0"/>
                    <w:jc w:val="center"/>
                    <w:rPr>
                      <w:b/>
                      <w:szCs w:val="21"/>
                    </w:rPr>
                  </w:pPr>
                  <w:r>
                    <w:rPr>
                      <w:b/>
                      <w:szCs w:val="21"/>
                    </w:rPr>
                    <w:t>类别</w:t>
                  </w:r>
                </w:p>
              </w:tc>
              <w:tc>
                <w:tcPr>
                  <w:tcW w:w="981" w:type="pct"/>
                  <w:tcBorders>
                    <w:top w:val="single" w:color="auto" w:sz="4" w:space="0"/>
                    <w:left w:val="single" w:color="auto" w:sz="4" w:space="0"/>
                    <w:bottom w:val="single" w:color="auto" w:sz="4" w:space="0"/>
                    <w:right w:val="single" w:color="auto" w:sz="4" w:space="0"/>
                  </w:tcBorders>
                  <w:vAlign w:val="center"/>
                </w:tcPr>
                <w:p>
                  <w:pPr>
                    <w:snapToGrid w:val="0"/>
                    <w:jc w:val="center"/>
                    <w:rPr>
                      <w:b/>
                      <w:szCs w:val="21"/>
                    </w:rPr>
                  </w:pPr>
                  <w:r>
                    <w:rPr>
                      <w:b/>
                      <w:szCs w:val="21"/>
                    </w:rPr>
                    <w:t>监测点位</w:t>
                  </w:r>
                </w:p>
              </w:tc>
              <w:tc>
                <w:tcPr>
                  <w:tcW w:w="807" w:type="pct"/>
                  <w:tcBorders>
                    <w:top w:val="single" w:color="auto" w:sz="4" w:space="0"/>
                    <w:left w:val="single" w:color="auto" w:sz="4" w:space="0"/>
                    <w:bottom w:val="single" w:color="auto" w:sz="4" w:space="0"/>
                    <w:right w:val="single" w:color="auto" w:sz="4" w:space="0"/>
                  </w:tcBorders>
                  <w:vAlign w:val="center"/>
                </w:tcPr>
                <w:p>
                  <w:pPr>
                    <w:snapToGrid w:val="0"/>
                    <w:jc w:val="center"/>
                    <w:rPr>
                      <w:b/>
                      <w:szCs w:val="21"/>
                    </w:rPr>
                  </w:pPr>
                  <w:r>
                    <w:rPr>
                      <w:b/>
                      <w:szCs w:val="21"/>
                    </w:rPr>
                    <w:t>监测位置</w:t>
                  </w:r>
                </w:p>
              </w:tc>
              <w:tc>
                <w:tcPr>
                  <w:tcW w:w="1370" w:type="pct"/>
                  <w:tcBorders>
                    <w:top w:val="single" w:color="auto" w:sz="4" w:space="0"/>
                    <w:left w:val="single" w:color="auto" w:sz="4" w:space="0"/>
                    <w:bottom w:val="single" w:color="auto" w:sz="4" w:space="0"/>
                    <w:right w:val="single" w:color="auto" w:sz="4" w:space="0"/>
                  </w:tcBorders>
                  <w:vAlign w:val="center"/>
                </w:tcPr>
                <w:p>
                  <w:pPr>
                    <w:snapToGrid w:val="0"/>
                    <w:jc w:val="center"/>
                    <w:rPr>
                      <w:b/>
                      <w:szCs w:val="21"/>
                    </w:rPr>
                  </w:pPr>
                  <w:r>
                    <w:rPr>
                      <w:b/>
                      <w:szCs w:val="21"/>
                    </w:rPr>
                    <w:t>监测项目</w:t>
                  </w:r>
                </w:p>
              </w:tc>
              <w:tc>
                <w:tcPr>
                  <w:tcW w:w="1034" w:type="pct"/>
                  <w:tcBorders>
                    <w:top w:val="single" w:color="auto" w:sz="4" w:space="0"/>
                    <w:left w:val="single" w:color="auto" w:sz="4" w:space="0"/>
                    <w:bottom w:val="single" w:color="auto" w:sz="4" w:space="0"/>
                    <w:right w:val="single" w:color="auto" w:sz="4" w:space="0"/>
                  </w:tcBorders>
                  <w:vAlign w:val="center"/>
                </w:tcPr>
                <w:p>
                  <w:pPr>
                    <w:snapToGrid w:val="0"/>
                    <w:jc w:val="center"/>
                    <w:rPr>
                      <w:b/>
                      <w:szCs w:val="21"/>
                    </w:rPr>
                  </w:pPr>
                  <w:r>
                    <w:rPr>
                      <w:b/>
                      <w:szCs w:val="21"/>
                    </w:rPr>
                    <w:t>监测频率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3" w:type="pct"/>
                  <w:tcBorders>
                    <w:top w:val="single" w:color="auto" w:sz="4" w:space="0"/>
                    <w:left w:val="single" w:color="auto" w:sz="4" w:space="0"/>
                    <w:bottom w:val="single" w:color="auto" w:sz="4" w:space="0"/>
                    <w:right w:val="single" w:color="auto" w:sz="4" w:space="0"/>
                  </w:tcBorders>
                  <w:vAlign w:val="center"/>
                </w:tcPr>
                <w:p>
                  <w:pPr>
                    <w:snapToGrid w:val="0"/>
                    <w:jc w:val="center"/>
                    <w:rPr>
                      <w:szCs w:val="21"/>
                    </w:rPr>
                  </w:pPr>
                  <w:r>
                    <w:rPr>
                      <w:szCs w:val="21"/>
                    </w:rPr>
                    <w:t>噪声</w:t>
                  </w:r>
                </w:p>
              </w:tc>
              <w:tc>
                <w:tcPr>
                  <w:tcW w:w="385" w:type="pct"/>
                  <w:tcBorders>
                    <w:top w:val="single" w:color="auto" w:sz="4" w:space="0"/>
                    <w:left w:val="single" w:color="auto" w:sz="4" w:space="0"/>
                    <w:bottom w:val="single" w:color="auto" w:sz="4" w:space="0"/>
                    <w:right w:val="single" w:color="auto" w:sz="4" w:space="0"/>
                  </w:tcBorders>
                  <w:vAlign w:val="center"/>
                </w:tcPr>
                <w:p>
                  <w:pPr>
                    <w:snapToGrid w:val="0"/>
                    <w:jc w:val="center"/>
                    <w:rPr>
                      <w:szCs w:val="21"/>
                    </w:rPr>
                  </w:pPr>
                  <w:r>
                    <w:rPr>
                      <w:szCs w:val="21"/>
                    </w:rPr>
                    <w:t>井站</w:t>
                  </w:r>
                </w:p>
              </w:tc>
              <w:tc>
                <w:tcPr>
                  <w:tcW w:w="981" w:type="pct"/>
                  <w:tcBorders>
                    <w:top w:val="single" w:color="auto" w:sz="4" w:space="0"/>
                    <w:left w:val="single" w:color="auto" w:sz="4" w:space="0"/>
                    <w:bottom w:val="single" w:color="auto" w:sz="4" w:space="0"/>
                    <w:right w:val="single" w:color="auto" w:sz="4" w:space="0"/>
                  </w:tcBorders>
                  <w:vAlign w:val="center"/>
                </w:tcPr>
                <w:p>
                  <w:pPr>
                    <w:snapToGrid w:val="0"/>
                    <w:jc w:val="center"/>
                    <w:rPr>
                      <w:szCs w:val="21"/>
                    </w:rPr>
                  </w:pPr>
                  <w:r>
                    <w:rPr>
                      <w:szCs w:val="21"/>
                    </w:rPr>
                    <w:t>井站外1m处和居民点处各设置1个点位</w:t>
                  </w:r>
                </w:p>
              </w:tc>
              <w:tc>
                <w:tcPr>
                  <w:tcW w:w="807" w:type="pct"/>
                  <w:tcBorders>
                    <w:top w:val="single" w:color="auto" w:sz="4" w:space="0"/>
                    <w:left w:val="single" w:color="auto" w:sz="4" w:space="0"/>
                    <w:bottom w:val="single" w:color="auto" w:sz="4" w:space="0"/>
                    <w:right w:val="single" w:color="auto" w:sz="4" w:space="0"/>
                  </w:tcBorders>
                  <w:vAlign w:val="center"/>
                </w:tcPr>
                <w:p>
                  <w:pPr>
                    <w:snapToGrid w:val="0"/>
                    <w:jc w:val="center"/>
                    <w:rPr>
                      <w:szCs w:val="21"/>
                    </w:rPr>
                  </w:pPr>
                  <w:r>
                    <w:rPr>
                      <w:szCs w:val="21"/>
                    </w:rPr>
                    <w:t>场界和1#居民点处</w:t>
                  </w:r>
                </w:p>
              </w:tc>
              <w:tc>
                <w:tcPr>
                  <w:tcW w:w="1370" w:type="pct"/>
                  <w:tcBorders>
                    <w:top w:val="single" w:color="auto" w:sz="4" w:space="0"/>
                    <w:left w:val="single" w:color="auto" w:sz="4" w:space="0"/>
                    <w:bottom w:val="single" w:color="auto" w:sz="4" w:space="0"/>
                    <w:right w:val="single" w:color="auto" w:sz="4" w:space="0"/>
                  </w:tcBorders>
                  <w:vAlign w:val="center"/>
                </w:tcPr>
                <w:p>
                  <w:pPr>
                    <w:snapToGrid w:val="0"/>
                    <w:jc w:val="center"/>
                    <w:rPr>
                      <w:szCs w:val="21"/>
                    </w:rPr>
                  </w:pPr>
                  <w:r>
                    <w:rPr>
                      <w:szCs w:val="21"/>
                    </w:rPr>
                    <w:t>等效连续A声级</w:t>
                  </w:r>
                </w:p>
              </w:tc>
              <w:tc>
                <w:tcPr>
                  <w:tcW w:w="1034" w:type="pct"/>
                  <w:tcBorders>
                    <w:top w:val="single" w:color="auto" w:sz="4" w:space="0"/>
                    <w:left w:val="single" w:color="auto" w:sz="4" w:space="0"/>
                    <w:bottom w:val="single" w:color="auto" w:sz="4" w:space="0"/>
                    <w:right w:val="single" w:color="auto" w:sz="4" w:space="0"/>
                  </w:tcBorders>
                  <w:vAlign w:val="center"/>
                </w:tcPr>
                <w:p>
                  <w:pPr>
                    <w:snapToGrid w:val="0"/>
                    <w:jc w:val="center"/>
                    <w:rPr>
                      <w:szCs w:val="21"/>
                    </w:rPr>
                  </w:pPr>
                  <w:r>
                    <w:rPr>
                      <w:szCs w:val="21"/>
                    </w:rPr>
                    <w:t>完工后验收监测</w:t>
                  </w:r>
                  <w:r>
                    <w:rPr>
                      <w:rFonts w:hint="eastAsia"/>
                      <w:szCs w:val="21"/>
                    </w:rPr>
                    <w:t>1</w:t>
                  </w:r>
                  <w:r>
                    <w:rPr>
                      <w:szCs w:val="21"/>
                    </w:rPr>
                    <w:t>次，每次连续监测1天，每天监测1次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3" w:type="pct"/>
                  <w:vMerge w:val="restart"/>
                  <w:tcBorders>
                    <w:top w:val="single" w:color="auto" w:sz="4" w:space="0"/>
                    <w:left w:val="single" w:color="auto" w:sz="4" w:space="0"/>
                    <w:bottom w:val="single" w:color="auto" w:sz="4" w:space="0"/>
                    <w:right w:val="single" w:color="auto" w:sz="4" w:space="0"/>
                  </w:tcBorders>
                  <w:vAlign w:val="center"/>
                </w:tcPr>
                <w:p>
                  <w:pPr>
                    <w:snapToGrid w:val="0"/>
                    <w:jc w:val="center"/>
                    <w:rPr>
                      <w:szCs w:val="21"/>
                    </w:rPr>
                  </w:pPr>
                  <w:r>
                    <w:rPr>
                      <w:szCs w:val="21"/>
                    </w:rPr>
                    <w:t>地下水</w:t>
                  </w:r>
                </w:p>
              </w:tc>
              <w:tc>
                <w:tcPr>
                  <w:tcW w:w="385" w:type="pct"/>
                  <w:vMerge w:val="restart"/>
                  <w:tcBorders>
                    <w:top w:val="single" w:color="auto" w:sz="4" w:space="0"/>
                    <w:left w:val="single" w:color="auto" w:sz="4" w:space="0"/>
                    <w:bottom w:val="single" w:color="auto" w:sz="4" w:space="0"/>
                    <w:right w:val="single" w:color="auto" w:sz="4" w:space="0"/>
                  </w:tcBorders>
                  <w:vAlign w:val="center"/>
                </w:tcPr>
                <w:p>
                  <w:pPr>
                    <w:snapToGrid w:val="0"/>
                    <w:jc w:val="center"/>
                    <w:rPr>
                      <w:szCs w:val="21"/>
                    </w:rPr>
                  </w:pPr>
                  <w:r>
                    <w:rPr>
                      <w:szCs w:val="21"/>
                    </w:rPr>
                    <w:t>水井</w:t>
                  </w:r>
                </w:p>
              </w:tc>
              <w:tc>
                <w:tcPr>
                  <w:tcW w:w="981" w:type="pct"/>
                  <w:tcBorders>
                    <w:top w:val="single" w:color="auto" w:sz="4" w:space="0"/>
                    <w:left w:val="single" w:color="auto" w:sz="4" w:space="0"/>
                    <w:bottom w:val="single" w:color="auto" w:sz="4" w:space="0"/>
                    <w:right w:val="single" w:color="auto" w:sz="4" w:space="0"/>
                  </w:tcBorders>
                  <w:vAlign w:val="center"/>
                </w:tcPr>
                <w:p>
                  <w:pPr>
                    <w:widowControl/>
                    <w:jc w:val="center"/>
                    <w:rPr>
                      <w:szCs w:val="21"/>
                    </w:rPr>
                  </w:pPr>
                  <w:r>
                    <w:rPr>
                      <w:szCs w:val="21"/>
                    </w:rPr>
                    <w:t>1#监测点</w:t>
                  </w:r>
                </w:p>
              </w:tc>
              <w:tc>
                <w:tcPr>
                  <w:tcW w:w="807" w:type="pct"/>
                  <w:tcBorders>
                    <w:top w:val="single" w:color="auto" w:sz="4" w:space="0"/>
                    <w:left w:val="single" w:color="auto" w:sz="4" w:space="0"/>
                    <w:bottom w:val="single" w:color="auto" w:sz="4" w:space="0"/>
                    <w:right w:val="single" w:color="auto" w:sz="4" w:space="0"/>
                  </w:tcBorders>
                  <w:vAlign w:val="center"/>
                </w:tcPr>
                <w:p>
                  <w:pPr>
                    <w:pStyle w:val="309"/>
                    <w:jc w:val="center"/>
                    <w:rPr>
                      <w:rFonts w:ascii="Times New Roman" w:eastAsia="宋体" w:cs="Times New Roman"/>
                      <w:color w:val="auto"/>
                      <w:sz w:val="21"/>
                      <w:szCs w:val="21"/>
                    </w:rPr>
                  </w:pPr>
                  <w:r>
                    <w:rPr>
                      <w:rFonts w:hint="eastAsia" w:ascii="Times New Roman" w:eastAsia="宋体" w:cs="Times New Roman"/>
                      <w:color w:val="auto"/>
                      <w:sz w:val="21"/>
                      <w:szCs w:val="21"/>
                    </w:rPr>
                    <w:t>井口西北侧2</w:t>
                  </w:r>
                  <w:r>
                    <w:rPr>
                      <w:rFonts w:ascii="Times New Roman" w:eastAsia="宋体" w:cs="Times New Roman"/>
                      <w:color w:val="auto"/>
                      <w:sz w:val="21"/>
                      <w:szCs w:val="21"/>
                    </w:rPr>
                    <w:t>28</w:t>
                  </w:r>
                  <w:r>
                    <w:rPr>
                      <w:rFonts w:hint="eastAsia" w:ascii="Times New Roman" w:eastAsia="宋体" w:cs="Times New Roman"/>
                      <w:color w:val="auto"/>
                      <w:sz w:val="21"/>
                      <w:szCs w:val="21"/>
                    </w:rPr>
                    <w:t>m</w:t>
                  </w:r>
                </w:p>
              </w:tc>
              <w:tc>
                <w:tcPr>
                  <w:tcW w:w="1370" w:type="pct"/>
                  <w:vMerge w:val="restart"/>
                  <w:tcBorders>
                    <w:top w:val="single" w:color="auto" w:sz="4" w:space="0"/>
                    <w:left w:val="single" w:color="auto" w:sz="4" w:space="0"/>
                    <w:bottom w:val="single" w:color="auto" w:sz="4" w:space="0"/>
                    <w:right w:val="single" w:color="auto" w:sz="4" w:space="0"/>
                  </w:tcBorders>
                  <w:vAlign w:val="center"/>
                </w:tcPr>
                <w:p>
                  <w:pPr>
                    <w:snapToGrid w:val="0"/>
                    <w:jc w:val="center"/>
                    <w:rPr>
                      <w:szCs w:val="21"/>
                    </w:rPr>
                  </w:pPr>
                  <w:r>
                    <w:rPr>
                      <w:rFonts w:hint="eastAsia"/>
                      <w:szCs w:val="21"/>
                    </w:rPr>
                    <w:t>pH、总硬度、溶解性总固体、硫酸盐、氯化物、铁、锰、挥发性酚类、耗氧量、氨氮、硫化物、硝酸盐、亚硝酸盐、氰化物、氟化物、汞、</w:t>
                  </w:r>
                  <w:r>
                    <w:rPr>
                      <w:szCs w:val="21"/>
                    </w:rPr>
                    <w:t>钡离子</w:t>
                  </w:r>
                  <w:r>
                    <w:rPr>
                      <w:rFonts w:hint="eastAsia"/>
                      <w:szCs w:val="21"/>
                    </w:rPr>
                    <w:t>、砷、镉、铬（六价）、铅、石油类、总大肠菌群、</w:t>
                  </w:r>
                  <w:r>
                    <w:rPr>
                      <w:rFonts w:eastAsia="附件"/>
                      <w:szCs w:val="21"/>
                    </w:rPr>
                    <w:t>Na</w:t>
                  </w:r>
                  <w:r>
                    <w:rPr>
                      <w:rFonts w:eastAsia="附件"/>
                      <w:szCs w:val="21"/>
                      <w:vertAlign w:val="superscript"/>
                    </w:rPr>
                    <w:t>+</w:t>
                  </w:r>
                  <w:r>
                    <w:rPr>
                      <w:rFonts w:eastAsia="附件"/>
                      <w:szCs w:val="21"/>
                    </w:rPr>
                    <w:t>、K</w:t>
                  </w:r>
                  <w:r>
                    <w:rPr>
                      <w:rFonts w:eastAsia="附件"/>
                      <w:szCs w:val="21"/>
                      <w:vertAlign w:val="superscript"/>
                    </w:rPr>
                    <w:t>+</w:t>
                  </w:r>
                  <w:r>
                    <w:rPr>
                      <w:rFonts w:eastAsia="附件"/>
                      <w:szCs w:val="21"/>
                    </w:rPr>
                    <w:t>、Ca</w:t>
                  </w:r>
                  <w:r>
                    <w:rPr>
                      <w:rFonts w:eastAsia="附件"/>
                      <w:szCs w:val="21"/>
                      <w:vertAlign w:val="superscript"/>
                    </w:rPr>
                    <w:t>2+</w:t>
                  </w:r>
                  <w:r>
                    <w:rPr>
                      <w:rFonts w:eastAsia="附件"/>
                      <w:szCs w:val="21"/>
                    </w:rPr>
                    <w:t>、Mg</w:t>
                  </w:r>
                  <w:r>
                    <w:rPr>
                      <w:rFonts w:eastAsia="附件"/>
                      <w:szCs w:val="21"/>
                      <w:vertAlign w:val="superscript"/>
                    </w:rPr>
                    <w:t>2+</w:t>
                  </w:r>
                  <w:r>
                    <w:rPr>
                      <w:rFonts w:eastAsia="附件"/>
                      <w:szCs w:val="21"/>
                    </w:rPr>
                    <w:t>、CO</w:t>
                  </w:r>
                  <w:r>
                    <w:rPr>
                      <w:rFonts w:eastAsia="附件"/>
                      <w:szCs w:val="21"/>
                      <w:vertAlign w:val="subscript"/>
                    </w:rPr>
                    <w:t>3</w:t>
                  </w:r>
                  <w:r>
                    <w:rPr>
                      <w:rFonts w:eastAsia="附件"/>
                      <w:szCs w:val="21"/>
                      <w:vertAlign w:val="superscript"/>
                    </w:rPr>
                    <w:t>2-</w:t>
                  </w:r>
                  <w:r>
                    <w:rPr>
                      <w:rFonts w:eastAsia="附件"/>
                      <w:szCs w:val="21"/>
                    </w:rPr>
                    <w:t>、HCO</w:t>
                  </w:r>
                  <w:r>
                    <w:rPr>
                      <w:rFonts w:eastAsia="附件"/>
                      <w:szCs w:val="21"/>
                      <w:vertAlign w:val="subscript"/>
                    </w:rPr>
                    <w:t>3</w:t>
                  </w:r>
                  <w:r>
                    <w:rPr>
                      <w:rFonts w:eastAsia="附件"/>
                      <w:szCs w:val="21"/>
                      <w:vertAlign w:val="superscript"/>
                    </w:rPr>
                    <w:t>-</w:t>
                  </w:r>
                  <w:r>
                    <w:rPr>
                      <w:rFonts w:eastAsia="附件"/>
                      <w:szCs w:val="21"/>
                    </w:rPr>
                    <w:t>、Cl</w:t>
                  </w:r>
                  <w:r>
                    <w:rPr>
                      <w:rFonts w:eastAsia="附件"/>
                      <w:szCs w:val="21"/>
                      <w:vertAlign w:val="superscript"/>
                    </w:rPr>
                    <w:t>-</w:t>
                  </w:r>
                  <w:r>
                    <w:rPr>
                      <w:rFonts w:eastAsia="附件"/>
                      <w:szCs w:val="21"/>
                    </w:rPr>
                    <w:t>、SO</w:t>
                  </w:r>
                  <w:r>
                    <w:rPr>
                      <w:rFonts w:eastAsia="附件"/>
                      <w:szCs w:val="21"/>
                      <w:vertAlign w:val="subscript"/>
                    </w:rPr>
                    <w:t>4</w:t>
                  </w:r>
                  <w:r>
                    <w:rPr>
                      <w:rFonts w:eastAsia="附件"/>
                      <w:szCs w:val="21"/>
                      <w:vertAlign w:val="superscript"/>
                    </w:rPr>
                    <w:t>2-</w:t>
                  </w:r>
                </w:p>
              </w:tc>
              <w:tc>
                <w:tcPr>
                  <w:tcW w:w="1034" w:type="pct"/>
                  <w:vMerge w:val="restart"/>
                  <w:tcBorders>
                    <w:top w:val="single" w:color="auto" w:sz="4" w:space="0"/>
                    <w:left w:val="single" w:color="auto" w:sz="4" w:space="0"/>
                    <w:bottom w:val="single" w:color="auto" w:sz="4" w:space="0"/>
                    <w:right w:val="single" w:color="auto" w:sz="4" w:space="0"/>
                  </w:tcBorders>
                  <w:vAlign w:val="center"/>
                </w:tcPr>
                <w:p>
                  <w:pPr>
                    <w:snapToGrid w:val="0"/>
                    <w:jc w:val="center"/>
                    <w:rPr>
                      <w:szCs w:val="21"/>
                    </w:rPr>
                  </w:pPr>
                  <w:r>
                    <w:rPr>
                      <w:szCs w:val="21"/>
                    </w:rPr>
                    <w:t>完工后验收监测</w:t>
                  </w:r>
                  <w:r>
                    <w:rPr>
                      <w:rFonts w:hint="eastAsia"/>
                      <w:szCs w:val="21"/>
                    </w:rPr>
                    <w:t>1</w:t>
                  </w:r>
                  <w:r>
                    <w:rPr>
                      <w:szCs w:val="21"/>
                    </w:rPr>
                    <w:t>次，每次连续监测1天，每天监测1次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3" w:type="pct"/>
                  <w:vMerge w:val="continue"/>
                  <w:tcBorders>
                    <w:top w:val="single" w:color="auto" w:sz="4" w:space="0"/>
                    <w:left w:val="single" w:color="auto" w:sz="4" w:space="0"/>
                    <w:bottom w:val="single" w:color="auto" w:sz="4" w:space="0"/>
                    <w:right w:val="single" w:color="auto" w:sz="4" w:space="0"/>
                  </w:tcBorders>
                  <w:vAlign w:val="center"/>
                </w:tcPr>
                <w:p>
                  <w:pPr>
                    <w:widowControl/>
                    <w:jc w:val="center"/>
                    <w:rPr>
                      <w:szCs w:val="21"/>
                    </w:rPr>
                  </w:pPr>
                </w:p>
              </w:tc>
              <w:tc>
                <w:tcPr>
                  <w:tcW w:w="385" w:type="pct"/>
                  <w:vMerge w:val="continue"/>
                  <w:tcBorders>
                    <w:top w:val="single" w:color="auto" w:sz="4" w:space="0"/>
                    <w:left w:val="single" w:color="auto" w:sz="4" w:space="0"/>
                    <w:bottom w:val="single" w:color="auto" w:sz="4" w:space="0"/>
                    <w:right w:val="single" w:color="auto" w:sz="4" w:space="0"/>
                  </w:tcBorders>
                  <w:vAlign w:val="center"/>
                </w:tcPr>
                <w:p>
                  <w:pPr>
                    <w:widowControl/>
                    <w:jc w:val="center"/>
                    <w:rPr>
                      <w:szCs w:val="21"/>
                    </w:rPr>
                  </w:pPr>
                </w:p>
              </w:tc>
              <w:tc>
                <w:tcPr>
                  <w:tcW w:w="981" w:type="pct"/>
                  <w:tcBorders>
                    <w:top w:val="single" w:color="auto" w:sz="4" w:space="0"/>
                    <w:left w:val="single" w:color="auto" w:sz="4" w:space="0"/>
                    <w:bottom w:val="single" w:color="auto" w:sz="4" w:space="0"/>
                    <w:right w:val="single" w:color="auto" w:sz="4" w:space="0"/>
                  </w:tcBorders>
                  <w:vAlign w:val="center"/>
                </w:tcPr>
                <w:p>
                  <w:pPr>
                    <w:widowControl/>
                    <w:jc w:val="center"/>
                    <w:rPr>
                      <w:szCs w:val="21"/>
                    </w:rPr>
                  </w:pPr>
                  <w:r>
                    <w:rPr>
                      <w:szCs w:val="21"/>
                    </w:rPr>
                    <w:t>2#监测点</w:t>
                  </w:r>
                </w:p>
              </w:tc>
              <w:tc>
                <w:tcPr>
                  <w:tcW w:w="807" w:type="pct"/>
                  <w:tcBorders>
                    <w:top w:val="single" w:color="auto" w:sz="4" w:space="0"/>
                    <w:left w:val="single" w:color="auto" w:sz="4" w:space="0"/>
                    <w:bottom w:val="single" w:color="auto" w:sz="4" w:space="0"/>
                    <w:right w:val="single" w:color="auto" w:sz="4" w:space="0"/>
                  </w:tcBorders>
                  <w:vAlign w:val="center"/>
                </w:tcPr>
                <w:p>
                  <w:pPr>
                    <w:pStyle w:val="309"/>
                    <w:jc w:val="center"/>
                    <w:rPr>
                      <w:rFonts w:ascii="Times New Roman" w:eastAsia="宋体" w:cs="Times New Roman"/>
                      <w:color w:val="auto"/>
                      <w:sz w:val="21"/>
                      <w:szCs w:val="21"/>
                    </w:rPr>
                  </w:pPr>
                  <w:r>
                    <w:rPr>
                      <w:rFonts w:hint="eastAsia" w:ascii="Times New Roman" w:eastAsia="宋体" w:cs="Times New Roman"/>
                      <w:color w:val="auto"/>
                      <w:sz w:val="21"/>
                      <w:szCs w:val="21"/>
                    </w:rPr>
                    <w:t>井口西南侧2</w:t>
                  </w:r>
                  <w:r>
                    <w:rPr>
                      <w:rFonts w:ascii="Times New Roman" w:eastAsia="宋体" w:cs="Times New Roman"/>
                      <w:color w:val="auto"/>
                      <w:sz w:val="21"/>
                      <w:szCs w:val="21"/>
                    </w:rPr>
                    <w:t>17</w:t>
                  </w:r>
                  <w:r>
                    <w:rPr>
                      <w:rFonts w:hint="eastAsia" w:ascii="Times New Roman" w:eastAsia="宋体" w:cs="Times New Roman"/>
                      <w:color w:val="auto"/>
                      <w:sz w:val="21"/>
                      <w:szCs w:val="21"/>
                    </w:rPr>
                    <w:t>m</w:t>
                  </w:r>
                </w:p>
              </w:tc>
              <w:tc>
                <w:tcPr>
                  <w:tcW w:w="1370" w:type="pct"/>
                  <w:vMerge w:val="continue"/>
                  <w:tcBorders>
                    <w:top w:val="single" w:color="auto" w:sz="4" w:space="0"/>
                    <w:left w:val="single" w:color="auto" w:sz="4" w:space="0"/>
                    <w:bottom w:val="single" w:color="auto" w:sz="4" w:space="0"/>
                    <w:right w:val="single" w:color="auto" w:sz="4" w:space="0"/>
                  </w:tcBorders>
                  <w:vAlign w:val="center"/>
                </w:tcPr>
                <w:p>
                  <w:pPr>
                    <w:widowControl/>
                    <w:jc w:val="center"/>
                    <w:rPr>
                      <w:szCs w:val="21"/>
                    </w:rPr>
                  </w:pPr>
                </w:p>
              </w:tc>
              <w:tc>
                <w:tcPr>
                  <w:tcW w:w="1034" w:type="pct"/>
                  <w:vMerge w:val="continue"/>
                  <w:tcBorders>
                    <w:top w:val="single" w:color="auto" w:sz="4" w:space="0"/>
                    <w:left w:val="single" w:color="auto" w:sz="4" w:space="0"/>
                    <w:bottom w:val="single" w:color="auto" w:sz="4" w:space="0"/>
                    <w:right w:val="single" w:color="auto" w:sz="4" w:space="0"/>
                  </w:tcBorders>
                  <w:vAlign w:val="center"/>
                </w:tcPr>
                <w:p>
                  <w:pPr>
                    <w:widowControl/>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3" w:type="pct"/>
                  <w:vMerge w:val="continue"/>
                  <w:tcBorders>
                    <w:top w:val="single" w:color="auto" w:sz="4" w:space="0"/>
                    <w:left w:val="single" w:color="auto" w:sz="4" w:space="0"/>
                    <w:bottom w:val="single" w:color="auto" w:sz="4" w:space="0"/>
                    <w:right w:val="single" w:color="auto" w:sz="4" w:space="0"/>
                  </w:tcBorders>
                  <w:vAlign w:val="center"/>
                </w:tcPr>
                <w:p>
                  <w:pPr>
                    <w:widowControl/>
                    <w:jc w:val="center"/>
                    <w:rPr>
                      <w:szCs w:val="21"/>
                    </w:rPr>
                  </w:pPr>
                </w:p>
              </w:tc>
              <w:tc>
                <w:tcPr>
                  <w:tcW w:w="385" w:type="pct"/>
                  <w:vMerge w:val="continue"/>
                  <w:tcBorders>
                    <w:top w:val="single" w:color="auto" w:sz="4" w:space="0"/>
                    <w:left w:val="single" w:color="auto" w:sz="4" w:space="0"/>
                    <w:bottom w:val="single" w:color="auto" w:sz="4" w:space="0"/>
                    <w:right w:val="single" w:color="auto" w:sz="4" w:space="0"/>
                  </w:tcBorders>
                  <w:vAlign w:val="center"/>
                </w:tcPr>
                <w:p>
                  <w:pPr>
                    <w:widowControl/>
                    <w:jc w:val="center"/>
                    <w:rPr>
                      <w:szCs w:val="21"/>
                    </w:rPr>
                  </w:pPr>
                </w:p>
              </w:tc>
              <w:tc>
                <w:tcPr>
                  <w:tcW w:w="981" w:type="pct"/>
                  <w:tcBorders>
                    <w:top w:val="single" w:color="auto" w:sz="4" w:space="0"/>
                    <w:left w:val="single" w:color="auto" w:sz="4" w:space="0"/>
                    <w:bottom w:val="single" w:color="auto" w:sz="4" w:space="0"/>
                    <w:right w:val="single" w:color="auto" w:sz="4" w:space="0"/>
                  </w:tcBorders>
                  <w:vAlign w:val="center"/>
                </w:tcPr>
                <w:p>
                  <w:pPr>
                    <w:widowControl/>
                    <w:jc w:val="center"/>
                    <w:rPr>
                      <w:szCs w:val="21"/>
                    </w:rPr>
                  </w:pPr>
                  <w:r>
                    <w:rPr>
                      <w:szCs w:val="21"/>
                    </w:rPr>
                    <w:t>3#监测点</w:t>
                  </w:r>
                </w:p>
              </w:tc>
              <w:tc>
                <w:tcPr>
                  <w:tcW w:w="807" w:type="pct"/>
                  <w:tcBorders>
                    <w:top w:val="single" w:color="auto" w:sz="4" w:space="0"/>
                    <w:left w:val="single" w:color="auto" w:sz="4" w:space="0"/>
                    <w:bottom w:val="single" w:color="auto" w:sz="4" w:space="0"/>
                    <w:right w:val="single" w:color="auto" w:sz="4" w:space="0"/>
                  </w:tcBorders>
                  <w:vAlign w:val="center"/>
                </w:tcPr>
                <w:p>
                  <w:pPr>
                    <w:pStyle w:val="309"/>
                    <w:jc w:val="center"/>
                    <w:rPr>
                      <w:rFonts w:ascii="Times New Roman" w:eastAsia="宋体" w:cs="Times New Roman"/>
                      <w:color w:val="auto"/>
                      <w:sz w:val="21"/>
                      <w:szCs w:val="21"/>
                    </w:rPr>
                  </w:pPr>
                  <w:r>
                    <w:rPr>
                      <w:rFonts w:hint="eastAsia" w:ascii="Times New Roman" w:eastAsia="宋体" w:cs="Times New Roman"/>
                      <w:color w:val="auto"/>
                      <w:sz w:val="21"/>
                      <w:szCs w:val="21"/>
                    </w:rPr>
                    <w:t>井口西南侧5</w:t>
                  </w:r>
                  <w:r>
                    <w:rPr>
                      <w:rFonts w:ascii="Times New Roman" w:eastAsia="宋体" w:cs="Times New Roman"/>
                      <w:color w:val="auto"/>
                      <w:sz w:val="21"/>
                      <w:szCs w:val="21"/>
                    </w:rPr>
                    <w:t>28</w:t>
                  </w:r>
                  <w:r>
                    <w:rPr>
                      <w:rFonts w:hint="eastAsia" w:ascii="Times New Roman" w:eastAsia="宋体" w:cs="Times New Roman"/>
                      <w:color w:val="auto"/>
                      <w:sz w:val="21"/>
                      <w:szCs w:val="21"/>
                    </w:rPr>
                    <w:t>m</w:t>
                  </w:r>
                </w:p>
              </w:tc>
              <w:tc>
                <w:tcPr>
                  <w:tcW w:w="1370" w:type="pct"/>
                  <w:vMerge w:val="continue"/>
                  <w:tcBorders>
                    <w:top w:val="single" w:color="auto" w:sz="4" w:space="0"/>
                    <w:left w:val="single" w:color="auto" w:sz="4" w:space="0"/>
                    <w:bottom w:val="single" w:color="auto" w:sz="4" w:space="0"/>
                    <w:right w:val="single" w:color="auto" w:sz="4" w:space="0"/>
                  </w:tcBorders>
                  <w:vAlign w:val="center"/>
                </w:tcPr>
                <w:p>
                  <w:pPr>
                    <w:widowControl/>
                    <w:jc w:val="center"/>
                    <w:rPr>
                      <w:szCs w:val="21"/>
                    </w:rPr>
                  </w:pPr>
                </w:p>
              </w:tc>
              <w:tc>
                <w:tcPr>
                  <w:tcW w:w="1034" w:type="pct"/>
                  <w:vMerge w:val="continue"/>
                  <w:tcBorders>
                    <w:top w:val="single" w:color="auto" w:sz="4" w:space="0"/>
                    <w:left w:val="single" w:color="auto" w:sz="4" w:space="0"/>
                    <w:bottom w:val="single" w:color="auto" w:sz="4" w:space="0"/>
                    <w:right w:val="single" w:color="auto" w:sz="4" w:space="0"/>
                  </w:tcBorders>
                  <w:vAlign w:val="center"/>
                </w:tcPr>
                <w:p>
                  <w:pPr>
                    <w:widowControl/>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8" w:type="pct"/>
                  <w:gridSpan w:val="2"/>
                  <w:tcBorders>
                    <w:top w:val="single" w:color="auto" w:sz="4" w:space="0"/>
                    <w:left w:val="single" w:color="auto" w:sz="4" w:space="0"/>
                    <w:bottom w:val="single" w:color="auto" w:sz="4" w:space="0"/>
                    <w:right w:val="single" w:color="auto" w:sz="4" w:space="0"/>
                  </w:tcBorders>
                  <w:vAlign w:val="center"/>
                </w:tcPr>
                <w:p>
                  <w:pPr>
                    <w:snapToGrid w:val="0"/>
                    <w:jc w:val="center"/>
                    <w:rPr>
                      <w:szCs w:val="21"/>
                    </w:rPr>
                  </w:pPr>
                  <w:r>
                    <w:rPr>
                      <w:szCs w:val="21"/>
                    </w:rPr>
                    <w:t>土壤</w:t>
                  </w:r>
                </w:p>
              </w:tc>
              <w:tc>
                <w:tcPr>
                  <w:tcW w:w="981" w:type="pct"/>
                  <w:tcBorders>
                    <w:top w:val="single" w:color="auto" w:sz="4" w:space="0"/>
                    <w:left w:val="single" w:color="auto" w:sz="4" w:space="0"/>
                    <w:bottom w:val="single" w:color="auto" w:sz="4" w:space="0"/>
                    <w:right w:val="single" w:color="auto" w:sz="4" w:space="0"/>
                  </w:tcBorders>
                  <w:vAlign w:val="center"/>
                </w:tcPr>
                <w:p>
                  <w:pPr>
                    <w:widowControl/>
                    <w:jc w:val="center"/>
                    <w:rPr>
                      <w:szCs w:val="21"/>
                    </w:rPr>
                  </w:pPr>
                  <w:r>
                    <w:rPr>
                      <w:szCs w:val="21"/>
                    </w:rPr>
                    <w:t>1个土壤监测点</w:t>
                  </w:r>
                </w:p>
              </w:tc>
              <w:tc>
                <w:tcPr>
                  <w:tcW w:w="807" w:type="pct"/>
                  <w:tcBorders>
                    <w:top w:val="single" w:color="auto" w:sz="4" w:space="0"/>
                    <w:left w:val="single" w:color="auto" w:sz="4" w:space="0"/>
                    <w:bottom w:val="single" w:color="auto" w:sz="4" w:space="0"/>
                    <w:right w:val="single" w:color="auto" w:sz="4" w:space="0"/>
                  </w:tcBorders>
                  <w:vAlign w:val="center"/>
                </w:tcPr>
                <w:p>
                  <w:pPr>
                    <w:snapToGrid w:val="0"/>
                    <w:jc w:val="center"/>
                    <w:rPr>
                      <w:szCs w:val="21"/>
                    </w:rPr>
                  </w:pPr>
                  <w:r>
                    <w:rPr>
                      <w:szCs w:val="21"/>
                    </w:rPr>
                    <w:t>清洁化操作平台旁</w:t>
                  </w:r>
                </w:p>
              </w:tc>
              <w:tc>
                <w:tcPr>
                  <w:tcW w:w="1370" w:type="pct"/>
                  <w:tcBorders>
                    <w:top w:val="single" w:color="auto" w:sz="4" w:space="0"/>
                    <w:left w:val="single" w:color="auto" w:sz="4" w:space="0"/>
                    <w:bottom w:val="single" w:color="auto" w:sz="4" w:space="0"/>
                    <w:right w:val="single" w:color="auto" w:sz="4" w:space="0"/>
                  </w:tcBorders>
                  <w:vAlign w:val="center"/>
                </w:tcPr>
                <w:p>
                  <w:pPr>
                    <w:snapToGrid w:val="0"/>
                    <w:jc w:val="center"/>
                    <w:rPr>
                      <w:szCs w:val="21"/>
                    </w:rPr>
                  </w:pPr>
                  <w:r>
                    <w:rPr>
                      <w:szCs w:val="21"/>
                    </w:rPr>
                    <w:t>石油烃（C</w:t>
                  </w:r>
                  <w:r>
                    <w:rPr>
                      <w:szCs w:val="21"/>
                      <w:vertAlign w:val="subscript"/>
                    </w:rPr>
                    <w:t>10</w:t>
                  </w:r>
                  <w:r>
                    <w:rPr>
                      <w:szCs w:val="21"/>
                    </w:rPr>
                    <w:t>-C</w:t>
                  </w:r>
                  <w:r>
                    <w:rPr>
                      <w:szCs w:val="21"/>
                      <w:vertAlign w:val="subscript"/>
                    </w:rPr>
                    <w:t>40</w:t>
                  </w:r>
                  <w:r>
                    <w:rPr>
                      <w:szCs w:val="21"/>
                    </w:rPr>
                    <w:t>）、氯化物</w:t>
                  </w:r>
                </w:p>
              </w:tc>
              <w:tc>
                <w:tcPr>
                  <w:tcW w:w="1034" w:type="pct"/>
                  <w:tcBorders>
                    <w:top w:val="single" w:color="auto" w:sz="4" w:space="0"/>
                    <w:left w:val="single" w:color="auto" w:sz="4" w:space="0"/>
                    <w:bottom w:val="single" w:color="auto" w:sz="4" w:space="0"/>
                    <w:right w:val="single" w:color="auto" w:sz="4" w:space="0"/>
                  </w:tcBorders>
                  <w:vAlign w:val="center"/>
                </w:tcPr>
                <w:p>
                  <w:pPr>
                    <w:snapToGrid w:val="0"/>
                    <w:jc w:val="center"/>
                    <w:rPr>
                      <w:szCs w:val="21"/>
                    </w:rPr>
                  </w:pPr>
                  <w:r>
                    <w:rPr>
                      <w:szCs w:val="21"/>
                    </w:rPr>
                    <w:t>完工后验收监测1次，每次监测1天，每天采样1次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6"/>
                  <w:tcBorders>
                    <w:top w:val="single" w:color="auto" w:sz="4" w:space="0"/>
                    <w:left w:val="single" w:color="auto" w:sz="4" w:space="0"/>
                    <w:bottom w:val="single" w:color="auto" w:sz="4" w:space="0"/>
                    <w:right w:val="single" w:color="auto" w:sz="4" w:space="0"/>
                  </w:tcBorders>
                  <w:vAlign w:val="center"/>
                </w:tcPr>
                <w:p>
                  <w:pPr>
                    <w:snapToGrid w:val="0"/>
                    <w:rPr>
                      <w:szCs w:val="21"/>
                    </w:rPr>
                  </w:pPr>
                  <w:r>
                    <w:rPr>
                      <w:rFonts w:hint="eastAsia"/>
                      <w:szCs w:val="21"/>
                    </w:rPr>
                    <w:t>废水、</w:t>
                  </w:r>
                  <w:r>
                    <w:rPr>
                      <w:szCs w:val="21"/>
                    </w:rPr>
                    <w:t>固废：记录</w:t>
                  </w:r>
                  <w:r>
                    <w:rPr>
                      <w:rFonts w:hint="eastAsia"/>
                      <w:szCs w:val="21"/>
                    </w:rPr>
                    <w:t>废水及</w:t>
                  </w:r>
                  <w:r>
                    <w:rPr>
                      <w:szCs w:val="21"/>
                    </w:rPr>
                    <w:t>各类固废产生量、处置量、储存量、危险废物详细记录具体去向</w:t>
                  </w:r>
                </w:p>
              </w:tc>
            </w:tr>
          </w:tbl>
          <w:p>
            <w:pPr>
              <w:spacing w:line="360" w:lineRule="auto"/>
              <w:ind w:firstLine="460" w:firstLineChars="200"/>
              <w:rPr>
                <w:bCs/>
                <w:spacing w:val="1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01" w:hRule="atLeast"/>
          <w:jc w:val="center"/>
        </w:trPr>
        <w:tc>
          <w:tcPr>
            <w:tcW w:w="753" w:type="dxa"/>
            <w:tcMar>
              <w:left w:w="28" w:type="dxa"/>
              <w:right w:w="28" w:type="dxa"/>
            </w:tcMar>
            <w:vAlign w:val="center"/>
          </w:tcPr>
          <w:p>
            <w:pPr>
              <w:adjustRightInd w:val="0"/>
              <w:snapToGrid w:val="0"/>
              <w:jc w:val="center"/>
              <w:rPr>
                <w:bCs/>
                <w:spacing w:val="10"/>
                <w:szCs w:val="21"/>
              </w:rPr>
            </w:pPr>
            <w:r>
              <w:rPr>
                <w:bCs/>
                <w:spacing w:val="10"/>
                <w:szCs w:val="21"/>
              </w:rPr>
              <w:t>运营期生态环境保护措施</w:t>
            </w:r>
          </w:p>
        </w:tc>
        <w:tc>
          <w:tcPr>
            <w:tcW w:w="8457" w:type="dxa"/>
            <w:vAlign w:val="center"/>
          </w:tcPr>
          <w:p>
            <w:pPr>
              <w:adjustRightInd w:val="0"/>
              <w:snapToGrid w:val="0"/>
              <w:rPr>
                <w:bCs/>
                <w:spacing w:val="10"/>
                <w:szCs w:val="21"/>
              </w:rPr>
            </w:pPr>
            <w:r>
              <w:rPr>
                <w:bCs/>
                <w:spacing w:val="10"/>
                <w:szCs w:val="21"/>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753" w:type="dxa"/>
            <w:vAlign w:val="center"/>
          </w:tcPr>
          <w:p>
            <w:pPr>
              <w:adjustRightInd w:val="0"/>
              <w:snapToGrid w:val="0"/>
              <w:jc w:val="center"/>
              <w:rPr>
                <w:bCs/>
                <w:spacing w:val="10"/>
                <w:szCs w:val="21"/>
              </w:rPr>
            </w:pPr>
            <w:r>
              <w:rPr>
                <w:bCs/>
                <w:szCs w:val="21"/>
              </w:rPr>
              <w:t>其他</w:t>
            </w:r>
          </w:p>
        </w:tc>
        <w:tc>
          <w:tcPr>
            <w:tcW w:w="8457" w:type="dxa"/>
            <w:vAlign w:val="center"/>
          </w:tcPr>
          <w:p>
            <w:pPr>
              <w:adjustRightInd w:val="0"/>
              <w:snapToGrid w:val="0"/>
              <w:rPr>
                <w:bCs/>
                <w:spacing w:val="10"/>
                <w:szCs w:val="21"/>
              </w:rPr>
            </w:pPr>
            <w:r>
              <w:rPr>
                <w:bCs/>
                <w:spacing w:val="10"/>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756" w:hRule="atLeast"/>
          <w:jc w:val="center"/>
        </w:trPr>
        <w:tc>
          <w:tcPr>
            <w:tcW w:w="753" w:type="dxa"/>
            <w:vAlign w:val="center"/>
          </w:tcPr>
          <w:p>
            <w:pPr>
              <w:adjustRightInd w:val="0"/>
              <w:snapToGrid w:val="0"/>
              <w:jc w:val="center"/>
              <w:rPr>
                <w:bCs/>
                <w:spacing w:val="10"/>
                <w:szCs w:val="21"/>
              </w:rPr>
            </w:pPr>
            <w:r>
              <w:rPr>
                <w:bCs/>
                <w:szCs w:val="21"/>
              </w:rPr>
              <w:t>环保投资</w:t>
            </w:r>
          </w:p>
        </w:tc>
        <w:tc>
          <w:tcPr>
            <w:tcW w:w="8457" w:type="dxa"/>
          </w:tcPr>
          <w:p>
            <w:pPr>
              <w:spacing w:line="360" w:lineRule="auto"/>
              <w:ind w:firstLine="420" w:firstLineChars="200"/>
              <w:rPr>
                <w:szCs w:val="21"/>
              </w:rPr>
            </w:pPr>
            <w:r>
              <w:rPr>
                <w:szCs w:val="21"/>
              </w:rPr>
              <w:t>本次钻井项目总投资9000万元，环保投资150万元，占总投资的1.7%。环保投资主要用于废水治理、固体废物处理、噪声污染防治，以及施工迹地生态恢复等，符合该项目的实际特点。环保投资一览表见</w:t>
            </w:r>
            <w:r>
              <w:rPr>
                <w:rFonts w:hint="eastAsia"/>
                <w:szCs w:val="21"/>
              </w:rPr>
              <w:t>下</w:t>
            </w:r>
            <w:r>
              <w:rPr>
                <w:szCs w:val="21"/>
              </w:rPr>
              <w:t>表。</w:t>
            </w:r>
          </w:p>
          <w:p>
            <w:pPr>
              <w:pStyle w:val="209"/>
              <w:numPr>
                <w:ilvl w:val="0"/>
                <w:numId w:val="7"/>
              </w:numPr>
              <w:ind w:firstLineChars="0"/>
              <w:jc w:val="center"/>
              <w:rPr>
                <w:b/>
                <w:sz w:val="21"/>
              </w:rPr>
            </w:pPr>
            <w:r>
              <w:rPr>
                <w:b/>
                <w:sz w:val="21"/>
              </w:rPr>
              <w:t>项目环境保护措施与投资一览表</w:t>
            </w:r>
          </w:p>
          <w:tbl>
            <w:tblPr>
              <w:tblStyle w:val="42"/>
              <w:tblW w:w="8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2"/>
              <w:gridCol w:w="1175"/>
              <w:gridCol w:w="5355"/>
              <w:gridCol w:w="9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792" w:type="dxa"/>
                  <w:tcBorders>
                    <w:tl2br w:val="single" w:color="auto" w:sz="4" w:space="0"/>
                  </w:tcBorders>
                  <w:vAlign w:val="center"/>
                </w:tcPr>
                <w:p>
                  <w:pPr>
                    <w:pStyle w:val="23"/>
                    <w:adjustRightInd w:val="0"/>
                    <w:spacing w:before="0" w:beforeAutospacing="0" w:after="0" w:afterAutospacing="0"/>
                    <w:jc w:val="right"/>
                    <w:rPr>
                      <w:rFonts w:ascii="Times New Roman" w:hAnsi="Times New Roman"/>
                      <w:sz w:val="21"/>
                      <w:szCs w:val="21"/>
                    </w:rPr>
                  </w:pPr>
                  <w:r>
                    <w:rPr>
                      <w:rFonts w:ascii="Times New Roman" w:hAnsi="Times New Roman"/>
                      <w:sz w:val="21"/>
                      <w:szCs w:val="21"/>
                    </w:rPr>
                    <w:t>内容</w:t>
                  </w:r>
                </w:p>
                <w:p>
                  <w:pPr>
                    <w:pStyle w:val="23"/>
                    <w:adjustRightInd w:val="0"/>
                    <w:spacing w:before="0" w:beforeAutospacing="0" w:after="0" w:afterAutospacing="0"/>
                    <w:rPr>
                      <w:rFonts w:ascii="Times New Roman" w:hAnsi="Times New Roman"/>
                      <w:sz w:val="21"/>
                      <w:szCs w:val="21"/>
                    </w:rPr>
                  </w:pPr>
                  <w:r>
                    <w:rPr>
                      <w:rFonts w:ascii="Times New Roman" w:hAnsi="Times New Roman"/>
                      <w:sz w:val="21"/>
                      <w:szCs w:val="21"/>
                    </w:rPr>
                    <w:t>类型</w:t>
                  </w:r>
                </w:p>
              </w:tc>
              <w:tc>
                <w:tcPr>
                  <w:tcW w:w="1175" w:type="dxa"/>
                  <w:vAlign w:val="center"/>
                </w:tcPr>
                <w:p>
                  <w:pPr>
                    <w:pStyle w:val="23"/>
                    <w:adjustRightInd w:val="0"/>
                    <w:spacing w:before="0" w:beforeAutospacing="0" w:after="0" w:afterAutospacing="0"/>
                    <w:jc w:val="center"/>
                    <w:rPr>
                      <w:rFonts w:ascii="Times New Roman" w:hAnsi="Times New Roman"/>
                      <w:sz w:val="21"/>
                      <w:szCs w:val="21"/>
                    </w:rPr>
                  </w:pPr>
                  <w:r>
                    <w:rPr>
                      <w:rFonts w:ascii="Times New Roman" w:hAnsi="Times New Roman"/>
                      <w:sz w:val="21"/>
                      <w:szCs w:val="21"/>
                    </w:rPr>
                    <w:t>污染物</w:t>
                  </w:r>
                </w:p>
                <w:p>
                  <w:pPr>
                    <w:pStyle w:val="23"/>
                    <w:adjustRightInd w:val="0"/>
                    <w:spacing w:before="0" w:beforeAutospacing="0" w:after="0" w:afterAutospacing="0"/>
                    <w:jc w:val="center"/>
                    <w:rPr>
                      <w:rFonts w:ascii="Times New Roman" w:hAnsi="Times New Roman"/>
                      <w:sz w:val="21"/>
                      <w:szCs w:val="21"/>
                    </w:rPr>
                  </w:pPr>
                  <w:r>
                    <w:rPr>
                      <w:rFonts w:ascii="Times New Roman" w:hAnsi="Times New Roman"/>
                      <w:sz w:val="21"/>
                      <w:szCs w:val="21"/>
                    </w:rPr>
                    <w:t>名称</w:t>
                  </w:r>
                </w:p>
              </w:tc>
              <w:tc>
                <w:tcPr>
                  <w:tcW w:w="5355" w:type="dxa"/>
                  <w:vAlign w:val="center"/>
                </w:tcPr>
                <w:p>
                  <w:pPr>
                    <w:pStyle w:val="23"/>
                    <w:adjustRightInd w:val="0"/>
                    <w:spacing w:before="0" w:beforeAutospacing="0" w:after="0" w:afterAutospacing="0"/>
                    <w:jc w:val="center"/>
                    <w:rPr>
                      <w:rFonts w:ascii="Times New Roman" w:hAnsi="Times New Roman"/>
                      <w:sz w:val="21"/>
                      <w:szCs w:val="21"/>
                    </w:rPr>
                  </w:pPr>
                  <w:r>
                    <w:rPr>
                      <w:rFonts w:ascii="Times New Roman" w:hAnsi="Times New Roman"/>
                      <w:sz w:val="21"/>
                      <w:szCs w:val="21"/>
                    </w:rPr>
                    <w:t>防治措施</w:t>
                  </w:r>
                </w:p>
              </w:tc>
              <w:tc>
                <w:tcPr>
                  <w:tcW w:w="918" w:type="dxa"/>
                  <w:vAlign w:val="center"/>
                </w:tcPr>
                <w:p>
                  <w:pPr>
                    <w:pStyle w:val="23"/>
                    <w:adjustRightInd w:val="0"/>
                    <w:spacing w:before="0" w:beforeAutospacing="0" w:after="0" w:afterAutospacing="0"/>
                    <w:jc w:val="center"/>
                    <w:rPr>
                      <w:rFonts w:ascii="Times New Roman" w:hAnsi="Times New Roman"/>
                      <w:sz w:val="21"/>
                      <w:szCs w:val="21"/>
                    </w:rPr>
                  </w:pPr>
                  <w:r>
                    <w:rPr>
                      <w:rFonts w:ascii="Times New Roman" w:hAnsi="Times New Roman"/>
                      <w:sz w:val="21"/>
                      <w:szCs w:val="21"/>
                    </w:rPr>
                    <w:t>投资</w:t>
                  </w:r>
                </w:p>
                <w:p>
                  <w:pPr>
                    <w:pStyle w:val="23"/>
                    <w:adjustRightInd w:val="0"/>
                    <w:spacing w:before="0" w:beforeAutospacing="0" w:after="0" w:afterAutospacing="0"/>
                    <w:jc w:val="center"/>
                    <w:rPr>
                      <w:rFonts w:ascii="Times New Roman" w:hAnsi="Times New Roman"/>
                      <w:sz w:val="21"/>
                      <w:szCs w:val="21"/>
                    </w:rPr>
                  </w:pPr>
                  <w:r>
                    <w:rPr>
                      <w:rFonts w:ascii="Times New Roman" w:hAnsi="Times New Roman"/>
                      <w:sz w:val="21"/>
                      <w:szCs w:val="21"/>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792" w:type="dxa"/>
                  <w:vMerge w:val="restart"/>
                  <w:vAlign w:val="center"/>
                </w:tcPr>
                <w:p>
                  <w:pPr>
                    <w:pStyle w:val="19"/>
                    <w:adjustRightInd w:val="0"/>
                    <w:spacing w:before="0" w:after="0" w:line="240" w:lineRule="auto"/>
                    <w:ind w:right="0"/>
                    <w:jc w:val="center"/>
                    <w:rPr>
                      <w:sz w:val="21"/>
                      <w:szCs w:val="21"/>
                    </w:rPr>
                  </w:pPr>
                  <w:r>
                    <w:rPr>
                      <w:sz w:val="21"/>
                      <w:szCs w:val="21"/>
                    </w:rPr>
                    <w:t>水</w:t>
                  </w:r>
                </w:p>
                <w:p>
                  <w:pPr>
                    <w:pStyle w:val="19"/>
                    <w:adjustRightInd w:val="0"/>
                    <w:spacing w:before="0" w:after="0" w:line="240" w:lineRule="auto"/>
                    <w:ind w:right="0"/>
                    <w:jc w:val="center"/>
                    <w:rPr>
                      <w:sz w:val="21"/>
                      <w:szCs w:val="21"/>
                    </w:rPr>
                  </w:pPr>
                  <w:r>
                    <w:rPr>
                      <w:sz w:val="21"/>
                      <w:szCs w:val="21"/>
                    </w:rPr>
                    <w:t>污</w:t>
                  </w:r>
                </w:p>
                <w:p>
                  <w:pPr>
                    <w:pStyle w:val="19"/>
                    <w:adjustRightInd w:val="0"/>
                    <w:spacing w:before="0" w:after="0" w:line="240" w:lineRule="auto"/>
                    <w:ind w:right="0"/>
                    <w:jc w:val="center"/>
                    <w:rPr>
                      <w:sz w:val="21"/>
                      <w:szCs w:val="21"/>
                    </w:rPr>
                  </w:pPr>
                  <w:r>
                    <w:rPr>
                      <w:sz w:val="21"/>
                      <w:szCs w:val="21"/>
                    </w:rPr>
                    <w:t>染</w:t>
                  </w:r>
                </w:p>
                <w:p>
                  <w:pPr>
                    <w:pStyle w:val="19"/>
                    <w:adjustRightInd w:val="0"/>
                    <w:spacing w:before="0" w:after="0" w:line="240" w:lineRule="auto"/>
                    <w:ind w:right="0"/>
                    <w:jc w:val="center"/>
                    <w:rPr>
                      <w:sz w:val="21"/>
                      <w:szCs w:val="21"/>
                    </w:rPr>
                  </w:pPr>
                  <w:r>
                    <w:rPr>
                      <w:sz w:val="21"/>
                      <w:szCs w:val="21"/>
                    </w:rPr>
                    <w:t>物</w:t>
                  </w:r>
                </w:p>
              </w:tc>
              <w:tc>
                <w:tcPr>
                  <w:tcW w:w="1175" w:type="dxa"/>
                  <w:vAlign w:val="center"/>
                </w:tcPr>
                <w:p>
                  <w:pPr>
                    <w:jc w:val="center"/>
                    <w:rPr>
                      <w:szCs w:val="21"/>
                    </w:rPr>
                  </w:pPr>
                  <w:r>
                    <w:rPr>
                      <w:szCs w:val="21"/>
                    </w:rPr>
                    <w:t>废水收集、清污分流</w:t>
                  </w:r>
                </w:p>
              </w:tc>
              <w:tc>
                <w:tcPr>
                  <w:tcW w:w="5355" w:type="dxa"/>
                  <w:vAlign w:val="center"/>
                </w:tcPr>
                <w:p>
                  <w:pPr>
                    <w:adjustRightInd w:val="0"/>
                    <w:rPr>
                      <w:szCs w:val="21"/>
                    </w:rPr>
                  </w:pPr>
                  <w:r>
                    <w:rPr>
                      <w:szCs w:val="21"/>
                    </w:rPr>
                    <w:t>井场四周</w:t>
                  </w:r>
                  <w:r>
                    <w:rPr>
                      <w:rFonts w:hint="eastAsia"/>
                      <w:szCs w:val="21"/>
                    </w:rPr>
                    <w:t>已</w:t>
                  </w:r>
                  <w:r>
                    <w:rPr>
                      <w:szCs w:val="21"/>
                    </w:rPr>
                    <w:t>设置雨水排水沟，场外雨水随雨水沟排放；井场分为清洁区和</w:t>
                  </w:r>
                  <w:r>
                    <w:rPr>
                      <w:rFonts w:hint="eastAsia"/>
                      <w:szCs w:val="21"/>
                    </w:rPr>
                    <w:t>产污区</w:t>
                  </w:r>
                  <w:r>
                    <w:rPr>
                      <w:szCs w:val="21"/>
                    </w:rPr>
                    <w:t>，通过挡墙隔离。清洁区雨水通过场地内的隔油池处理后外排。</w:t>
                  </w:r>
                  <w:r>
                    <w:rPr>
                      <w:rFonts w:hint="eastAsia"/>
                      <w:szCs w:val="21"/>
                    </w:rPr>
                    <w:t>产污区雨水经排水沟汇入隔油池，经油水分离后油品回收，分离后废水泵入清洁生产操作平台废水罐处理回用</w:t>
                  </w:r>
                </w:p>
              </w:tc>
              <w:tc>
                <w:tcPr>
                  <w:tcW w:w="918" w:type="dxa"/>
                  <w:vAlign w:val="center"/>
                </w:tcPr>
                <w:p>
                  <w:pPr>
                    <w:adjustRightInd w:val="0"/>
                    <w:jc w:val="center"/>
                    <w:rPr>
                      <w:szCs w:val="21"/>
                    </w:rPr>
                  </w:pPr>
                  <w:r>
                    <w:rPr>
                      <w:szCs w:val="21"/>
                    </w:rPr>
                    <w:t>工程投资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792" w:type="dxa"/>
                  <w:vMerge w:val="continue"/>
                  <w:vAlign w:val="center"/>
                </w:tcPr>
                <w:p>
                  <w:pPr>
                    <w:pStyle w:val="19"/>
                    <w:adjustRightInd w:val="0"/>
                    <w:spacing w:before="0" w:after="0" w:line="240" w:lineRule="auto"/>
                    <w:ind w:right="0"/>
                    <w:jc w:val="center"/>
                    <w:rPr>
                      <w:sz w:val="21"/>
                      <w:szCs w:val="21"/>
                    </w:rPr>
                  </w:pPr>
                </w:p>
              </w:tc>
              <w:tc>
                <w:tcPr>
                  <w:tcW w:w="1175" w:type="dxa"/>
                  <w:vAlign w:val="center"/>
                </w:tcPr>
                <w:p>
                  <w:pPr>
                    <w:pStyle w:val="292"/>
                    <w:widowControl w:val="0"/>
                    <w:spacing w:before="0" w:beforeAutospacing="0" w:after="0" w:afterAutospacing="0"/>
                    <w:rPr>
                      <w:rFonts w:ascii="Times New Roman" w:hAnsi="Times New Roman"/>
                      <w:kern w:val="2"/>
                      <w:sz w:val="21"/>
                      <w:szCs w:val="21"/>
                    </w:rPr>
                  </w:pPr>
                  <w:r>
                    <w:rPr>
                      <w:rFonts w:ascii="Times New Roman" w:hAnsi="Times New Roman"/>
                      <w:kern w:val="2"/>
                      <w:sz w:val="21"/>
                      <w:szCs w:val="21"/>
                    </w:rPr>
                    <w:t>钻井废水处置</w:t>
                  </w:r>
                </w:p>
              </w:tc>
              <w:tc>
                <w:tcPr>
                  <w:tcW w:w="5355" w:type="dxa"/>
                  <w:vAlign w:val="center"/>
                </w:tcPr>
                <w:p>
                  <w:pPr>
                    <w:rPr>
                      <w:kern w:val="0"/>
                      <w:szCs w:val="21"/>
                    </w:rPr>
                  </w:pPr>
                  <w:r>
                    <w:rPr>
                      <w:kern w:val="0"/>
                      <w:szCs w:val="21"/>
                    </w:rPr>
                    <w:t>钻井剩余废水</w:t>
                  </w:r>
                  <w:r>
                    <w:rPr>
                      <w:rFonts w:hint="eastAsia"/>
                      <w:kern w:val="0"/>
                      <w:szCs w:val="21"/>
                    </w:rPr>
                    <w:t>、洗井废水</w:t>
                  </w:r>
                  <w:r>
                    <w:rPr>
                      <w:kern w:val="0"/>
                      <w:szCs w:val="21"/>
                    </w:rPr>
                    <w:t>储存在废水罐和应急池中</w:t>
                  </w:r>
                  <w:r>
                    <w:rPr>
                      <w:rFonts w:hint="eastAsia"/>
                      <w:kern w:val="0"/>
                      <w:szCs w:val="21"/>
                    </w:rPr>
                    <w:t>，用于配置压裂液</w:t>
                  </w:r>
                  <w:r>
                    <w:rPr>
                      <w:kern w:val="0"/>
                      <w:szCs w:val="21"/>
                    </w:rPr>
                    <w:t>。</w:t>
                  </w:r>
                  <w:r>
                    <w:rPr>
                      <w:szCs w:val="21"/>
                    </w:rPr>
                    <w:t>酸化废水经管道直接进入清洁生产操作平台的废水罐中预处理后临时储存应急池。罐区应搭建临时雨棚，做好防雨措施。并对应急池设置加盖方式，做好防雨措施。最终拟交由至四川瑞利生物科技有限公司</w:t>
                  </w:r>
                  <w:r>
                    <w:rPr>
                      <w:kern w:val="0"/>
                      <w:szCs w:val="21"/>
                      <w:lang w:bidi="ar"/>
                    </w:rPr>
                    <w:t>污水处理厂</w:t>
                  </w:r>
                  <w:r>
                    <w:rPr>
                      <w:szCs w:val="21"/>
                    </w:rPr>
                    <w:t>处理。</w:t>
                  </w:r>
                </w:p>
              </w:tc>
              <w:tc>
                <w:tcPr>
                  <w:tcW w:w="918" w:type="dxa"/>
                  <w:vAlign w:val="center"/>
                </w:tcPr>
                <w:p>
                  <w:pPr>
                    <w:adjustRightInd w:val="0"/>
                    <w:jc w:val="center"/>
                    <w:rPr>
                      <w:szCs w:val="21"/>
                    </w:rPr>
                  </w:pPr>
                  <w:r>
                    <w:rPr>
                      <w:szCs w:val="21"/>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792" w:type="dxa"/>
                  <w:vMerge w:val="continue"/>
                  <w:vAlign w:val="center"/>
                </w:tcPr>
                <w:p>
                  <w:pPr>
                    <w:pStyle w:val="19"/>
                    <w:adjustRightInd w:val="0"/>
                    <w:spacing w:before="0" w:after="0" w:line="240" w:lineRule="auto"/>
                    <w:ind w:right="0"/>
                    <w:jc w:val="center"/>
                    <w:rPr>
                      <w:sz w:val="21"/>
                      <w:szCs w:val="21"/>
                    </w:rPr>
                  </w:pPr>
                </w:p>
              </w:tc>
              <w:tc>
                <w:tcPr>
                  <w:tcW w:w="1175" w:type="dxa"/>
                  <w:vAlign w:val="center"/>
                </w:tcPr>
                <w:p>
                  <w:pPr>
                    <w:jc w:val="center"/>
                    <w:rPr>
                      <w:szCs w:val="21"/>
                    </w:rPr>
                  </w:pPr>
                  <w:r>
                    <w:rPr>
                      <w:szCs w:val="21"/>
                    </w:rPr>
                    <w:t>生活污水</w:t>
                  </w:r>
                </w:p>
              </w:tc>
              <w:tc>
                <w:tcPr>
                  <w:tcW w:w="5355" w:type="dxa"/>
                  <w:vAlign w:val="center"/>
                </w:tcPr>
                <w:p>
                  <w:pPr>
                    <w:rPr>
                      <w:szCs w:val="21"/>
                    </w:rPr>
                  </w:pPr>
                  <w:r>
                    <w:rPr>
                      <w:rFonts w:hint="eastAsia"/>
                      <w:spacing w:val="-6"/>
                      <w:szCs w:val="21"/>
                    </w:rPr>
                    <w:t>生活污水经旱厕收集后由吸污车拉运至北山镇污水处理厂处理后排放，</w:t>
                  </w:r>
                  <w:r>
                    <w:rPr>
                      <w:spacing w:val="-6"/>
                      <w:szCs w:val="21"/>
                    </w:rPr>
                    <w:t>食堂各设1座10m</w:t>
                  </w:r>
                  <w:r>
                    <w:rPr>
                      <w:spacing w:val="-6"/>
                      <w:szCs w:val="21"/>
                      <w:vertAlign w:val="superscript"/>
                    </w:rPr>
                    <w:t>3</w:t>
                  </w:r>
                  <w:r>
                    <w:rPr>
                      <w:spacing w:val="-6"/>
                      <w:szCs w:val="21"/>
                    </w:rPr>
                    <w:t>的污水隔油池处理后用于</w:t>
                  </w:r>
                  <w:r>
                    <w:rPr>
                      <w:rFonts w:hint="eastAsia"/>
                      <w:spacing w:val="-6"/>
                      <w:szCs w:val="21"/>
                    </w:rPr>
                    <w:t>同生活污水处置</w:t>
                  </w:r>
                  <w:r>
                    <w:rPr>
                      <w:spacing w:val="-6"/>
                      <w:szCs w:val="21"/>
                    </w:rPr>
                    <w:t>，不外排</w:t>
                  </w:r>
                  <w:r>
                    <w:rPr>
                      <w:szCs w:val="21"/>
                    </w:rPr>
                    <w:t>。</w:t>
                  </w:r>
                </w:p>
              </w:tc>
              <w:tc>
                <w:tcPr>
                  <w:tcW w:w="918" w:type="dxa"/>
                  <w:vAlign w:val="center"/>
                </w:tcPr>
                <w:p>
                  <w:pPr>
                    <w:adjustRightInd w:val="0"/>
                    <w:jc w:val="center"/>
                    <w:rPr>
                      <w:szCs w:val="21"/>
                    </w:rPr>
                  </w:pPr>
                  <w:r>
                    <w:rPr>
                      <w:szCs w:val="21"/>
                    </w:rPr>
                    <w:t>工程投资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792" w:type="dxa"/>
                  <w:vMerge w:val="restart"/>
                  <w:vAlign w:val="center"/>
                </w:tcPr>
                <w:p>
                  <w:pPr>
                    <w:pStyle w:val="19"/>
                    <w:adjustRightInd w:val="0"/>
                    <w:spacing w:before="0" w:after="0" w:line="240" w:lineRule="auto"/>
                    <w:ind w:right="0"/>
                    <w:jc w:val="center"/>
                    <w:rPr>
                      <w:sz w:val="21"/>
                      <w:szCs w:val="21"/>
                    </w:rPr>
                  </w:pPr>
                  <w:r>
                    <w:rPr>
                      <w:sz w:val="21"/>
                      <w:szCs w:val="21"/>
                    </w:rPr>
                    <w:t>大</w:t>
                  </w:r>
                </w:p>
                <w:p>
                  <w:pPr>
                    <w:pStyle w:val="19"/>
                    <w:adjustRightInd w:val="0"/>
                    <w:spacing w:before="0" w:after="0" w:line="240" w:lineRule="auto"/>
                    <w:ind w:right="0"/>
                    <w:jc w:val="center"/>
                    <w:rPr>
                      <w:sz w:val="21"/>
                      <w:szCs w:val="21"/>
                    </w:rPr>
                  </w:pPr>
                  <w:r>
                    <w:rPr>
                      <w:sz w:val="21"/>
                      <w:szCs w:val="21"/>
                    </w:rPr>
                    <w:t>气</w:t>
                  </w:r>
                </w:p>
                <w:p>
                  <w:pPr>
                    <w:pStyle w:val="19"/>
                    <w:adjustRightInd w:val="0"/>
                    <w:spacing w:before="0" w:after="0" w:line="240" w:lineRule="auto"/>
                    <w:ind w:right="0"/>
                    <w:jc w:val="center"/>
                    <w:rPr>
                      <w:sz w:val="21"/>
                      <w:szCs w:val="21"/>
                    </w:rPr>
                  </w:pPr>
                  <w:r>
                    <w:rPr>
                      <w:sz w:val="21"/>
                      <w:szCs w:val="21"/>
                    </w:rPr>
                    <w:t>污</w:t>
                  </w:r>
                </w:p>
                <w:p>
                  <w:pPr>
                    <w:pStyle w:val="19"/>
                    <w:adjustRightInd w:val="0"/>
                    <w:spacing w:before="0" w:after="0" w:line="240" w:lineRule="auto"/>
                    <w:ind w:right="0"/>
                    <w:jc w:val="center"/>
                    <w:rPr>
                      <w:sz w:val="21"/>
                      <w:szCs w:val="21"/>
                    </w:rPr>
                  </w:pPr>
                  <w:r>
                    <w:rPr>
                      <w:sz w:val="21"/>
                      <w:szCs w:val="21"/>
                    </w:rPr>
                    <w:t>染</w:t>
                  </w:r>
                </w:p>
                <w:p>
                  <w:pPr>
                    <w:pStyle w:val="19"/>
                    <w:adjustRightInd w:val="0"/>
                    <w:spacing w:before="0" w:after="0" w:line="240" w:lineRule="auto"/>
                    <w:ind w:right="0"/>
                    <w:jc w:val="center"/>
                    <w:rPr>
                      <w:sz w:val="21"/>
                      <w:szCs w:val="21"/>
                    </w:rPr>
                  </w:pPr>
                  <w:r>
                    <w:rPr>
                      <w:sz w:val="21"/>
                      <w:szCs w:val="21"/>
                    </w:rPr>
                    <w:t>物</w:t>
                  </w:r>
                </w:p>
                <w:p>
                  <w:pPr>
                    <w:pStyle w:val="19"/>
                    <w:adjustRightInd w:val="0"/>
                    <w:spacing w:before="0" w:after="0" w:line="240" w:lineRule="auto"/>
                    <w:ind w:right="0"/>
                    <w:jc w:val="center"/>
                    <w:rPr>
                      <w:sz w:val="21"/>
                      <w:szCs w:val="21"/>
                    </w:rPr>
                  </w:pPr>
                </w:p>
              </w:tc>
              <w:tc>
                <w:tcPr>
                  <w:tcW w:w="1175" w:type="dxa"/>
                  <w:vAlign w:val="center"/>
                </w:tcPr>
                <w:p>
                  <w:pPr>
                    <w:adjustRightInd w:val="0"/>
                    <w:jc w:val="center"/>
                    <w:rPr>
                      <w:bCs/>
                      <w:szCs w:val="21"/>
                    </w:rPr>
                  </w:pPr>
                  <w:r>
                    <w:rPr>
                      <w:bCs/>
                      <w:szCs w:val="21"/>
                    </w:rPr>
                    <w:t>备用柴油机和发电机</w:t>
                  </w:r>
                </w:p>
              </w:tc>
              <w:tc>
                <w:tcPr>
                  <w:tcW w:w="5355" w:type="dxa"/>
                  <w:vAlign w:val="center"/>
                </w:tcPr>
                <w:p>
                  <w:pPr>
                    <w:adjustRightInd w:val="0"/>
                    <w:rPr>
                      <w:szCs w:val="21"/>
                    </w:rPr>
                  </w:pPr>
                  <w:r>
                    <w:rPr>
                      <w:szCs w:val="21"/>
                    </w:rPr>
                    <w:t>柴油机经自带尾气处理系统后经过自带排气筒排放。</w:t>
                  </w:r>
                </w:p>
              </w:tc>
              <w:tc>
                <w:tcPr>
                  <w:tcW w:w="918" w:type="dxa"/>
                  <w:vAlign w:val="center"/>
                </w:tcPr>
                <w:p>
                  <w:pPr>
                    <w:adjustRightInd w:val="0"/>
                    <w:jc w:val="center"/>
                    <w:rPr>
                      <w:szCs w:val="21"/>
                    </w:rPr>
                  </w:pPr>
                  <w:r>
                    <w:rPr>
                      <w:szCs w:val="21"/>
                    </w:rPr>
                    <w:t>工程投资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792" w:type="dxa"/>
                  <w:vMerge w:val="continue"/>
                  <w:vAlign w:val="center"/>
                </w:tcPr>
                <w:p>
                  <w:pPr>
                    <w:pStyle w:val="19"/>
                    <w:adjustRightInd w:val="0"/>
                    <w:spacing w:before="0" w:after="0" w:line="240" w:lineRule="auto"/>
                    <w:ind w:right="0"/>
                    <w:jc w:val="center"/>
                    <w:rPr>
                      <w:sz w:val="21"/>
                      <w:szCs w:val="21"/>
                    </w:rPr>
                  </w:pPr>
                </w:p>
              </w:tc>
              <w:tc>
                <w:tcPr>
                  <w:tcW w:w="1175" w:type="dxa"/>
                  <w:vAlign w:val="center"/>
                </w:tcPr>
                <w:p>
                  <w:pPr>
                    <w:adjustRightInd w:val="0"/>
                    <w:jc w:val="center"/>
                    <w:rPr>
                      <w:bCs/>
                      <w:szCs w:val="21"/>
                      <w:vertAlign w:val="subscript"/>
                    </w:rPr>
                  </w:pPr>
                  <w:r>
                    <w:rPr>
                      <w:szCs w:val="21"/>
                    </w:rPr>
                    <w:t>测试放喷废气</w:t>
                  </w:r>
                </w:p>
              </w:tc>
              <w:tc>
                <w:tcPr>
                  <w:tcW w:w="5355" w:type="dxa"/>
                  <w:vAlign w:val="center"/>
                </w:tcPr>
                <w:p>
                  <w:pPr>
                    <w:adjustRightInd w:val="0"/>
                    <w:rPr>
                      <w:szCs w:val="21"/>
                    </w:rPr>
                  </w:pPr>
                  <w:r>
                    <w:rPr>
                      <w:szCs w:val="21"/>
                    </w:rPr>
                    <w:t>放喷期间应临时撤离放喷口周边500m的居民。</w:t>
                  </w:r>
                </w:p>
              </w:tc>
              <w:tc>
                <w:tcPr>
                  <w:tcW w:w="918" w:type="dxa"/>
                  <w:vAlign w:val="center"/>
                </w:tcPr>
                <w:p>
                  <w:pPr>
                    <w:adjustRightInd w:val="0"/>
                    <w:jc w:val="center"/>
                    <w:rPr>
                      <w:szCs w:val="21"/>
                    </w:rPr>
                  </w:pPr>
                  <w:r>
                    <w:rPr>
                      <w:szCs w:val="21"/>
                    </w:rPr>
                    <w:t>工程投资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792" w:type="dxa"/>
                  <w:vMerge w:val="restart"/>
                  <w:vAlign w:val="center"/>
                </w:tcPr>
                <w:p>
                  <w:pPr>
                    <w:pStyle w:val="19"/>
                    <w:adjustRightInd w:val="0"/>
                    <w:spacing w:before="0" w:after="0" w:line="240" w:lineRule="auto"/>
                    <w:ind w:right="0"/>
                    <w:jc w:val="center"/>
                    <w:rPr>
                      <w:sz w:val="21"/>
                      <w:szCs w:val="21"/>
                    </w:rPr>
                  </w:pPr>
                  <w:r>
                    <w:rPr>
                      <w:sz w:val="21"/>
                      <w:szCs w:val="21"/>
                    </w:rPr>
                    <w:t>固</w:t>
                  </w:r>
                </w:p>
                <w:p>
                  <w:pPr>
                    <w:pStyle w:val="19"/>
                    <w:adjustRightInd w:val="0"/>
                    <w:spacing w:before="0" w:after="0" w:line="240" w:lineRule="auto"/>
                    <w:ind w:right="0"/>
                    <w:jc w:val="center"/>
                    <w:rPr>
                      <w:sz w:val="21"/>
                      <w:szCs w:val="21"/>
                    </w:rPr>
                  </w:pPr>
                  <w:r>
                    <w:rPr>
                      <w:sz w:val="21"/>
                      <w:szCs w:val="21"/>
                    </w:rPr>
                    <w:t>体</w:t>
                  </w:r>
                </w:p>
                <w:p>
                  <w:pPr>
                    <w:pStyle w:val="19"/>
                    <w:adjustRightInd w:val="0"/>
                    <w:spacing w:before="0" w:after="0" w:line="240" w:lineRule="auto"/>
                    <w:ind w:right="0"/>
                    <w:jc w:val="center"/>
                    <w:rPr>
                      <w:sz w:val="21"/>
                      <w:szCs w:val="21"/>
                    </w:rPr>
                  </w:pPr>
                  <w:r>
                    <w:rPr>
                      <w:sz w:val="21"/>
                      <w:szCs w:val="21"/>
                    </w:rPr>
                    <w:t>废</w:t>
                  </w:r>
                </w:p>
                <w:p>
                  <w:pPr>
                    <w:pStyle w:val="19"/>
                    <w:adjustRightInd w:val="0"/>
                    <w:spacing w:before="0" w:after="0" w:line="240" w:lineRule="auto"/>
                    <w:ind w:right="0"/>
                    <w:jc w:val="center"/>
                    <w:rPr>
                      <w:sz w:val="21"/>
                      <w:szCs w:val="21"/>
                    </w:rPr>
                  </w:pPr>
                  <w:r>
                    <w:rPr>
                      <w:sz w:val="21"/>
                      <w:szCs w:val="21"/>
                    </w:rPr>
                    <w:t>物</w:t>
                  </w:r>
                </w:p>
              </w:tc>
              <w:tc>
                <w:tcPr>
                  <w:tcW w:w="1175" w:type="dxa"/>
                  <w:vAlign w:val="center"/>
                </w:tcPr>
                <w:p>
                  <w:pPr>
                    <w:snapToGrid w:val="0"/>
                    <w:jc w:val="center"/>
                    <w:rPr>
                      <w:szCs w:val="21"/>
                    </w:rPr>
                  </w:pPr>
                  <w:r>
                    <w:rPr>
                      <w:szCs w:val="21"/>
                    </w:rPr>
                    <w:t>生活垃圾</w:t>
                  </w:r>
                </w:p>
              </w:tc>
              <w:tc>
                <w:tcPr>
                  <w:tcW w:w="5355" w:type="dxa"/>
                  <w:vAlign w:val="center"/>
                </w:tcPr>
                <w:p>
                  <w:pPr>
                    <w:rPr>
                      <w:szCs w:val="21"/>
                    </w:rPr>
                  </w:pPr>
                  <w:r>
                    <w:rPr>
                      <w:szCs w:val="21"/>
                    </w:rPr>
                    <w:t>井场区域和生活区各设1个垃圾箱，完工后外运</w:t>
                  </w:r>
                  <w:r>
                    <w:rPr>
                      <w:rFonts w:hint="eastAsia"/>
                      <w:szCs w:val="21"/>
                    </w:rPr>
                    <w:t>北山镇</w:t>
                  </w:r>
                  <w:r>
                    <w:rPr>
                      <w:szCs w:val="21"/>
                    </w:rPr>
                    <w:t>环卫集中收集处置。</w:t>
                  </w:r>
                  <w:r>
                    <w:rPr>
                      <w:rFonts w:hint="eastAsia"/>
                      <w:szCs w:val="21"/>
                    </w:rPr>
                    <w:t>废包装材料量较少，收集后全部回收利用。</w:t>
                  </w:r>
                </w:p>
              </w:tc>
              <w:tc>
                <w:tcPr>
                  <w:tcW w:w="918" w:type="dxa"/>
                  <w:vAlign w:val="center"/>
                </w:tcPr>
                <w:p>
                  <w:pPr>
                    <w:adjustRightInd w:val="0"/>
                    <w:jc w:val="center"/>
                    <w:rPr>
                      <w:szCs w:val="21"/>
                    </w:rPr>
                  </w:pPr>
                  <w:r>
                    <w:rPr>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792" w:type="dxa"/>
                  <w:vMerge w:val="continue"/>
                  <w:vAlign w:val="center"/>
                </w:tcPr>
                <w:p>
                  <w:pPr>
                    <w:pStyle w:val="19"/>
                    <w:adjustRightInd w:val="0"/>
                    <w:spacing w:before="0" w:after="0" w:line="240" w:lineRule="auto"/>
                    <w:ind w:right="0"/>
                    <w:jc w:val="center"/>
                    <w:rPr>
                      <w:sz w:val="21"/>
                      <w:szCs w:val="21"/>
                    </w:rPr>
                  </w:pPr>
                </w:p>
              </w:tc>
              <w:tc>
                <w:tcPr>
                  <w:tcW w:w="1175" w:type="dxa"/>
                  <w:vAlign w:val="center"/>
                </w:tcPr>
                <w:p>
                  <w:pPr>
                    <w:jc w:val="center"/>
                    <w:rPr>
                      <w:szCs w:val="21"/>
                    </w:rPr>
                  </w:pPr>
                  <w:r>
                    <w:rPr>
                      <w:szCs w:val="21"/>
                    </w:rPr>
                    <w:t>水基岩屑、废弃泥浆、沉淀污泥</w:t>
                  </w:r>
                </w:p>
              </w:tc>
              <w:tc>
                <w:tcPr>
                  <w:tcW w:w="5355" w:type="dxa"/>
                  <w:vAlign w:val="center"/>
                </w:tcPr>
                <w:p>
                  <w:pPr>
                    <w:snapToGrid w:val="0"/>
                    <w:rPr>
                      <w:szCs w:val="21"/>
                    </w:rPr>
                  </w:pPr>
                  <w:r>
                    <w:rPr>
                      <w:rFonts w:hint="eastAsia"/>
                      <w:szCs w:val="21"/>
                    </w:rPr>
                    <w:t>清水岩屑、水基岩屑</w:t>
                  </w:r>
                  <w:r>
                    <w:rPr>
                      <w:szCs w:val="21"/>
                    </w:rPr>
                    <w:t>由岩屑收集罐进行收集后暂存岩屑堆放区</w:t>
                  </w:r>
                  <w:r>
                    <w:rPr>
                      <w:rFonts w:hint="eastAsia"/>
                      <w:szCs w:val="21"/>
                    </w:rPr>
                    <w:t>，钻井废弃泥浆收集至清洁生产操作平台内的循环罐暂存，按照《达州市生态环境局办公室关于进一步加强固体废物污染防治工作的通知》（达市环办发〔2021〕24号）要求，就近交给依法取得生态环境部门关于利用和处置相关工业固体废物项目环评批复、具有处理处置相应固体废物能力并配套建设有废气、废水、固废等污染物治理设施的单位进行资源化利用</w:t>
                  </w:r>
                  <w:r>
                    <w:rPr>
                      <w:szCs w:val="21"/>
                    </w:rPr>
                    <w:t>。</w:t>
                  </w:r>
                </w:p>
              </w:tc>
              <w:tc>
                <w:tcPr>
                  <w:tcW w:w="918" w:type="dxa"/>
                  <w:vAlign w:val="center"/>
                </w:tcPr>
                <w:p>
                  <w:pPr>
                    <w:adjustRightInd w:val="0"/>
                    <w:jc w:val="center"/>
                    <w:rPr>
                      <w:szCs w:val="21"/>
                    </w:rPr>
                  </w:pPr>
                  <w:r>
                    <w:rPr>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792" w:type="dxa"/>
                  <w:vMerge w:val="continue"/>
                  <w:vAlign w:val="center"/>
                </w:tcPr>
                <w:p>
                  <w:pPr>
                    <w:pStyle w:val="19"/>
                    <w:adjustRightInd w:val="0"/>
                    <w:spacing w:before="0" w:after="0" w:line="240" w:lineRule="auto"/>
                    <w:ind w:right="0"/>
                    <w:jc w:val="center"/>
                    <w:rPr>
                      <w:sz w:val="21"/>
                      <w:szCs w:val="21"/>
                    </w:rPr>
                  </w:pPr>
                </w:p>
              </w:tc>
              <w:tc>
                <w:tcPr>
                  <w:tcW w:w="1175" w:type="dxa"/>
                  <w:vAlign w:val="center"/>
                </w:tcPr>
                <w:p>
                  <w:pPr>
                    <w:jc w:val="center"/>
                    <w:rPr>
                      <w:szCs w:val="21"/>
                    </w:rPr>
                  </w:pPr>
                  <w:r>
                    <w:rPr>
                      <w:szCs w:val="21"/>
                    </w:rPr>
                    <w:t>废油</w:t>
                  </w:r>
                  <w:r>
                    <w:rPr>
                      <w:rFonts w:hint="eastAsia"/>
                      <w:szCs w:val="21"/>
                    </w:rPr>
                    <w:t>、废油桶、废棉纱/手套</w:t>
                  </w:r>
                </w:p>
              </w:tc>
              <w:tc>
                <w:tcPr>
                  <w:tcW w:w="5355" w:type="dxa"/>
                  <w:vAlign w:val="center"/>
                </w:tcPr>
                <w:p>
                  <w:pPr>
                    <w:rPr>
                      <w:szCs w:val="21"/>
                    </w:rPr>
                  </w:pPr>
                  <w:r>
                    <w:rPr>
                      <w:szCs w:val="21"/>
                    </w:rPr>
                    <w:t>钻井产生的废油由回收桶收集，贮存于清洁生产操作平台内，采取防扬散、防流失、防渗漏或者其他防止污染环境的措施，设置围堰或托盘，完钻后交由有资质的单位处置。</w:t>
                  </w:r>
                </w:p>
              </w:tc>
              <w:tc>
                <w:tcPr>
                  <w:tcW w:w="918" w:type="dxa"/>
                  <w:vAlign w:val="center"/>
                </w:tcPr>
                <w:p>
                  <w:pPr>
                    <w:adjustRightInd w:val="0"/>
                    <w:jc w:val="center"/>
                    <w:rPr>
                      <w:szCs w:val="21"/>
                    </w:rPr>
                  </w:pPr>
                  <w:r>
                    <w:rPr>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792" w:type="dxa"/>
                  <w:vMerge w:val="continue"/>
                  <w:vAlign w:val="center"/>
                </w:tcPr>
                <w:p>
                  <w:pPr>
                    <w:pStyle w:val="19"/>
                    <w:adjustRightInd w:val="0"/>
                    <w:spacing w:before="0" w:after="0" w:line="240" w:lineRule="auto"/>
                    <w:ind w:right="0"/>
                    <w:jc w:val="center"/>
                    <w:rPr>
                      <w:sz w:val="21"/>
                      <w:szCs w:val="21"/>
                    </w:rPr>
                  </w:pPr>
                </w:p>
              </w:tc>
              <w:tc>
                <w:tcPr>
                  <w:tcW w:w="1175" w:type="dxa"/>
                  <w:vAlign w:val="center"/>
                </w:tcPr>
                <w:p>
                  <w:pPr>
                    <w:jc w:val="center"/>
                    <w:rPr>
                      <w:szCs w:val="21"/>
                    </w:rPr>
                  </w:pPr>
                  <w:r>
                    <w:rPr>
                      <w:rFonts w:hint="eastAsia"/>
                      <w:szCs w:val="21"/>
                    </w:rPr>
                    <w:t>废包装材料</w:t>
                  </w:r>
                </w:p>
              </w:tc>
              <w:tc>
                <w:tcPr>
                  <w:tcW w:w="5355" w:type="dxa"/>
                  <w:vAlign w:val="center"/>
                </w:tcPr>
                <w:p>
                  <w:pPr>
                    <w:rPr>
                      <w:szCs w:val="21"/>
                    </w:rPr>
                  </w:pPr>
                  <w:r>
                    <w:rPr>
                      <w:rFonts w:hint="eastAsia"/>
                      <w:szCs w:val="21"/>
                    </w:rPr>
                    <w:t>收集后定期运至就近的废品回收站进行处理</w:t>
                  </w:r>
                </w:p>
              </w:tc>
              <w:tc>
                <w:tcPr>
                  <w:tcW w:w="918" w:type="dxa"/>
                  <w:vAlign w:val="center"/>
                </w:tcPr>
                <w:p>
                  <w:pPr>
                    <w:adjustRightInd w:val="0"/>
                    <w:jc w:val="center"/>
                    <w:rPr>
                      <w:szCs w:val="21"/>
                    </w:rPr>
                  </w:pPr>
                  <w:r>
                    <w:rPr>
                      <w:rFonts w:hint="eastAsia"/>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792" w:type="dxa"/>
                  <w:vAlign w:val="center"/>
                </w:tcPr>
                <w:p>
                  <w:pPr>
                    <w:pStyle w:val="19"/>
                    <w:adjustRightInd w:val="0"/>
                    <w:spacing w:before="0" w:after="0" w:line="240" w:lineRule="auto"/>
                    <w:ind w:right="0"/>
                    <w:jc w:val="center"/>
                    <w:rPr>
                      <w:sz w:val="21"/>
                      <w:szCs w:val="21"/>
                    </w:rPr>
                  </w:pPr>
                  <w:r>
                    <w:rPr>
                      <w:sz w:val="21"/>
                      <w:szCs w:val="21"/>
                    </w:rPr>
                    <w:t>噪</w:t>
                  </w:r>
                </w:p>
                <w:p>
                  <w:pPr>
                    <w:pStyle w:val="19"/>
                    <w:adjustRightInd w:val="0"/>
                    <w:spacing w:before="0" w:after="0" w:line="240" w:lineRule="auto"/>
                    <w:ind w:right="0"/>
                    <w:jc w:val="center"/>
                    <w:rPr>
                      <w:sz w:val="21"/>
                      <w:szCs w:val="21"/>
                    </w:rPr>
                  </w:pPr>
                  <w:r>
                    <w:rPr>
                      <w:sz w:val="21"/>
                      <w:szCs w:val="21"/>
                    </w:rPr>
                    <w:t>声</w:t>
                  </w:r>
                </w:p>
              </w:tc>
              <w:tc>
                <w:tcPr>
                  <w:tcW w:w="1175" w:type="dxa"/>
                  <w:vAlign w:val="center"/>
                </w:tcPr>
                <w:p>
                  <w:pPr>
                    <w:widowControl/>
                    <w:jc w:val="center"/>
                    <w:rPr>
                      <w:szCs w:val="21"/>
                    </w:rPr>
                  </w:pPr>
                  <w:r>
                    <w:rPr>
                      <w:kern w:val="0"/>
                      <w:szCs w:val="21"/>
                      <w:lang w:bidi="ar"/>
                    </w:rPr>
                    <w:t>减震隔声降噪</w:t>
                  </w:r>
                </w:p>
              </w:tc>
              <w:tc>
                <w:tcPr>
                  <w:tcW w:w="5355" w:type="dxa"/>
                  <w:vAlign w:val="center"/>
                </w:tcPr>
                <w:p>
                  <w:pPr>
                    <w:widowControl/>
                    <w:jc w:val="left"/>
                    <w:rPr>
                      <w:i/>
                      <w:szCs w:val="21"/>
                    </w:rPr>
                  </w:pPr>
                  <w:r>
                    <w:rPr>
                      <w:szCs w:val="21"/>
                    </w:rPr>
                    <w:t>噪声设备设置基础减震，同时备用发机组、空气压缩机、泥浆泵设置在房屋内进行隔声减小影响</w:t>
                  </w:r>
                </w:p>
              </w:tc>
              <w:tc>
                <w:tcPr>
                  <w:tcW w:w="918" w:type="dxa"/>
                  <w:vAlign w:val="center"/>
                </w:tcPr>
                <w:p>
                  <w:pPr>
                    <w:adjustRightInd w:val="0"/>
                    <w:jc w:val="center"/>
                    <w:rPr>
                      <w:szCs w:val="21"/>
                    </w:rPr>
                  </w:pPr>
                  <w:r>
                    <w:rPr>
                      <w:szCs w:val="21"/>
                    </w:rPr>
                    <w:t>工程投资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792" w:type="dxa"/>
                  <w:vMerge w:val="restart"/>
                  <w:vAlign w:val="center"/>
                </w:tcPr>
                <w:p>
                  <w:pPr>
                    <w:pStyle w:val="19"/>
                    <w:adjustRightInd w:val="0"/>
                    <w:spacing w:before="0" w:after="0" w:line="240" w:lineRule="auto"/>
                    <w:ind w:right="0"/>
                    <w:jc w:val="center"/>
                    <w:rPr>
                      <w:sz w:val="21"/>
                      <w:szCs w:val="21"/>
                    </w:rPr>
                  </w:pPr>
                  <w:r>
                    <w:rPr>
                      <w:sz w:val="21"/>
                      <w:szCs w:val="21"/>
                    </w:rPr>
                    <w:t>地下水</w:t>
                  </w:r>
                </w:p>
              </w:tc>
              <w:tc>
                <w:tcPr>
                  <w:tcW w:w="1175" w:type="dxa"/>
                  <w:vAlign w:val="center"/>
                </w:tcPr>
                <w:p>
                  <w:pPr>
                    <w:adjustRightInd w:val="0"/>
                    <w:jc w:val="center"/>
                    <w:rPr>
                      <w:szCs w:val="21"/>
                    </w:rPr>
                  </w:pPr>
                  <w:r>
                    <w:rPr>
                      <w:szCs w:val="21"/>
                    </w:rPr>
                    <w:t>源头控制</w:t>
                  </w:r>
                </w:p>
              </w:tc>
              <w:tc>
                <w:tcPr>
                  <w:tcW w:w="5355" w:type="dxa"/>
                  <w:vAlign w:val="center"/>
                </w:tcPr>
                <w:p>
                  <w:pPr>
                    <w:adjustRightInd w:val="0"/>
                    <w:rPr>
                      <w:szCs w:val="21"/>
                    </w:rPr>
                  </w:pPr>
                  <w:r>
                    <w:rPr>
                      <w:szCs w:val="21"/>
                    </w:rPr>
                    <w:t>采用对环境影响较小的钻井液，采用套管和水泥固井防止地下水污染。施工中做好及时堵漏准备，防止钻井液漏失进入地下水。</w:t>
                  </w:r>
                </w:p>
              </w:tc>
              <w:tc>
                <w:tcPr>
                  <w:tcW w:w="918" w:type="dxa"/>
                  <w:vAlign w:val="center"/>
                </w:tcPr>
                <w:p>
                  <w:pPr>
                    <w:adjustRightInd w:val="0"/>
                    <w:jc w:val="center"/>
                    <w:rPr>
                      <w:szCs w:val="21"/>
                    </w:rPr>
                  </w:pPr>
                  <w:r>
                    <w:rPr>
                      <w:szCs w:val="21"/>
                    </w:rPr>
                    <w:t>工程投资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792" w:type="dxa"/>
                  <w:vMerge w:val="continue"/>
                  <w:vAlign w:val="center"/>
                </w:tcPr>
                <w:p>
                  <w:pPr>
                    <w:pStyle w:val="19"/>
                    <w:adjustRightInd w:val="0"/>
                    <w:spacing w:before="0" w:after="0" w:line="240" w:lineRule="auto"/>
                    <w:ind w:right="0"/>
                    <w:jc w:val="center"/>
                    <w:rPr>
                      <w:sz w:val="21"/>
                      <w:szCs w:val="21"/>
                    </w:rPr>
                  </w:pPr>
                </w:p>
              </w:tc>
              <w:tc>
                <w:tcPr>
                  <w:tcW w:w="1175" w:type="dxa"/>
                  <w:vAlign w:val="center"/>
                </w:tcPr>
                <w:p>
                  <w:pPr>
                    <w:adjustRightInd w:val="0"/>
                    <w:jc w:val="center"/>
                    <w:rPr>
                      <w:szCs w:val="21"/>
                    </w:rPr>
                  </w:pPr>
                  <w:r>
                    <w:rPr>
                      <w:szCs w:val="21"/>
                    </w:rPr>
                    <w:t>防渗分区及防渗措施</w:t>
                  </w:r>
                </w:p>
              </w:tc>
              <w:tc>
                <w:tcPr>
                  <w:tcW w:w="5355" w:type="dxa"/>
                  <w:vAlign w:val="center"/>
                </w:tcPr>
                <w:p>
                  <w:pPr>
                    <w:pStyle w:val="36"/>
                    <w:spacing w:before="0" w:beforeAutospacing="0" w:after="0" w:afterAutospacing="0"/>
                    <w:rPr>
                      <w:rFonts w:ascii="Times New Roman" w:hAnsi="Times New Roman"/>
                      <w:kern w:val="2"/>
                      <w:sz w:val="21"/>
                      <w:szCs w:val="21"/>
                    </w:rPr>
                  </w:pPr>
                  <w:r>
                    <w:rPr>
                      <w:rFonts w:ascii="Times New Roman" w:hAnsi="Times New Roman"/>
                      <w:kern w:val="2"/>
                      <w:sz w:val="21"/>
                      <w:szCs w:val="21"/>
                    </w:rPr>
                    <w:t>重点防渗区：井口区、井架基础区、井场设备基础硬化区、清洁生产操作平台、岩屑堆放区、油罐区、放喷池、应急池、集酸坑和临时储酸罐区。</w:t>
                  </w:r>
                </w:p>
                <w:p>
                  <w:pPr>
                    <w:pStyle w:val="36"/>
                    <w:spacing w:before="0" w:beforeAutospacing="0" w:after="0" w:afterAutospacing="0"/>
                    <w:rPr>
                      <w:rFonts w:ascii="Times New Roman" w:hAnsi="Times New Roman"/>
                      <w:sz w:val="21"/>
                      <w:szCs w:val="21"/>
                    </w:rPr>
                  </w:pPr>
                  <w:r>
                    <w:rPr>
                      <w:rFonts w:ascii="Times New Roman" w:hAnsi="Times New Roman"/>
                      <w:kern w:val="2"/>
                      <w:sz w:val="21"/>
                      <w:szCs w:val="21"/>
                    </w:rPr>
                    <w:t>一般防渗区：</w:t>
                  </w:r>
                  <w:r>
                    <w:rPr>
                      <w:rFonts w:hint="eastAsia" w:ascii="Times New Roman" w:hAnsi="Times New Roman"/>
                      <w:kern w:val="2"/>
                      <w:sz w:val="21"/>
                      <w:szCs w:val="21"/>
                    </w:rPr>
                    <w:t>隔油池、</w:t>
                  </w:r>
                  <w:r>
                    <w:rPr>
                      <w:rFonts w:ascii="Times New Roman" w:hAnsi="Times New Roman"/>
                      <w:kern w:val="2"/>
                      <w:sz w:val="21"/>
                      <w:szCs w:val="21"/>
                    </w:rPr>
                    <w:t>泥浆储备罐区、</w:t>
                  </w:r>
                  <w:r>
                    <w:rPr>
                      <w:rFonts w:hint="eastAsia" w:ascii="Times New Roman" w:hAnsi="Times New Roman"/>
                      <w:kern w:val="2"/>
                      <w:sz w:val="21"/>
                      <w:szCs w:val="21"/>
                    </w:rPr>
                    <w:t>清污分流区、旱厕、井场部分</w:t>
                  </w:r>
                  <w:r>
                    <w:rPr>
                      <w:rFonts w:ascii="Times New Roman" w:hAnsi="Times New Roman"/>
                      <w:kern w:val="2"/>
                      <w:sz w:val="21"/>
                      <w:szCs w:val="21"/>
                    </w:rPr>
                    <w:t>。</w:t>
                  </w:r>
                </w:p>
              </w:tc>
              <w:tc>
                <w:tcPr>
                  <w:tcW w:w="918" w:type="dxa"/>
                  <w:vAlign w:val="center"/>
                </w:tcPr>
                <w:p>
                  <w:pPr>
                    <w:adjustRightInd w:val="0"/>
                    <w:jc w:val="center"/>
                    <w:rPr>
                      <w:szCs w:val="21"/>
                    </w:rPr>
                  </w:pPr>
                  <w:r>
                    <w:rPr>
                      <w:rFonts w:hint="eastAsia"/>
                      <w:szCs w:val="21"/>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792" w:type="dxa"/>
                  <w:vMerge w:val="continue"/>
                  <w:vAlign w:val="center"/>
                </w:tcPr>
                <w:p>
                  <w:pPr>
                    <w:pStyle w:val="19"/>
                    <w:adjustRightInd w:val="0"/>
                    <w:spacing w:before="0" w:after="0" w:line="240" w:lineRule="auto"/>
                    <w:ind w:right="0"/>
                    <w:jc w:val="center"/>
                    <w:rPr>
                      <w:sz w:val="21"/>
                      <w:szCs w:val="21"/>
                    </w:rPr>
                  </w:pPr>
                </w:p>
              </w:tc>
              <w:tc>
                <w:tcPr>
                  <w:tcW w:w="1175" w:type="dxa"/>
                  <w:vAlign w:val="center"/>
                </w:tcPr>
                <w:p>
                  <w:pPr>
                    <w:adjustRightInd w:val="0"/>
                    <w:jc w:val="center"/>
                    <w:rPr>
                      <w:szCs w:val="21"/>
                    </w:rPr>
                  </w:pPr>
                  <w:r>
                    <w:rPr>
                      <w:szCs w:val="21"/>
                    </w:rPr>
                    <w:t>跟踪监测和应急响应</w:t>
                  </w:r>
                </w:p>
              </w:tc>
              <w:tc>
                <w:tcPr>
                  <w:tcW w:w="5355" w:type="dxa"/>
                  <w:vAlign w:val="center"/>
                </w:tcPr>
                <w:p>
                  <w:pPr>
                    <w:jc w:val="left"/>
                    <w:rPr>
                      <w:szCs w:val="21"/>
                    </w:rPr>
                  </w:pPr>
                  <w:r>
                    <w:rPr>
                      <w:rFonts w:hint="eastAsia"/>
                      <w:szCs w:val="21"/>
                    </w:rPr>
                    <w:t>在井场、上、</w:t>
                  </w:r>
                  <w:r>
                    <w:rPr>
                      <w:bCs/>
                      <w:kern w:val="0"/>
                      <w:szCs w:val="21"/>
                    </w:rPr>
                    <w:t>下游较近的3口水井作为跟踪监测井。</w:t>
                  </w:r>
                  <w:r>
                    <w:rPr>
                      <w:szCs w:val="21"/>
                    </w:rPr>
                    <w:t>发现井漏影响的应采取堵漏措施。</w:t>
                  </w:r>
                </w:p>
              </w:tc>
              <w:tc>
                <w:tcPr>
                  <w:tcW w:w="918" w:type="dxa"/>
                  <w:vAlign w:val="center"/>
                </w:tcPr>
                <w:p>
                  <w:pPr>
                    <w:adjustRightInd w:val="0"/>
                    <w:jc w:val="center"/>
                    <w:rPr>
                      <w:szCs w:val="21"/>
                    </w:rPr>
                  </w:pPr>
                  <w:r>
                    <w:rPr>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792" w:type="dxa"/>
                  <w:vMerge w:val="restart"/>
                  <w:vAlign w:val="center"/>
                </w:tcPr>
                <w:p>
                  <w:pPr>
                    <w:pStyle w:val="19"/>
                    <w:adjustRightInd w:val="0"/>
                    <w:spacing w:before="0" w:after="0" w:line="240" w:lineRule="auto"/>
                    <w:ind w:right="0"/>
                    <w:jc w:val="center"/>
                    <w:rPr>
                      <w:sz w:val="21"/>
                      <w:szCs w:val="21"/>
                    </w:rPr>
                  </w:pPr>
                  <w:r>
                    <w:rPr>
                      <w:sz w:val="21"/>
                      <w:szCs w:val="21"/>
                    </w:rPr>
                    <w:t>生态</w:t>
                  </w:r>
                </w:p>
              </w:tc>
              <w:tc>
                <w:tcPr>
                  <w:tcW w:w="1175" w:type="dxa"/>
                  <w:vAlign w:val="center"/>
                </w:tcPr>
                <w:p>
                  <w:pPr>
                    <w:jc w:val="center"/>
                    <w:rPr>
                      <w:bCs/>
                      <w:szCs w:val="21"/>
                    </w:rPr>
                  </w:pPr>
                  <w:r>
                    <w:rPr>
                      <w:bCs/>
                      <w:szCs w:val="21"/>
                    </w:rPr>
                    <w:t>生态保护</w:t>
                  </w:r>
                </w:p>
              </w:tc>
              <w:tc>
                <w:tcPr>
                  <w:tcW w:w="5355" w:type="dxa"/>
                  <w:vAlign w:val="center"/>
                </w:tcPr>
                <w:p>
                  <w:pPr>
                    <w:jc w:val="left"/>
                    <w:rPr>
                      <w:szCs w:val="21"/>
                    </w:rPr>
                  </w:pPr>
                  <w:r>
                    <w:rPr>
                      <w:szCs w:val="21"/>
                    </w:rPr>
                    <w:t>放喷池建挡墙较小热辐射影响。对热辐射破坏的植被进行补偿。</w:t>
                  </w:r>
                </w:p>
              </w:tc>
              <w:tc>
                <w:tcPr>
                  <w:tcW w:w="918" w:type="dxa"/>
                  <w:vAlign w:val="center"/>
                </w:tcPr>
                <w:p>
                  <w:pPr>
                    <w:adjustRightInd w:val="0"/>
                    <w:jc w:val="center"/>
                    <w:rPr>
                      <w:szCs w:val="21"/>
                    </w:rPr>
                  </w:pPr>
                  <w:r>
                    <w:rPr>
                      <w:rFonts w:hint="eastAsia"/>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792" w:type="dxa"/>
                  <w:vMerge w:val="continue"/>
                  <w:vAlign w:val="center"/>
                </w:tcPr>
                <w:p>
                  <w:pPr>
                    <w:pStyle w:val="19"/>
                    <w:adjustRightInd w:val="0"/>
                    <w:spacing w:before="0" w:after="0" w:line="240" w:lineRule="auto"/>
                    <w:ind w:right="0"/>
                    <w:jc w:val="center"/>
                    <w:rPr>
                      <w:sz w:val="21"/>
                      <w:szCs w:val="21"/>
                    </w:rPr>
                  </w:pPr>
                </w:p>
              </w:tc>
              <w:tc>
                <w:tcPr>
                  <w:tcW w:w="1175" w:type="dxa"/>
                  <w:vAlign w:val="center"/>
                </w:tcPr>
                <w:p>
                  <w:pPr>
                    <w:jc w:val="center"/>
                    <w:rPr>
                      <w:bCs/>
                      <w:szCs w:val="21"/>
                    </w:rPr>
                  </w:pPr>
                  <w:r>
                    <w:rPr>
                      <w:bCs/>
                      <w:szCs w:val="21"/>
                    </w:rPr>
                    <w:t>生态恢复</w:t>
                  </w:r>
                </w:p>
              </w:tc>
              <w:tc>
                <w:tcPr>
                  <w:tcW w:w="5355" w:type="dxa"/>
                  <w:vAlign w:val="center"/>
                </w:tcPr>
                <w:p>
                  <w:pPr>
                    <w:rPr>
                      <w:szCs w:val="21"/>
                    </w:rPr>
                  </w:pPr>
                  <w:r>
                    <w:rPr>
                      <w:szCs w:val="21"/>
                    </w:rPr>
                    <w:t>根据《中华人民共和国土地管理法》规定相关地方规定对工程占地进行补偿。严格划定施工作业范围，严禁砍伐野外植被。板房搬迁后，进行土地复垦。</w:t>
                  </w:r>
                </w:p>
              </w:tc>
              <w:tc>
                <w:tcPr>
                  <w:tcW w:w="918" w:type="dxa"/>
                  <w:vAlign w:val="center"/>
                </w:tcPr>
                <w:p>
                  <w:pPr>
                    <w:adjustRightInd w:val="0"/>
                    <w:jc w:val="center"/>
                    <w:rPr>
                      <w:szCs w:val="21"/>
                    </w:rPr>
                  </w:pPr>
                  <w:r>
                    <w:rPr>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792" w:type="dxa"/>
                  <w:vAlign w:val="center"/>
                </w:tcPr>
                <w:p>
                  <w:pPr>
                    <w:pStyle w:val="19"/>
                    <w:adjustRightInd w:val="0"/>
                    <w:spacing w:before="0" w:after="0" w:line="240" w:lineRule="auto"/>
                    <w:ind w:right="0"/>
                    <w:jc w:val="center"/>
                    <w:rPr>
                      <w:sz w:val="21"/>
                      <w:szCs w:val="21"/>
                    </w:rPr>
                  </w:pPr>
                  <w:r>
                    <w:rPr>
                      <w:sz w:val="21"/>
                      <w:szCs w:val="21"/>
                    </w:rPr>
                    <w:t>封井</w:t>
                  </w:r>
                </w:p>
              </w:tc>
              <w:tc>
                <w:tcPr>
                  <w:tcW w:w="1175" w:type="dxa"/>
                  <w:vAlign w:val="center"/>
                </w:tcPr>
                <w:p>
                  <w:pPr>
                    <w:jc w:val="center"/>
                    <w:rPr>
                      <w:bCs/>
                      <w:szCs w:val="21"/>
                    </w:rPr>
                  </w:pPr>
                  <w:r>
                    <w:rPr>
                      <w:bCs/>
                      <w:szCs w:val="21"/>
                    </w:rPr>
                    <w:t>/</w:t>
                  </w:r>
                </w:p>
              </w:tc>
              <w:tc>
                <w:tcPr>
                  <w:tcW w:w="5355" w:type="dxa"/>
                  <w:vAlign w:val="center"/>
                </w:tcPr>
                <w:p>
                  <w:pPr>
                    <w:pStyle w:val="13"/>
                    <w:spacing w:line="240" w:lineRule="auto"/>
                    <w:ind w:firstLine="0"/>
                    <w:rPr>
                      <w:rFonts w:ascii="Times New Roman" w:hAnsi="Times New Roman"/>
                      <w:sz w:val="21"/>
                      <w:szCs w:val="21"/>
                    </w:rPr>
                  </w:pPr>
                  <w:r>
                    <w:rPr>
                      <w:rFonts w:ascii="Times New Roman" w:hAnsi="Times New Roman"/>
                      <w:kern w:val="2"/>
                      <w:sz w:val="21"/>
                      <w:szCs w:val="21"/>
                    </w:rPr>
                    <w:t>若测试无开采价值，应按《天然气井永久性封井技术规范》</w:t>
                  </w:r>
                  <w:r>
                    <w:rPr>
                      <w:rFonts w:hint="eastAsia" w:ascii="Times New Roman" w:hAnsi="Times New Roman"/>
                      <w:kern w:val="2"/>
                      <w:sz w:val="21"/>
                      <w:szCs w:val="21"/>
                    </w:rPr>
                    <w:t>（</w:t>
                  </w:r>
                  <w:r>
                    <w:rPr>
                      <w:rFonts w:ascii="Times New Roman" w:hAnsi="Times New Roman"/>
                      <w:kern w:val="2"/>
                      <w:sz w:val="21"/>
                      <w:szCs w:val="21"/>
                    </w:rPr>
                    <w:t>Q/SYXN0386-2013</w:t>
                  </w:r>
                  <w:r>
                    <w:rPr>
                      <w:rFonts w:hint="eastAsia" w:ascii="Times New Roman" w:hAnsi="Times New Roman"/>
                      <w:kern w:val="2"/>
                      <w:sz w:val="21"/>
                      <w:szCs w:val="21"/>
                    </w:rPr>
                    <w:t>）</w:t>
                  </w:r>
                  <w:r>
                    <w:rPr>
                      <w:rFonts w:ascii="Times New Roman" w:hAnsi="Times New Roman"/>
                      <w:kern w:val="2"/>
                      <w:sz w:val="21"/>
                      <w:szCs w:val="21"/>
                    </w:rPr>
                    <w:t>等相关行业规范进行封井作业，并设置醒目的警示标志，加强保护和巡查、监控。封井应在钻井完成后6个月内完成。</w:t>
                  </w:r>
                </w:p>
              </w:tc>
              <w:tc>
                <w:tcPr>
                  <w:tcW w:w="918" w:type="dxa"/>
                  <w:vAlign w:val="center"/>
                </w:tcPr>
                <w:p>
                  <w:pPr>
                    <w:adjustRightInd w:val="0"/>
                    <w:jc w:val="center"/>
                    <w:rPr>
                      <w:szCs w:val="21"/>
                    </w:rPr>
                  </w:pPr>
                  <w:r>
                    <w:rPr>
                      <w:szCs w:val="21"/>
                    </w:rPr>
                    <w:t>工程投资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792" w:type="dxa"/>
                  <w:vAlign w:val="center"/>
                </w:tcPr>
                <w:p>
                  <w:pPr>
                    <w:pStyle w:val="19"/>
                    <w:adjustRightInd w:val="0"/>
                    <w:spacing w:before="0" w:after="0" w:line="240" w:lineRule="auto"/>
                    <w:ind w:right="0"/>
                    <w:jc w:val="center"/>
                    <w:rPr>
                      <w:sz w:val="21"/>
                      <w:szCs w:val="21"/>
                    </w:rPr>
                  </w:pPr>
                  <w:r>
                    <w:rPr>
                      <w:sz w:val="21"/>
                      <w:szCs w:val="21"/>
                    </w:rPr>
                    <w:t>土壤环境</w:t>
                  </w:r>
                </w:p>
              </w:tc>
              <w:tc>
                <w:tcPr>
                  <w:tcW w:w="1175" w:type="dxa"/>
                  <w:vAlign w:val="center"/>
                </w:tcPr>
                <w:p>
                  <w:pPr>
                    <w:jc w:val="center"/>
                    <w:rPr>
                      <w:szCs w:val="21"/>
                    </w:rPr>
                  </w:pPr>
                  <w:r>
                    <w:rPr>
                      <w:szCs w:val="21"/>
                    </w:rPr>
                    <w:t>/</w:t>
                  </w:r>
                </w:p>
              </w:tc>
              <w:tc>
                <w:tcPr>
                  <w:tcW w:w="5355" w:type="dxa"/>
                  <w:vAlign w:val="center"/>
                </w:tcPr>
                <w:p>
                  <w:pPr>
                    <w:rPr>
                      <w:szCs w:val="21"/>
                    </w:rPr>
                  </w:pPr>
                  <w:r>
                    <w:rPr>
                      <w:szCs w:val="21"/>
                    </w:rPr>
                    <w:t>岩屑堆放区设置雨棚，防止雨水淋滤导致污染物下渗污染。针对渗入影响落实地下水评价内容提出的防渗分区及防渗措施。</w:t>
                  </w:r>
                </w:p>
                <w:p>
                  <w:pPr>
                    <w:rPr>
                      <w:szCs w:val="21"/>
                    </w:rPr>
                  </w:pPr>
                  <w:r>
                    <w:rPr>
                      <w:szCs w:val="21"/>
                    </w:rPr>
                    <w:t>针对地面漫流影响实施井场清污分流措施，在井场四周设置雨水排水沟，场外雨水随雨水沟排放；井场分为清洁区和污染区，通过挡墙隔离。污染区雨水进入集水坑收集泵提升废水罐处理后回用。清洁区雨水通过场地内的4个隔油池沉淀隔油处理后外排。油罐区雨水经过隔油池处理后外排。</w:t>
                  </w:r>
                </w:p>
              </w:tc>
              <w:tc>
                <w:tcPr>
                  <w:tcW w:w="918" w:type="dxa"/>
                  <w:vAlign w:val="center"/>
                </w:tcPr>
                <w:p>
                  <w:pPr>
                    <w:jc w:val="center"/>
                    <w:rPr>
                      <w:szCs w:val="21"/>
                    </w:rPr>
                  </w:pPr>
                  <w:r>
                    <w:rPr>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792" w:type="dxa"/>
                  <w:vMerge w:val="restart"/>
                  <w:vAlign w:val="center"/>
                </w:tcPr>
                <w:p>
                  <w:pPr>
                    <w:pStyle w:val="19"/>
                    <w:adjustRightInd w:val="0"/>
                    <w:spacing w:before="0" w:after="0" w:line="240" w:lineRule="auto"/>
                    <w:ind w:right="0"/>
                    <w:jc w:val="center"/>
                    <w:rPr>
                      <w:sz w:val="21"/>
                      <w:szCs w:val="21"/>
                    </w:rPr>
                  </w:pPr>
                  <w:r>
                    <w:rPr>
                      <w:sz w:val="21"/>
                      <w:szCs w:val="21"/>
                    </w:rPr>
                    <w:t>环境风险</w:t>
                  </w:r>
                </w:p>
              </w:tc>
              <w:tc>
                <w:tcPr>
                  <w:tcW w:w="6530" w:type="dxa"/>
                  <w:gridSpan w:val="2"/>
                  <w:vAlign w:val="center"/>
                </w:tcPr>
                <w:p>
                  <w:pPr>
                    <w:rPr>
                      <w:szCs w:val="21"/>
                    </w:rPr>
                  </w:pPr>
                  <w:r>
                    <w:rPr>
                      <w:szCs w:val="21"/>
                    </w:rPr>
                    <w:t>废水、油类储存转运泄漏防范措施</w:t>
                  </w:r>
                </w:p>
              </w:tc>
              <w:tc>
                <w:tcPr>
                  <w:tcW w:w="918" w:type="dxa"/>
                  <w:vMerge w:val="restart"/>
                  <w:vAlign w:val="center"/>
                </w:tcPr>
                <w:p>
                  <w:pPr>
                    <w:jc w:val="center"/>
                    <w:rPr>
                      <w:szCs w:val="21"/>
                    </w:rPr>
                  </w:pPr>
                  <w:r>
                    <w:rPr>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792" w:type="dxa"/>
                  <w:vMerge w:val="continue"/>
                  <w:vAlign w:val="center"/>
                </w:tcPr>
                <w:p>
                  <w:pPr>
                    <w:pStyle w:val="19"/>
                    <w:adjustRightInd w:val="0"/>
                    <w:spacing w:before="0" w:after="0" w:line="240" w:lineRule="auto"/>
                    <w:ind w:right="0"/>
                    <w:jc w:val="center"/>
                    <w:rPr>
                      <w:sz w:val="21"/>
                      <w:szCs w:val="21"/>
                    </w:rPr>
                  </w:pPr>
                </w:p>
              </w:tc>
              <w:tc>
                <w:tcPr>
                  <w:tcW w:w="6530" w:type="dxa"/>
                  <w:gridSpan w:val="2"/>
                  <w:vAlign w:val="center"/>
                </w:tcPr>
                <w:p>
                  <w:pPr>
                    <w:rPr>
                      <w:szCs w:val="21"/>
                    </w:rPr>
                  </w:pPr>
                  <w:r>
                    <w:rPr>
                      <w:szCs w:val="21"/>
                    </w:rPr>
                    <w:t>周边农户宣传、职工环保培训；编制应急预案及培训、演练等</w:t>
                  </w:r>
                </w:p>
              </w:tc>
              <w:tc>
                <w:tcPr>
                  <w:tcW w:w="918" w:type="dxa"/>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792" w:type="dxa"/>
                  <w:vMerge w:val="continue"/>
                  <w:vAlign w:val="center"/>
                </w:tcPr>
                <w:p>
                  <w:pPr>
                    <w:pStyle w:val="19"/>
                    <w:adjustRightInd w:val="0"/>
                    <w:spacing w:before="0" w:after="0" w:line="240" w:lineRule="auto"/>
                    <w:ind w:right="0"/>
                    <w:jc w:val="center"/>
                    <w:rPr>
                      <w:sz w:val="21"/>
                      <w:szCs w:val="21"/>
                    </w:rPr>
                  </w:pPr>
                </w:p>
              </w:tc>
              <w:tc>
                <w:tcPr>
                  <w:tcW w:w="6530" w:type="dxa"/>
                  <w:gridSpan w:val="2"/>
                  <w:vAlign w:val="center"/>
                </w:tcPr>
                <w:p>
                  <w:pPr>
                    <w:rPr>
                      <w:szCs w:val="21"/>
                    </w:rPr>
                  </w:pPr>
                  <w:r>
                    <w:rPr>
                      <w:szCs w:val="21"/>
                    </w:rPr>
                    <w:t>做好应急预案及防护措施，完备应急物资，及时进行应急演练</w:t>
                  </w:r>
                </w:p>
              </w:tc>
              <w:tc>
                <w:tcPr>
                  <w:tcW w:w="918" w:type="dxa"/>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792" w:type="dxa"/>
                  <w:vAlign w:val="center"/>
                </w:tcPr>
                <w:p>
                  <w:pPr>
                    <w:pStyle w:val="19"/>
                    <w:adjustRightInd w:val="0"/>
                    <w:spacing w:before="0" w:after="0" w:line="240" w:lineRule="auto"/>
                    <w:ind w:right="0"/>
                    <w:jc w:val="center"/>
                    <w:rPr>
                      <w:sz w:val="21"/>
                      <w:szCs w:val="21"/>
                    </w:rPr>
                  </w:pPr>
                  <w:r>
                    <w:rPr>
                      <w:sz w:val="21"/>
                      <w:szCs w:val="21"/>
                    </w:rPr>
                    <w:t>合计</w:t>
                  </w:r>
                </w:p>
              </w:tc>
              <w:tc>
                <w:tcPr>
                  <w:tcW w:w="6530" w:type="dxa"/>
                  <w:gridSpan w:val="2"/>
                  <w:vAlign w:val="center"/>
                </w:tcPr>
                <w:p>
                  <w:pPr>
                    <w:jc w:val="center"/>
                    <w:rPr>
                      <w:bCs/>
                      <w:szCs w:val="21"/>
                    </w:rPr>
                  </w:pPr>
                  <w:r>
                    <w:rPr>
                      <w:bCs/>
                      <w:szCs w:val="21"/>
                    </w:rPr>
                    <w:t>/</w:t>
                  </w:r>
                </w:p>
              </w:tc>
              <w:tc>
                <w:tcPr>
                  <w:tcW w:w="918" w:type="dxa"/>
                  <w:vAlign w:val="center"/>
                </w:tcPr>
                <w:p>
                  <w:pPr>
                    <w:adjustRightInd w:val="0"/>
                    <w:jc w:val="center"/>
                    <w:rPr>
                      <w:szCs w:val="21"/>
                    </w:rPr>
                  </w:pPr>
                  <w:r>
                    <w:rPr>
                      <w:szCs w:val="21"/>
                    </w:rPr>
                    <w:t>150</w:t>
                  </w:r>
                </w:p>
              </w:tc>
            </w:tr>
          </w:tbl>
          <w:p>
            <w:pPr>
              <w:adjustRightInd w:val="0"/>
              <w:snapToGrid w:val="0"/>
              <w:rPr>
                <w:bCs/>
                <w:spacing w:val="10"/>
                <w:szCs w:val="21"/>
              </w:rPr>
            </w:pPr>
          </w:p>
        </w:tc>
      </w:tr>
    </w:tbl>
    <w:p>
      <w:pPr>
        <w:rPr>
          <w:szCs w:val="21"/>
        </w:rPr>
        <w:sectPr>
          <w:pgSz w:w="11906" w:h="16838"/>
          <w:pgMar w:top="1440" w:right="1797" w:bottom="1440" w:left="1797" w:header="851" w:footer="1077" w:gutter="0"/>
          <w:cols w:space="720" w:num="1"/>
          <w:docGrid w:linePitch="312" w:charSpace="0"/>
        </w:sectPr>
      </w:pPr>
    </w:p>
    <w:p>
      <w:pPr>
        <w:pStyle w:val="36"/>
        <w:jc w:val="center"/>
        <w:outlineLvl w:val="0"/>
        <w:rPr>
          <w:rFonts w:ascii="Times New Roman" w:hAnsi="Times New Roman" w:eastAsia="黑体"/>
          <w:snapToGrid w:val="0"/>
          <w:sz w:val="21"/>
          <w:szCs w:val="21"/>
        </w:rPr>
      </w:pPr>
      <w:r>
        <w:rPr>
          <w:rFonts w:ascii="Times New Roman" w:hAnsi="Times New Roman" w:eastAsia="黑体"/>
          <w:snapToGrid w:val="0"/>
          <w:sz w:val="21"/>
          <w:szCs w:val="21"/>
        </w:rPr>
        <w:t>六、生态环境保护措施监督检查清单</w:t>
      </w:r>
    </w:p>
    <w:tbl>
      <w:tblPr>
        <w:tblStyle w:val="42"/>
        <w:tblW w:w="1417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667"/>
        <w:gridCol w:w="851"/>
        <w:gridCol w:w="921"/>
        <w:gridCol w:w="1843"/>
        <w:gridCol w:w="2764"/>
        <w:gridCol w:w="3544"/>
        <w:gridCol w:w="1418"/>
        <w:gridCol w:w="116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667" w:type="dxa"/>
            <w:vMerge w:val="restart"/>
            <w:tcBorders>
              <w:tl2br w:val="single" w:color="auto" w:sz="4" w:space="0"/>
            </w:tcBorders>
          </w:tcPr>
          <w:p>
            <w:pPr>
              <w:pStyle w:val="36"/>
              <w:adjustRightInd w:val="0"/>
              <w:snapToGrid w:val="0"/>
              <w:spacing w:before="0" w:beforeAutospacing="0" w:after="0" w:afterAutospacing="0"/>
              <w:jc w:val="right"/>
              <w:rPr>
                <w:rFonts w:ascii="Times New Roman" w:hAnsi="Times New Roman" w:eastAsia="黑体"/>
                <w:kern w:val="2"/>
                <w:sz w:val="21"/>
                <w:szCs w:val="21"/>
              </w:rPr>
            </w:pPr>
            <w:bookmarkStart w:id="38" w:name="_Hlk105444047"/>
            <w:r>
              <w:rPr>
                <w:rFonts w:ascii="Times New Roman" w:hAnsi="Times New Roman" w:eastAsia="黑体"/>
                <w:kern w:val="2"/>
                <w:sz w:val="21"/>
                <w:szCs w:val="21"/>
              </w:rPr>
              <w:t xml:space="preserve">内容  </w:t>
            </w:r>
          </w:p>
          <w:p>
            <w:pPr>
              <w:pStyle w:val="36"/>
              <w:adjustRightInd w:val="0"/>
              <w:snapToGrid w:val="0"/>
              <w:spacing w:before="0" w:beforeAutospacing="0" w:after="0" w:afterAutospacing="0"/>
              <w:rPr>
                <w:rFonts w:ascii="Times New Roman" w:hAnsi="Times New Roman" w:eastAsia="黑体"/>
                <w:kern w:val="2"/>
                <w:sz w:val="21"/>
                <w:szCs w:val="21"/>
              </w:rPr>
            </w:pPr>
            <w:r>
              <w:rPr>
                <w:rFonts w:ascii="Times New Roman" w:hAnsi="Times New Roman" w:eastAsia="黑体"/>
                <w:kern w:val="2"/>
                <w:sz w:val="21"/>
                <w:szCs w:val="21"/>
              </w:rPr>
              <w:t>要素</w:t>
            </w:r>
          </w:p>
        </w:tc>
        <w:tc>
          <w:tcPr>
            <w:tcW w:w="9923" w:type="dxa"/>
            <w:gridSpan w:val="5"/>
            <w:vAlign w:val="center"/>
          </w:tcPr>
          <w:p>
            <w:pPr>
              <w:pStyle w:val="36"/>
              <w:adjustRightInd w:val="0"/>
              <w:snapToGrid w:val="0"/>
              <w:spacing w:before="0" w:beforeAutospacing="0" w:after="0" w:afterAutospacing="0"/>
              <w:jc w:val="center"/>
              <w:rPr>
                <w:rFonts w:ascii="Times New Roman" w:hAnsi="Times New Roman" w:eastAsia="黑体"/>
                <w:kern w:val="2"/>
                <w:sz w:val="21"/>
                <w:szCs w:val="21"/>
              </w:rPr>
            </w:pPr>
            <w:r>
              <w:rPr>
                <w:rFonts w:ascii="Times New Roman" w:hAnsi="Times New Roman" w:eastAsia="黑体"/>
                <w:kern w:val="2"/>
                <w:sz w:val="21"/>
                <w:szCs w:val="21"/>
              </w:rPr>
              <w:t>施工期</w:t>
            </w:r>
          </w:p>
        </w:tc>
        <w:tc>
          <w:tcPr>
            <w:tcW w:w="2584" w:type="dxa"/>
            <w:gridSpan w:val="2"/>
            <w:vAlign w:val="center"/>
          </w:tcPr>
          <w:p>
            <w:pPr>
              <w:pStyle w:val="36"/>
              <w:adjustRightInd w:val="0"/>
              <w:snapToGrid w:val="0"/>
              <w:spacing w:before="0" w:beforeAutospacing="0" w:after="0" w:afterAutospacing="0"/>
              <w:jc w:val="center"/>
              <w:rPr>
                <w:rFonts w:ascii="Times New Roman" w:hAnsi="Times New Roman" w:eastAsia="黑体"/>
                <w:kern w:val="2"/>
                <w:sz w:val="21"/>
                <w:szCs w:val="21"/>
              </w:rPr>
            </w:pPr>
            <w:r>
              <w:rPr>
                <w:rFonts w:ascii="Times New Roman" w:hAnsi="Times New Roman" w:eastAsia="黑体"/>
                <w:kern w:val="2"/>
                <w:sz w:val="21"/>
                <w:szCs w:val="21"/>
              </w:rPr>
              <w:t>运营期</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667" w:type="dxa"/>
            <w:vMerge w:val="continue"/>
          </w:tcPr>
          <w:p>
            <w:pPr>
              <w:pStyle w:val="36"/>
              <w:adjustRightInd w:val="0"/>
              <w:snapToGrid w:val="0"/>
              <w:spacing w:before="0" w:beforeAutospacing="0" w:after="0" w:afterAutospacing="0"/>
              <w:jc w:val="center"/>
              <w:rPr>
                <w:rFonts w:ascii="Times New Roman" w:hAnsi="Times New Roman" w:eastAsia="黑体"/>
                <w:kern w:val="2"/>
                <w:sz w:val="21"/>
                <w:szCs w:val="21"/>
              </w:rPr>
            </w:pPr>
          </w:p>
        </w:tc>
        <w:tc>
          <w:tcPr>
            <w:tcW w:w="6379" w:type="dxa"/>
            <w:gridSpan w:val="4"/>
            <w:vAlign w:val="center"/>
          </w:tcPr>
          <w:p>
            <w:pPr>
              <w:pStyle w:val="36"/>
              <w:adjustRightInd w:val="0"/>
              <w:snapToGrid w:val="0"/>
              <w:spacing w:before="0" w:beforeAutospacing="0" w:after="0" w:afterAutospacing="0"/>
              <w:jc w:val="center"/>
              <w:rPr>
                <w:rFonts w:ascii="Times New Roman" w:hAnsi="Times New Roman" w:eastAsia="黑体"/>
                <w:kern w:val="2"/>
                <w:sz w:val="21"/>
                <w:szCs w:val="21"/>
              </w:rPr>
            </w:pPr>
            <w:r>
              <w:rPr>
                <w:rFonts w:ascii="Times New Roman" w:hAnsi="Times New Roman" w:eastAsia="黑体"/>
                <w:kern w:val="2"/>
                <w:sz w:val="21"/>
                <w:szCs w:val="21"/>
              </w:rPr>
              <w:t>环境保护措施</w:t>
            </w:r>
          </w:p>
        </w:tc>
        <w:tc>
          <w:tcPr>
            <w:tcW w:w="3544" w:type="dxa"/>
            <w:vAlign w:val="center"/>
          </w:tcPr>
          <w:p>
            <w:pPr>
              <w:pStyle w:val="36"/>
              <w:adjustRightInd w:val="0"/>
              <w:snapToGrid w:val="0"/>
              <w:spacing w:before="0" w:beforeAutospacing="0" w:after="0" w:afterAutospacing="0"/>
              <w:jc w:val="center"/>
              <w:rPr>
                <w:rFonts w:ascii="Times New Roman" w:hAnsi="Times New Roman" w:eastAsia="黑体"/>
                <w:kern w:val="2"/>
                <w:sz w:val="21"/>
                <w:szCs w:val="21"/>
              </w:rPr>
            </w:pPr>
            <w:r>
              <w:rPr>
                <w:rFonts w:ascii="Times New Roman" w:hAnsi="Times New Roman" w:eastAsia="黑体"/>
                <w:kern w:val="2"/>
                <w:sz w:val="21"/>
                <w:szCs w:val="21"/>
              </w:rPr>
              <w:t>验收要求</w:t>
            </w:r>
          </w:p>
        </w:tc>
        <w:tc>
          <w:tcPr>
            <w:tcW w:w="1418" w:type="dxa"/>
            <w:vAlign w:val="center"/>
          </w:tcPr>
          <w:p>
            <w:pPr>
              <w:pStyle w:val="36"/>
              <w:adjustRightInd w:val="0"/>
              <w:snapToGrid w:val="0"/>
              <w:spacing w:before="0" w:beforeAutospacing="0" w:after="0" w:afterAutospacing="0"/>
              <w:jc w:val="center"/>
              <w:rPr>
                <w:rFonts w:ascii="Times New Roman" w:hAnsi="Times New Roman" w:eastAsia="黑体"/>
                <w:kern w:val="2"/>
                <w:sz w:val="21"/>
                <w:szCs w:val="21"/>
              </w:rPr>
            </w:pPr>
            <w:r>
              <w:rPr>
                <w:rFonts w:ascii="Times New Roman" w:hAnsi="Times New Roman" w:eastAsia="黑体"/>
                <w:kern w:val="2"/>
                <w:sz w:val="21"/>
                <w:szCs w:val="21"/>
              </w:rPr>
              <w:t>环境保护措施</w:t>
            </w:r>
          </w:p>
        </w:tc>
        <w:tc>
          <w:tcPr>
            <w:tcW w:w="1166" w:type="dxa"/>
            <w:vAlign w:val="center"/>
          </w:tcPr>
          <w:p>
            <w:pPr>
              <w:pStyle w:val="36"/>
              <w:adjustRightInd w:val="0"/>
              <w:snapToGrid w:val="0"/>
              <w:spacing w:before="0" w:beforeAutospacing="0" w:after="0" w:afterAutospacing="0"/>
              <w:jc w:val="center"/>
              <w:rPr>
                <w:rFonts w:ascii="Times New Roman" w:hAnsi="Times New Roman" w:eastAsia="黑体"/>
                <w:kern w:val="2"/>
                <w:sz w:val="21"/>
                <w:szCs w:val="21"/>
              </w:rPr>
            </w:pPr>
            <w:r>
              <w:rPr>
                <w:rFonts w:ascii="Times New Roman" w:hAnsi="Times New Roman" w:eastAsia="黑体"/>
                <w:kern w:val="2"/>
                <w:sz w:val="21"/>
                <w:szCs w:val="21"/>
              </w:rPr>
              <w:t>验收要求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667" w:type="dxa"/>
            <w:vMerge w:val="restart"/>
            <w:vAlign w:val="center"/>
          </w:tcPr>
          <w:p>
            <w:pPr>
              <w:adjustRightInd w:val="0"/>
              <w:snapToGrid w:val="0"/>
              <w:jc w:val="center"/>
              <w:rPr>
                <w:szCs w:val="21"/>
              </w:rPr>
            </w:pPr>
            <w:r>
              <w:rPr>
                <w:szCs w:val="21"/>
              </w:rPr>
              <w:t>陆生生态</w:t>
            </w:r>
          </w:p>
        </w:tc>
        <w:tc>
          <w:tcPr>
            <w:tcW w:w="1772" w:type="dxa"/>
            <w:gridSpan w:val="2"/>
            <w:vAlign w:val="center"/>
          </w:tcPr>
          <w:p>
            <w:pPr>
              <w:adjustRightInd w:val="0"/>
              <w:snapToGrid w:val="0"/>
              <w:rPr>
                <w:szCs w:val="21"/>
              </w:rPr>
            </w:pPr>
            <w:r>
              <w:rPr>
                <w:rFonts w:hint="eastAsia"/>
                <w:szCs w:val="21"/>
              </w:rPr>
              <w:t>减少影响范围、生态恢复</w:t>
            </w:r>
          </w:p>
        </w:tc>
        <w:tc>
          <w:tcPr>
            <w:tcW w:w="4607" w:type="dxa"/>
            <w:gridSpan w:val="2"/>
            <w:vAlign w:val="center"/>
          </w:tcPr>
          <w:p>
            <w:pPr>
              <w:adjustRightInd w:val="0"/>
              <w:snapToGrid w:val="0"/>
              <w:rPr>
                <w:szCs w:val="21"/>
              </w:rPr>
            </w:pPr>
            <w:r>
              <w:rPr>
                <w:rFonts w:hint="eastAsia"/>
                <w:szCs w:val="21"/>
              </w:rPr>
              <w:t>场地减少雨水冲刷；场地周围修临时排水沟。</w:t>
            </w:r>
          </w:p>
        </w:tc>
        <w:tc>
          <w:tcPr>
            <w:tcW w:w="3544" w:type="dxa"/>
            <w:vAlign w:val="center"/>
          </w:tcPr>
          <w:p>
            <w:pPr>
              <w:rPr>
                <w:szCs w:val="21"/>
              </w:rPr>
            </w:pPr>
            <w:r>
              <w:rPr>
                <w:rFonts w:hint="eastAsia"/>
                <w:szCs w:val="21"/>
              </w:rPr>
              <w:t>满足水土保持验收要求</w:t>
            </w:r>
          </w:p>
        </w:tc>
        <w:tc>
          <w:tcPr>
            <w:tcW w:w="1418" w:type="dxa"/>
            <w:vAlign w:val="center"/>
          </w:tcPr>
          <w:p>
            <w:pPr>
              <w:adjustRightInd w:val="0"/>
              <w:snapToGrid w:val="0"/>
              <w:rPr>
                <w:szCs w:val="21"/>
              </w:rPr>
            </w:pPr>
            <w:r>
              <w:rPr>
                <w:szCs w:val="21"/>
              </w:rPr>
              <w:t>/</w:t>
            </w:r>
          </w:p>
        </w:tc>
        <w:tc>
          <w:tcPr>
            <w:tcW w:w="1166" w:type="dxa"/>
            <w:vAlign w:val="center"/>
          </w:tcPr>
          <w:p>
            <w:pPr>
              <w:adjustRightInd w:val="0"/>
              <w:snapToGrid w:val="0"/>
              <w:rPr>
                <w:szCs w:val="21"/>
              </w:rPr>
            </w:pPr>
            <w:r>
              <w:rPr>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667" w:type="dxa"/>
            <w:vMerge w:val="continue"/>
            <w:vAlign w:val="center"/>
          </w:tcPr>
          <w:p>
            <w:pPr>
              <w:adjustRightInd w:val="0"/>
              <w:snapToGrid w:val="0"/>
              <w:jc w:val="center"/>
              <w:rPr>
                <w:szCs w:val="21"/>
              </w:rPr>
            </w:pPr>
          </w:p>
        </w:tc>
        <w:tc>
          <w:tcPr>
            <w:tcW w:w="1772" w:type="dxa"/>
            <w:gridSpan w:val="2"/>
            <w:vAlign w:val="center"/>
          </w:tcPr>
          <w:p>
            <w:pPr>
              <w:adjustRightInd w:val="0"/>
              <w:snapToGrid w:val="0"/>
              <w:rPr>
                <w:szCs w:val="21"/>
              </w:rPr>
            </w:pPr>
            <w:r>
              <w:rPr>
                <w:rFonts w:hint="eastAsia"/>
                <w:szCs w:val="21"/>
              </w:rPr>
              <w:t>临时占地恢复</w:t>
            </w:r>
          </w:p>
        </w:tc>
        <w:tc>
          <w:tcPr>
            <w:tcW w:w="4607" w:type="dxa"/>
            <w:gridSpan w:val="2"/>
            <w:vAlign w:val="center"/>
          </w:tcPr>
          <w:p>
            <w:pPr>
              <w:adjustRightInd w:val="0"/>
              <w:snapToGrid w:val="0"/>
              <w:rPr>
                <w:szCs w:val="21"/>
              </w:rPr>
            </w:pPr>
            <w:r>
              <w:rPr>
                <w:rFonts w:hint="eastAsia"/>
                <w:szCs w:val="21"/>
              </w:rPr>
              <w:t>根据《中华人民共和国土地管理法》和相关地方规定对工程永久征地、临时占地进行补偿；施工结束后对放喷池进行拆除，并进行迹地恢复。后期若不再使用，则对应急池进行拆除回填覆土及生态恢复。</w:t>
            </w:r>
          </w:p>
        </w:tc>
        <w:tc>
          <w:tcPr>
            <w:tcW w:w="3544" w:type="dxa"/>
            <w:vAlign w:val="center"/>
          </w:tcPr>
          <w:p>
            <w:pPr>
              <w:rPr>
                <w:szCs w:val="21"/>
              </w:rPr>
            </w:pPr>
            <w:r>
              <w:rPr>
                <w:rFonts w:hint="eastAsia"/>
                <w:szCs w:val="21"/>
              </w:rPr>
              <w:t>占地恢复原有土地利用性质</w:t>
            </w:r>
          </w:p>
        </w:tc>
        <w:tc>
          <w:tcPr>
            <w:tcW w:w="1418" w:type="dxa"/>
            <w:vAlign w:val="center"/>
          </w:tcPr>
          <w:p>
            <w:pPr>
              <w:adjustRightInd w:val="0"/>
              <w:snapToGrid w:val="0"/>
              <w:rPr>
                <w:szCs w:val="21"/>
              </w:rPr>
            </w:pPr>
          </w:p>
        </w:tc>
        <w:tc>
          <w:tcPr>
            <w:tcW w:w="1166" w:type="dxa"/>
            <w:vAlign w:val="center"/>
          </w:tcPr>
          <w:p>
            <w:pPr>
              <w:adjustRightInd w:val="0"/>
              <w:snapToGrid w:val="0"/>
              <w:rPr>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667" w:type="dxa"/>
            <w:vMerge w:val="continue"/>
            <w:vAlign w:val="center"/>
          </w:tcPr>
          <w:p>
            <w:pPr>
              <w:adjustRightInd w:val="0"/>
              <w:snapToGrid w:val="0"/>
              <w:jc w:val="center"/>
              <w:rPr>
                <w:szCs w:val="21"/>
              </w:rPr>
            </w:pPr>
          </w:p>
        </w:tc>
        <w:tc>
          <w:tcPr>
            <w:tcW w:w="1772" w:type="dxa"/>
            <w:gridSpan w:val="2"/>
            <w:vAlign w:val="center"/>
          </w:tcPr>
          <w:p>
            <w:pPr>
              <w:adjustRightInd w:val="0"/>
              <w:snapToGrid w:val="0"/>
              <w:rPr>
                <w:szCs w:val="21"/>
              </w:rPr>
            </w:pPr>
            <w:r>
              <w:rPr>
                <w:rFonts w:hint="eastAsia"/>
                <w:szCs w:val="21"/>
              </w:rPr>
              <w:t>植被恢复</w:t>
            </w:r>
          </w:p>
        </w:tc>
        <w:tc>
          <w:tcPr>
            <w:tcW w:w="4607" w:type="dxa"/>
            <w:gridSpan w:val="2"/>
            <w:vAlign w:val="center"/>
          </w:tcPr>
          <w:p>
            <w:pPr>
              <w:adjustRightInd w:val="0"/>
              <w:snapToGrid w:val="0"/>
              <w:rPr>
                <w:szCs w:val="21"/>
              </w:rPr>
            </w:pPr>
            <w:r>
              <w:rPr>
                <w:rFonts w:hint="eastAsia"/>
                <w:szCs w:val="21"/>
              </w:rPr>
              <w:t>施工结束后对不再使用的临时占地进行复垦和植被恢复，应满足《土地复垦质里控制标准》（TD/T1036-2013）中规定的要求，满足居民正常耕种要求。</w:t>
            </w:r>
          </w:p>
        </w:tc>
        <w:tc>
          <w:tcPr>
            <w:tcW w:w="3544" w:type="dxa"/>
            <w:vAlign w:val="center"/>
          </w:tcPr>
          <w:p>
            <w:pPr>
              <w:rPr>
                <w:szCs w:val="21"/>
              </w:rPr>
            </w:pPr>
            <w:r>
              <w:rPr>
                <w:rFonts w:hint="eastAsia"/>
                <w:szCs w:val="21"/>
              </w:rPr>
              <w:t>土地恢复生产力</w:t>
            </w:r>
          </w:p>
        </w:tc>
        <w:tc>
          <w:tcPr>
            <w:tcW w:w="1418" w:type="dxa"/>
            <w:vAlign w:val="center"/>
          </w:tcPr>
          <w:p>
            <w:pPr>
              <w:adjustRightInd w:val="0"/>
              <w:snapToGrid w:val="0"/>
              <w:rPr>
                <w:szCs w:val="21"/>
              </w:rPr>
            </w:pPr>
          </w:p>
        </w:tc>
        <w:tc>
          <w:tcPr>
            <w:tcW w:w="1166" w:type="dxa"/>
            <w:vAlign w:val="center"/>
          </w:tcPr>
          <w:p>
            <w:pPr>
              <w:adjustRightInd w:val="0"/>
              <w:snapToGrid w:val="0"/>
              <w:rPr>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667" w:type="dxa"/>
            <w:vAlign w:val="center"/>
          </w:tcPr>
          <w:p>
            <w:pPr>
              <w:adjustRightInd w:val="0"/>
              <w:snapToGrid w:val="0"/>
              <w:jc w:val="center"/>
              <w:rPr>
                <w:szCs w:val="21"/>
              </w:rPr>
            </w:pPr>
            <w:r>
              <w:rPr>
                <w:szCs w:val="21"/>
              </w:rPr>
              <w:t>水生生态</w:t>
            </w:r>
          </w:p>
        </w:tc>
        <w:tc>
          <w:tcPr>
            <w:tcW w:w="6379" w:type="dxa"/>
            <w:gridSpan w:val="4"/>
            <w:vAlign w:val="center"/>
          </w:tcPr>
          <w:p>
            <w:pPr>
              <w:adjustRightInd w:val="0"/>
              <w:snapToGrid w:val="0"/>
              <w:rPr>
                <w:szCs w:val="21"/>
              </w:rPr>
            </w:pPr>
            <w:r>
              <w:rPr>
                <w:szCs w:val="21"/>
              </w:rPr>
              <w:t>/</w:t>
            </w:r>
          </w:p>
        </w:tc>
        <w:tc>
          <w:tcPr>
            <w:tcW w:w="3544" w:type="dxa"/>
            <w:vAlign w:val="center"/>
          </w:tcPr>
          <w:p>
            <w:pPr>
              <w:adjustRightInd w:val="0"/>
              <w:snapToGrid w:val="0"/>
              <w:rPr>
                <w:szCs w:val="21"/>
              </w:rPr>
            </w:pPr>
            <w:r>
              <w:rPr>
                <w:szCs w:val="21"/>
              </w:rPr>
              <w:t>/</w:t>
            </w:r>
          </w:p>
        </w:tc>
        <w:tc>
          <w:tcPr>
            <w:tcW w:w="1418" w:type="dxa"/>
            <w:vAlign w:val="center"/>
          </w:tcPr>
          <w:p>
            <w:pPr>
              <w:adjustRightInd w:val="0"/>
              <w:snapToGrid w:val="0"/>
              <w:rPr>
                <w:szCs w:val="21"/>
              </w:rPr>
            </w:pPr>
            <w:r>
              <w:rPr>
                <w:szCs w:val="21"/>
              </w:rPr>
              <w:t>/</w:t>
            </w:r>
          </w:p>
        </w:tc>
        <w:tc>
          <w:tcPr>
            <w:tcW w:w="1166" w:type="dxa"/>
            <w:vAlign w:val="center"/>
          </w:tcPr>
          <w:p>
            <w:pPr>
              <w:adjustRightInd w:val="0"/>
              <w:snapToGrid w:val="0"/>
              <w:rPr>
                <w:szCs w:val="21"/>
              </w:rPr>
            </w:pPr>
            <w:r>
              <w:rPr>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667" w:type="dxa"/>
            <w:vMerge w:val="restart"/>
            <w:vAlign w:val="center"/>
          </w:tcPr>
          <w:p>
            <w:pPr>
              <w:adjustRightInd w:val="0"/>
              <w:snapToGrid w:val="0"/>
              <w:jc w:val="center"/>
              <w:rPr>
                <w:szCs w:val="21"/>
              </w:rPr>
            </w:pPr>
            <w:r>
              <w:rPr>
                <w:szCs w:val="21"/>
              </w:rPr>
              <w:t>地表水环境</w:t>
            </w:r>
          </w:p>
        </w:tc>
        <w:tc>
          <w:tcPr>
            <w:tcW w:w="6379" w:type="dxa"/>
            <w:gridSpan w:val="4"/>
            <w:vAlign w:val="center"/>
          </w:tcPr>
          <w:p>
            <w:pPr>
              <w:adjustRightInd w:val="0"/>
              <w:snapToGrid w:val="0"/>
              <w:rPr>
                <w:szCs w:val="21"/>
              </w:rPr>
            </w:pPr>
            <w:r>
              <w:rPr>
                <w:szCs w:val="21"/>
              </w:rPr>
              <w:t>落实清污分流措施；</w:t>
            </w:r>
            <w:r>
              <w:rPr>
                <w:rFonts w:hint="eastAsia"/>
                <w:szCs w:val="21"/>
              </w:rPr>
              <w:t>场地雨水经油水分离后通过集水坑泵入清洁生产操作平台废水罐处理回用。不能回用时经应急池暂存后由罐车拉运至四川瑞利生物科技有限公司处理站处理。</w:t>
            </w:r>
          </w:p>
        </w:tc>
        <w:tc>
          <w:tcPr>
            <w:tcW w:w="3544" w:type="dxa"/>
            <w:vMerge w:val="restart"/>
            <w:vAlign w:val="center"/>
          </w:tcPr>
          <w:p>
            <w:pPr>
              <w:adjustRightInd w:val="0"/>
              <w:snapToGrid w:val="0"/>
              <w:rPr>
                <w:szCs w:val="21"/>
              </w:rPr>
            </w:pPr>
            <w:r>
              <w:rPr>
                <w:szCs w:val="21"/>
              </w:rPr>
              <w:t>污废水全部按要求处理，钻井、洗井、酸化废水建立转运五联单</w:t>
            </w:r>
            <w:r>
              <w:rPr>
                <w:rFonts w:hint="eastAsia"/>
                <w:szCs w:val="21"/>
              </w:rPr>
              <w:t>，</w:t>
            </w:r>
            <w:r>
              <w:rPr>
                <w:szCs w:val="21"/>
              </w:rPr>
              <w:t>转运及交接等联单手续齐全，现场无污废水遗留及排放</w:t>
            </w:r>
            <w:r>
              <w:rPr>
                <w:rFonts w:hint="eastAsia"/>
                <w:szCs w:val="21"/>
              </w:rPr>
              <w:t>；</w:t>
            </w:r>
            <w:r>
              <w:rPr>
                <w:szCs w:val="21"/>
              </w:rPr>
              <w:t>落实生活污水处理措施</w:t>
            </w:r>
          </w:p>
        </w:tc>
        <w:tc>
          <w:tcPr>
            <w:tcW w:w="1418" w:type="dxa"/>
            <w:vAlign w:val="center"/>
          </w:tcPr>
          <w:p>
            <w:pPr>
              <w:adjustRightInd w:val="0"/>
              <w:snapToGrid w:val="0"/>
              <w:rPr>
                <w:szCs w:val="21"/>
              </w:rPr>
            </w:pPr>
          </w:p>
        </w:tc>
        <w:tc>
          <w:tcPr>
            <w:tcW w:w="1166" w:type="dxa"/>
            <w:vAlign w:val="center"/>
          </w:tcPr>
          <w:p>
            <w:pPr>
              <w:adjustRightInd w:val="0"/>
              <w:snapToGrid w:val="0"/>
              <w:rPr>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667" w:type="dxa"/>
            <w:vMerge w:val="continue"/>
            <w:vAlign w:val="center"/>
          </w:tcPr>
          <w:p>
            <w:pPr>
              <w:adjustRightInd w:val="0"/>
              <w:snapToGrid w:val="0"/>
              <w:jc w:val="center"/>
              <w:rPr>
                <w:szCs w:val="21"/>
              </w:rPr>
            </w:pPr>
          </w:p>
        </w:tc>
        <w:tc>
          <w:tcPr>
            <w:tcW w:w="6379" w:type="dxa"/>
            <w:gridSpan w:val="4"/>
            <w:vAlign w:val="center"/>
          </w:tcPr>
          <w:p>
            <w:pPr>
              <w:adjustRightInd w:val="0"/>
              <w:snapToGrid w:val="0"/>
              <w:rPr>
                <w:szCs w:val="21"/>
              </w:rPr>
            </w:pPr>
            <w:r>
              <w:rPr>
                <w:rFonts w:hint="eastAsia"/>
                <w:szCs w:val="21"/>
              </w:rPr>
              <w:t>钻井废水经沉淀预处理后回用于钻井补充泥浆配置，完井阶段井废水暂存于废水罐中，回用于配制压裂液，不能回用时拟通过罐车四川瑞利生物科技有限公司污水处理厂作达标处理，现场无废水外排。</w:t>
            </w:r>
          </w:p>
        </w:tc>
        <w:tc>
          <w:tcPr>
            <w:tcW w:w="3544" w:type="dxa"/>
            <w:vMerge w:val="continue"/>
            <w:vAlign w:val="center"/>
          </w:tcPr>
          <w:p>
            <w:pPr>
              <w:adjustRightInd w:val="0"/>
              <w:snapToGrid w:val="0"/>
              <w:rPr>
                <w:szCs w:val="21"/>
              </w:rPr>
            </w:pPr>
          </w:p>
        </w:tc>
        <w:tc>
          <w:tcPr>
            <w:tcW w:w="1418" w:type="dxa"/>
            <w:vAlign w:val="center"/>
          </w:tcPr>
          <w:p>
            <w:pPr>
              <w:adjustRightInd w:val="0"/>
              <w:snapToGrid w:val="0"/>
              <w:rPr>
                <w:szCs w:val="21"/>
              </w:rPr>
            </w:pPr>
          </w:p>
        </w:tc>
        <w:tc>
          <w:tcPr>
            <w:tcW w:w="1166" w:type="dxa"/>
            <w:vAlign w:val="center"/>
          </w:tcPr>
          <w:p>
            <w:pPr>
              <w:adjustRightInd w:val="0"/>
              <w:snapToGrid w:val="0"/>
              <w:rPr>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667" w:type="dxa"/>
            <w:vMerge w:val="continue"/>
            <w:vAlign w:val="center"/>
          </w:tcPr>
          <w:p>
            <w:pPr>
              <w:adjustRightInd w:val="0"/>
              <w:snapToGrid w:val="0"/>
              <w:jc w:val="center"/>
              <w:rPr>
                <w:szCs w:val="21"/>
              </w:rPr>
            </w:pPr>
          </w:p>
        </w:tc>
        <w:tc>
          <w:tcPr>
            <w:tcW w:w="6379" w:type="dxa"/>
            <w:gridSpan w:val="4"/>
            <w:vAlign w:val="center"/>
          </w:tcPr>
          <w:p>
            <w:pPr>
              <w:adjustRightInd w:val="0"/>
              <w:snapToGrid w:val="0"/>
              <w:rPr>
                <w:szCs w:val="21"/>
              </w:rPr>
            </w:pPr>
            <w:r>
              <w:rPr>
                <w:rFonts w:hint="eastAsia"/>
                <w:szCs w:val="21"/>
              </w:rPr>
              <w:t>洗井废水进入清洁生产操作平台的废水罐采用沉淀预处理工艺后临时储存应急池中，用于配制压裂液。不能回用时拟通过罐车四川瑞利生物科技有限公司污水处理厂作达标处理，现场无废水外排。</w:t>
            </w:r>
          </w:p>
        </w:tc>
        <w:tc>
          <w:tcPr>
            <w:tcW w:w="3544" w:type="dxa"/>
            <w:vMerge w:val="continue"/>
            <w:vAlign w:val="center"/>
          </w:tcPr>
          <w:p>
            <w:pPr>
              <w:adjustRightInd w:val="0"/>
              <w:snapToGrid w:val="0"/>
              <w:rPr>
                <w:szCs w:val="21"/>
              </w:rPr>
            </w:pPr>
          </w:p>
        </w:tc>
        <w:tc>
          <w:tcPr>
            <w:tcW w:w="1418" w:type="dxa"/>
            <w:vAlign w:val="center"/>
          </w:tcPr>
          <w:p>
            <w:pPr>
              <w:adjustRightInd w:val="0"/>
              <w:snapToGrid w:val="0"/>
              <w:rPr>
                <w:szCs w:val="21"/>
              </w:rPr>
            </w:pPr>
          </w:p>
        </w:tc>
        <w:tc>
          <w:tcPr>
            <w:tcW w:w="1166" w:type="dxa"/>
            <w:vAlign w:val="center"/>
          </w:tcPr>
          <w:p>
            <w:pPr>
              <w:adjustRightInd w:val="0"/>
              <w:snapToGrid w:val="0"/>
              <w:rPr>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667" w:type="dxa"/>
            <w:vMerge w:val="continue"/>
            <w:vAlign w:val="center"/>
          </w:tcPr>
          <w:p>
            <w:pPr>
              <w:adjustRightInd w:val="0"/>
              <w:snapToGrid w:val="0"/>
              <w:jc w:val="center"/>
              <w:rPr>
                <w:szCs w:val="21"/>
              </w:rPr>
            </w:pPr>
          </w:p>
        </w:tc>
        <w:tc>
          <w:tcPr>
            <w:tcW w:w="6379" w:type="dxa"/>
            <w:gridSpan w:val="4"/>
            <w:vAlign w:val="center"/>
          </w:tcPr>
          <w:p>
            <w:pPr>
              <w:adjustRightInd w:val="0"/>
              <w:snapToGrid w:val="0"/>
              <w:rPr>
                <w:szCs w:val="21"/>
              </w:rPr>
            </w:pPr>
            <w:r>
              <w:rPr>
                <w:rFonts w:hint="eastAsia"/>
                <w:szCs w:val="21"/>
              </w:rPr>
              <w:t>压裂返排液经现场废水罐预处理后暂存于应急池通过罐车拉运至四川瑞利生物科技有限公司污水处理厂作达标处理，现场无废水外排。</w:t>
            </w:r>
          </w:p>
        </w:tc>
        <w:tc>
          <w:tcPr>
            <w:tcW w:w="3544" w:type="dxa"/>
            <w:vMerge w:val="continue"/>
            <w:vAlign w:val="center"/>
          </w:tcPr>
          <w:p>
            <w:pPr>
              <w:adjustRightInd w:val="0"/>
              <w:snapToGrid w:val="0"/>
              <w:rPr>
                <w:szCs w:val="21"/>
              </w:rPr>
            </w:pPr>
          </w:p>
        </w:tc>
        <w:tc>
          <w:tcPr>
            <w:tcW w:w="1418" w:type="dxa"/>
            <w:vAlign w:val="center"/>
          </w:tcPr>
          <w:p>
            <w:pPr>
              <w:adjustRightInd w:val="0"/>
              <w:snapToGrid w:val="0"/>
              <w:rPr>
                <w:szCs w:val="21"/>
              </w:rPr>
            </w:pPr>
          </w:p>
        </w:tc>
        <w:tc>
          <w:tcPr>
            <w:tcW w:w="1166" w:type="dxa"/>
            <w:vAlign w:val="center"/>
          </w:tcPr>
          <w:p>
            <w:pPr>
              <w:adjustRightInd w:val="0"/>
              <w:snapToGrid w:val="0"/>
              <w:rPr>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667" w:type="dxa"/>
            <w:vMerge w:val="continue"/>
            <w:vAlign w:val="center"/>
          </w:tcPr>
          <w:p>
            <w:pPr>
              <w:adjustRightInd w:val="0"/>
              <w:snapToGrid w:val="0"/>
              <w:jc w:val="center"/>
              <w:rPr>
                <w:szCs w:val="21"/>
              </w:rPr>
            </w:pPr>
          </w:p>
        </w:tc>
        <w:tc>
          <w:tcPr>
            <w:tcW w:w="6379" w:type="dxa"/>
            <w:gridSpan w:val="4"/>
            <w:vAlign w:val="center"/>
          </w:tcPr>
          <w:p>
            <w:pPr>
              <w:adjustRightInd w:val="0"/>
              <w:snapToGrid w:val="0"/>
              <w:rPr>
                <w:szCs w:val="21"/>
              </w:rPr>
            </w:pPr>
            <w:r>
              <w:rPr>
                <w:rFonts w:hint="eastAsia"/>
                <w:szCs w:val="21"/>
              </w:rPr>
              <w:t>生活污水经旱厕收集后定期由清粪车拉运至北山镇生活污水处理厂处理。</w:t>
            </w:r>
          </w:p>
        </w:tc>
        <w:tc>
          <w:tcPr>
            <w:tcW w:w="3544" w:type="dxa"/>
            <w:vMerge w:val="continue"/>
            <w:vAlign w:val="center"/>
          </w:tcPr>
          <w:p>
            <w:pPr>
              <w:adjustRightInd w:val="0"/>
              <w:snapToGrid w:val="0"/>
              <w:rPr>
                <w:szCs w:val="21"/>
              </w:rPr>
            </w:pPr>
          </w:p>
        </w:tc>
        <w:tc>
          <w:tcPr>
            <w:tcW w:w="1418" w:type="dxa"/>
            <w:vAlign w:val="center"/>
          </w:tcPr>
          <w:p>
            <w:pPr>
              <w:adjustRightInd w:val="0"/>
              <w:snapToGrid w:val="0"/>
              <w:rPr>
                <w:szCs w:val="21"/>
              </w:rPr>
            </w:pPr>
          </w:p>
        </w:tc>
        <w:tc>
          <w:tcPr>
            <w:tcW w:w="1166" w:type="dxa"/>
            <w:vAlign w:val="center"/>
          </w:tcPr>
          <w:p>
            <w:pPr>
              <w:adjustRightInd w:val="0"/>
              <w:snapToGrid w:val="0"/>
              <w:rPr>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667" w:type="dxa"/>
            <w:vAlign w:val="center"/>
          </w:tcPr>
          <w:p>
            <w:pPr>
              <w:adjustRightInd w:val="0"/>
              <w:snapToGrid w:val="0"/>
              <w:jc w:val="center"/>
              <w:rPr>
                <w:szCs w:val="21"/>
              </w:rPr>
            </w:pPr>
            <w:r>
              <w:rPr>
                <w:szCs w:val="21"/>
              </w:rPr>
              <w:t>地下水及土壤环境</w:t>
            </w:r>
          </w:p>
        </w:tc>
        <w:tc>
          <w:tcPr>
            <w:tcW w:w="6379" w:type="dxa"/>
            <w:gridSpan w:val="4"/>
            <w:vAlign w:val="center"/>
          </w:tcPr>
          <w:p>
            <w:pPr>
              <w:adjustRightInd w:val="0"/>
              <w:snapToGrid w:val="0"/>
              <w:rPr>
                <w:szCs w:val="21"/>
              </w:rPr>
            </w:pPr>
            <w:r>
              <w:rPr>
                <w:szCs w:val="21"/>
              </w:rPr>
              <w:t>落实钻井方案及钻井液方案；落实井场分区防渗情况</w:t>
            </w:r>
          </w:p>
        </w:tc>
        <w:tc>
          <w:tcPr>
            <w:tcW w:w="3544" w:type="dxa"/>
            <w:vAlign w:val="center"/>
          </w:tcPr>
          <w:p>
            <w:pPr>
              <w:adjustRightInd w:val="0"/>
              <w:snapToGrid w:val="0"/>
              <w:rPr>
                <w:szCs w:val="21"/>
              </w:rPr>
            </w:pPr>
            <w:r>
              <w:rPr>
                <w:szCs w:val="21"/>
              </w:rPr>
              <w:t>各防渗区等级</w:t>
            </w:r>
            <w:r>
              <w:rPr>
                <w:rFonts w:hint="eastAsia"/>
                <w:szCs w:val="21"/>
              </w:rPr>
              <w:t>满足</w:t>
            </w:r>
            <w:r>
              <w:rPr>
                <w:szCs w:val="21"/>
              </w:rPr>
              <w:t>防渗要求，各污染物均按要求收集及处理处置。</w:t>
            </w:r>
          </w:p>
        </w:tc>
        <w:tc>
          <w:tcPr>
            <w:tcW w:w="1418" w:type="dxa"/>
            <w:vAlign w:val="center"/>
          </w:tcPr>
          <w:p>
            <w:pPr>
              <w:adjustRightInd w:val="0"/>
              <w:snapToGrid w:val="0"/>
              <w:rPr>
                <w:szCs w:val="21"/>
              </w:rPr>
            </w:pPr>
            <w:r>
              <w:rPr>
                <w:szCs w:val="21"/>
              </w:rPr>
              <w:t>/</w:t>
            </w:r>
          </w:p>
        </w:tc>
        <w:tc>
          <w:tcPr>
            <w:tcW w:w="1166" w:type="dxa"/>
            <w:vAlign w:val="center"/>
          </w:tcPr>
          <w:p>
            <w:pPr>
              <w:adjustRightInd w:val="0"/>
              <w:snapToGrid w:val="0"/>
              <w:rPr>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667" w:type="dxa"/>
            <w:vAlign w:val="center"/>
          </w:tcPr>
          <w:p>
            <w:pPr>
              <w:adjustRightInd w:val="0"/>
              <w:snapToGrid w:val="0"/>
              <w:jc w:val="center"/>
              <w:rPr>
                <w:szCs w:val="21"/>
              </w:rPr>
            </w:pPr>
            <w:r>
              <w:rPr>
                <w:szCs w:val="21"/>
              </w:rPr>
              <w:t>声环境</w:t>
            </w:r>
          </w:p>
        </w:tc>
        <w:tc>
          <w:tcPr>
            <w:tcW w:w="6379" w:type="dxa"/>
            <w:gridSpan w:val="4"/>
            <w:vAlign w:val="center"/>
          </w:tcPr>
          <w:p>
            <w:pPr>
              <w:adjustRightInd w:val="0"/>
              <w:snapToGrid w:val="0"/>
              <w:rPr>
                <w:szCs w:val="21"/>
              </w:rPr>
            </w:pPr>
            <w:r>
              <w:rPr>
                <w:rFonts w:hint="eastAsia"/>
                <w:szCs w:val="21"/>
              </w:rPr>
              <w:t>选用低噪声设备、合理布置噪声设备，并采取相应减噪措施，</w:t>
            </w:r>
            <w:r>
              <w:rPr>
                <w:szCs w:val="21"/>
              </w:rPr>
              <w:t>作业前先发布公告，并告知高噪声作业时间</w:t>
            </w:r>
            <w:r>
              <w:rPr>
                <w:rFonts w:hint="eastAsia"/>
                <w:szCs w:val="21"/>
              </w:rPr>
              <w:t>，加强沟通协调</w:t>
            </w:r>
            <w:r>
              <w:rPr>
                <w:szCs w:val="21"/>
              </w:rPr>
              <w:t>。</w:t>
            </w:r>
          </w:p>
        </w:tc>
        <w:tc>
          <w:tcPr>
            <w:tcW w:w="3544" w:type="dxa"/>
            <w:vAlign w:val="center"/>
          </w:tcPr>
          <w:p>
            <w:pPr>
              <w:adjustRightInd w:val="0"/>
              <w:snapToGrid w:val="0"/>
              <w:rPr>
                <w:szCs w:val="21"/>
              </w:rPr>
            </w:pPr>
            <w:r>
              <w:rPr>
                <w:szCs w:val="21"/>
              </w:rPr>
              <w:t>按要求设置相应的噪声控制措施</w:t>
            </w:r>
          </w:p>
        </w:tc>
        <w:tc>
          <w:tcPr>
            <w:tcW w:w="1418" w:type="dxa"/>
            <w:vAlign w:val="center"/>
          </w:tcPr>
          <w:p>
            <w:pPr>
              <w:adjustRightInd w:val="0"/>
              <w:snapToGrid w:val="0"/>
              <w:rPr>
                <w:szCs w:val="21"/>
              </w:rPr>
            </w:pPr>
            <w:r>
              <w:rPr>
                <w:szCs w:val="21"/>
              </w:rPr>
              <w:t>/</w:t>
            </w:r>
          </w:p>
        </w:tc>
        <w:tc>
          <w:tcPr>
            <w:tcW w:w="1166" w:type="dxa"/>
            <w:vAlign w:val="center"/>
          </w:tcPr>
          <w:p>
            <w:pPr>
              <w:adjustRightInd w:val="0"/>
              <w:snapToGrid w:val="0"/>
              <w:rPr>
                <w:szCs w:val="21"/>
              </w:rPr>
            </w:pPr>
            <w:r>
              <w:rPr>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667" w:type="dxa"/>
            <w:vAlign w:val="center"/>
          </w:tcPr>
          <w:p>
            <w:pPr>
              <w:adjustRightInd w:val="0"/>
              <w:snapToGrid w:val="0"/>
              <w:jc w:val="center"/>
              <w:rPr>
                <w:szCs w:val="21"/>
              </w:rPr>
            </w:pPr>
            <w:r>
              <w:rPr>
                <w:szCs w:val="21"/>
              </w:rPr>
              <w:t>振动</w:t>
            </w:r>
          </w:p>
        </w:tc>
        <w:tc>
          <w:tcPr>
            <w:tcW w:w="6379" w:type="dxa"/>
            <w:gridSpan w:val="4"/>
            <w:vAlign w:val="center"/>
          </w:tcPr>
          <w:p>
            <w:pPr>
              <w:adjustRightInd w:val="0"/>
              <w:snapToGrid w:val="0"/>
              <w:rPr>
                <w:szCs w:val="21"/>
              </w:rPr>
            </w:pPr>
            <w:r>
              <w:rPr>
                <w:szCs w:val="21"/>
              </w:rPr>
              <w:t>/</w:t>
            </w:r>
          </w:p>
        </w:tc>
        <w:tc>
          <w:tcPr>
            <w:tcW w:w="3544" w:type="dxa"/>
            <w:vAlign w:val="center"/>
          </w:tcPr>
          <w:p>
            <w:pPr>
              <w:adjustRightInd w:val="0"/>
              <w:snapToGrid w:val="0"/>
              <w:rPr>
                <w:szCs w:val="21"/>
              </w:rPr>
            </w:pPr>
            <w:r>
              <w:rPr>
                <w:szCs w:val="21"/>
              </w:rPr>
              <w:t>/</w:t>
            </w:r>
          </w:p>
        </w:tc>
        <w:tc>
          <w:tcPr>
            <w:tcW w:w="1418" w:type="dxa"/>
            <w:vAlign w:val="center"/>
          </w:tcPr>
          <w:p>
            <w:pPr>
              <w:adjustRightInd w:val="0"/>
              <w:snapToGrid w:val="0"/>
              <w:rPr>
                <w:szCs w:val="21"/>
              </w:rPr>
            </w:pPr>
            <w:r>
              <w:rPr>
                <w:szCs w:val="21"/>
              </w:rPr>
              <w:t>/</w:t>
            </w:r>
          </w:p>
        </w:tc>
        <w:tc>
          <w:tcPr>
            <w:tcW w:w="1166" w:type="dxa"/>
            <w:vAlign w:val="center"/>
          </w:tcPr>
          <w:p>
            <w:pPr>
              <w:adjustRightInd w:val="0"/>
              <w:snapToGrid w:val="0"/>
              <w:rPr>
                <w:szCs w:val="21"/>
              </w:rPr>
            </w:pPr>
            <w:r>
              <w:rPr>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667" w:type="dxa"/>
            <w:vAlign w:val="center"/>
          </w:tcPr>
          <w:p>
            <w:pPr>
              <w:adjustRightInd w:val="0"/>
              <w:snapToGrid w:val="0"/>
              <w:jc w:val="center"/>
              <w:rPr>
                <w:szCs w:val="21"/>
              </w:rPr>
            </w:pPr>
            <w:r>
              <w:rPr>
                <w:szCs w:val="21"/>
              </w:rPr>
              <w:t>大气环境</w:t>
            </w:r>
          </w:p>
        </w:tc>
        <w:tc>
          <w:tcPr>
            <w:tcW w:w="6379" w:type="dxa"/>
            <w:gridSpan w:val="4"/>
            <w:vAlign w:val="center"/>
          </w:tcPr>
          <w:p>
            <w:pPr>
              <w:adjustRightInd w:val="0"/>
              <w:snapToGrid w:val="0"/>
              <w:rPr>
                <w:szCs w:val="21"/>
              </w:rPr>
            </w:pPr>
            <w:r>
              <w:rPr>
                <w:szCs w:val="21"/>
              </w:rPr>
              <w:t>使用符合环保要求的柴油机及燃料，测试放喷废气引至放喷池点火燃烧。</w:t>
            </w:r>
          </w:p>
        </w:tc>
        <w:tc>
          <w:tcPr>
            <w:tcW w:w="3544" w:type="dxa"/>
            <w:vAlign w:val="center"/>
          </w:tcPr>
          <w:p>
            <w:pPr>
              <w:adjustRightInd w:val="0"/>
              <w:snapToGrid w:val="0"/>
              <w:rPr>
                <w:szCs w:val="21"/>
              </w:rPr>
            </w:pPr>
            <w:r>
              <w:rPr>
                <w:szCs w:val="21"/>
              </w:rPr>
              <w:t>按要求实施，区域环境功能不会发生改变</w:t>
            </w:r>
          </w:p>
        </w:tc>
        <w:tc>
          <w:tcPr>
            <w:tcW w:w="1418" w:type="dxa"/>
            <w:vAlign w:val="center"/>
          </w:tcPr>
          <w:p>
            <w:pPr>
              <w:adjustRightInd w:val="0"/>
              <w:snapToGrid w:val="0"/>
              <w:rPr>
                <w:szCs w:val="21"/>
              </w:rPr>
            </w:pPr>
            <w:r>
              <w:rPr>
                <w:szCs w:val="21"/>
              </w:rPr>
              <w:t>/</w:t>
            </w:r>
          </w:p>
        </w:tc>
        <w:tc>
          <w:tcPr>
            <w:tcW w:w="1166" w:type="dxa"/>
            <w:vAlign w:val="center"/>
          </w:tcPr>
          <w:p>
            <w:pPr>
              <w:adjustRightInd w:val="0"/>
              <w:snapToGrid w:val="0"/>
              <w:rPr>
                <w:szCs w:val="21"/>
              </w:rPr>
            </w:pPr>
            <w:r>
              <w:rPr>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667" w:type="dxa"/>
            <w:vMerge w:val="restart"/>
            <w:vAlign w:val="center"/>
          </w:tcPr>
          <w:p>
            <w:pPr>
              <w:adjustRightInd w:val="0"/>
              <w:snapToGrid w:val="0"/>
              <w:jc w:val="center"/>
              <w:rPr>
                <w:szCs w:val="21"/>
              </w:rPr>
            </w:pPr>
            <w:r>
              <w:rPr>
                <w:szCs w:val="21"/>
              </w:rPr>
              <w:t>固体废物</w:t>
            </w:r>
          </w:p>
        </w:tc>
        <w:tc>
          <w:tcPr>
            <w:tcW w:w="6379" w:type="dxa"/>
            <w:gridSpan w:val="4"/>
            <w:vMerge w:val="restart"/>
            <w:vAlign w:val="center"/>
          </w:tcPr>
          <w:p>
            <w:pPr>
              <w:adjustRightInd w:val="0"/>
              <w:snapToGrid w:val="0"/>
              <w:rPr>
                <w:szCs w:val="21"/>
              </w:rPr>
            </w:pPr>
            <w:r>
              <w:rPr>
                <w:szCs w:val="21"/>
              </w:rPr>
              <w:t>落实岩屑堆存区情况，</w:t>
            </w:r>
            <w:r>
              <w:rPr>
                <w:rFonts w:hint="eastAsia"/>
                <w:szCs w:val="21"/>
              </w:rPr>
              <w:t>导管段产生的清水岩屑、一开~三开</w:t>
            </w:r>
            <w:r>
              <w:rPr>
                <w:szCs w:val="21"/>
              </w:rPr>
              <w:t>井</w:t>
            </w:r>
            <w:r>
              <w:rPr>
                <w:rFonts w:hint="eastAsia"/>
                <w:szCs w:val="21"/>
              </w:rPr>
              <w:t>段产生的水基岩屑由岩屑收集罐进行收集暂存岩屑堆放区，钻井废弃泥浆收集至清洁生产操作平台内的循环罐暂存，按照《达州市生态环境局办公室关于进一步加强固体废物污染防治工作的通知》（达市环办发〔2021〕24 号）要求，交给依法取得生态环境部门关于利用和处置相关工业固体废物项目环评批复、具有处理处置相应固体废物能力并配套建设有废气、废水、固废等污染物治理设施的单位进行资源化利用。</w:t>
            </w:r>
          </w:p>
        </w:tc>
        <w:tc>
          <w:tcPr>
            <w:tcW w:w="3544" w:type="dxa"/>
            <w:vMerge w:val="restart"/>
            <w:vAlign w:val="center"/>
          </w:tcPr>
          <w:p>
            <w:pPr>
              <w:adjustRightInd w:val="0"/>
              <w:snapToGrid w:val="0"/>
              <w:rPr>
                <w:szCs w:val="21"/>
              </w:rPr>
            </w:pPr>
            <w:r>
              <w:rPr>
                <w:szCs w:val="21"/>
              </w:rPr>
              <w:t>固体废物按要求处置，转运及交接等联单手续齐全，现场无遗留</w:t>
            </w:r>
          </w:p>
        </w:tc>
        <w:tc>
          <w:tcPr>
            <w:tcW w:w="1418" w:type="dxa"/>
            <w:vAlign w:val="center"/>
          </w:tcPr>
          <w:p>
            <w:pPr>
              <w:adjustRightInd w:val="0"/>
              <w:snapToGrid w:val="0"/>
              <w:rPr>
                <w:szCs w:val="21"/>
              </w:rPr>
            </w:pPr>
            <w:r>
              <w:rPr>
                <w:szCs w:val="21"/>
              </w:rPr>
              <w:t>/</w:t>
            </w:r>
          </w:p>
        </w:tc>
        <w:tc>
          <w:tcPr>
            <w:tcW w:w="1166" w:type="dxa"/>
            <w:vAlign w:val="center"/>
          </w:tcPr>
          <w:p>
            <w:pPr>
              <w:adjustRightInd w:val="0"/>
              <w:snapToGrid w:val="0"/>
              <w:rPr>
                <w:szCs w:val="21"/>
              </w:rPr>
            </w:pPr>
            <w:r>
              <w:rPr>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667" w:type="dxa"/>
            <w:vMerge w:val="continue"/>
            <w:vAlign w:val="center"/>
          </w:tcPr>
          <w:p>
            <w:pPr>
              <w:adjustRightInd w:val="0"/>
              <w:snapToGrid w:val="0"/>
              <w:jc w:val="center"/>
              <w:rPr>
                <w:szCs w:val="21"/>
              </w:rPr>
            </w:pPr>
          </w:p>
        </w:tc>
        <w:tc>
          <w:tcPr>
            <w:tcW w:w="6379" w:type="dxa"/>
            <w:gridSpan w:val="4"/>
            <w:vMerge w:val="continue"/>
            <w:vAlign w:val="center"/>
          </w:tcPr>
          <w:p>
            <w:pPr>
              <w:adjustRightInd w:val="0"/>
              <w:snapToGrid w:val="0"/>
              <w:rPr>
                <w:szCs w:val="21"/>
              </w:rPr>
            </w:pPr>
          </w:p>
        </w:tc>
        <w:tc>
          <w:tcPr>
            <w:tcW w:w="3544" w:type="dxa"/>
            <w:vMerge w:val="continue"/>
            <w:vAlign w:val="center"/>
          </w:tcPr>
          <w:p>
            <w:pPr>
              <w:adjustRightInd w:val="0"/>
              <w:snapToGrid w:val="0"/>
              <w:rPr>
                <w:szCs w:val="21"/>
              </w:rPr>
            </w:pPr>
          </w:p>
        </w:tc>
        <w:tc>
          <w:tcPr>
            <w:tcW w:w="1418" w:type="dxa"/>
            <w:vAlign w:val="center"/>
          </w:tcPr>
          <w:p>
            <w:pPr>
              <w:adjustRightInd w:val="0"/>
              <w:snapToGrid w:val="0"/>
              <w:rPr>
                <w:szCs w:val="21"/>
              </w:rPr>
            </w:pPr>
          </w:p>
        </w:tc>
        <w:tc>
          <w:tcPr>
            <w:tcW w:w="1166" w:type="dxa"/>
            <w:vAlign w:val="center"/>
          </w:tcPr>
          <w:p>
            <w:pPr>
              <w:adjustRightInd w:val="0"/>
              <w:snapToGrid w:val="0"/>
              <w:rPr>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667" w:type="dxa"/>
            <w:vMerge w:val="continue"/>
            <w:vAlign w:val="center"/>
          </w:tcPr>
          <w:p>
            <w:pPr>
              <w:adjustRightInd w:val="0"/>
              <w:snapToGrid w:val="0"/>
              <w:jc w:val="center"/>
              <w:rPr>
                <w:szCs w:val="21"/>
              </w:rPr>
            </w:pPr>
          </w:p>
        </w:tc>
        <w:tc>
          <w:tcPr>
            <w:tcW w:w="6379" w:type="dxa"/>
            <w:gridSpan w:val="4"/>
            <w:vAlign w:val="center"/>
          </w:tcPr>
          <w:p>
            <w:pPr>
              <w:adjustRightInd w:val="0"/>
              <w:snapToGrid w:val="0"/>
              <w:rPr>
                <w:szCs w:val="21"/>
              </w:rPr>
            </w:pPr>
            <w:r>
              <w:rPr>
                <w:rFonts w:hint="eastAsia"/>
                <w:szCs w:val="21"/>
              </w:rPr>
              <w:t>废油、废油桶经收集后交具有危险废物处理资质的单位进行处理。</w:t>
            </w:r>
          </w:p>
        </w:tc>
        <w:tc>
          <w:tcPr>
            <w:tcW w:w="3544" w:type="dxa"/>
            <w:vMerge w:val="continue"/>
            <w:vAlign w:val="center"/>
          </w:tcPr>
          <w:p>
            <w:pPr>
              <w:adjustRightInd w:val="0"/>
              <w:snapToGrid w:val="0"/>
              <w:rPr>
                <w:szCs w:val="21"/>
              </w:rPr>
            </w:pPr>
          </w:p>
        </w:tc>
        <w:tc>
          <w:tcPr>
            <w:tcW w:w="1418" w:type="dxa"/>
            <w:vAlign w:val="center"/>
          </w:tcPr>
          <w:p>
            <w:pPr>
              <w:adjustRightInd w:val="0"/>
              <w:snapToGrid w:val="0"/>
              <w:rPr>
                <w:szCs w:val="21"/>
              </w:rPr>
            </w:pPr>
          </w:p>
        </w:tc>
        <w:tc>
          <w:tcPr>
            <w:tcW w:w="1166" w:type="dxa"/>
            <w:vAlign w:val="center"/>
          </w:tcPr>
          <w:p>
            <w:pPr>
              <w:adjustRightInd w:val="0"/>
              <w:snapToGrid w:val="0"/>
              <w:rPr>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667" w:type="dxa"/>
            <w:vMerge w:val="continue"/>
            <w:vAlign w:val="center"/>
          </w:tcPr>
          <w:p>
            <w:pPr>
              <w:adjustRightInd w:val="0"/>
              <w:snapToGrid w:val="0"/>
              <w:jc w:val="center"/>
              <w:rPr>
                <w:szCs w:val="21"/>
              </w:rPr>
            </w:pPr>
          </w:p>
        </w:tc>
        <w:tc>
          <w:tcPr>
            <w:tcW w:w="6379" w:type="dxa"/>
            <w:gridSpan w:val="4"/>
            <w:vAlign w:val="center"/>
          </w:tcPr>
          <w:p>
            <w:pPr>
              <w:adjustRightInd w:val="0"/>
              <w:snapToGrid w:val="0"/>
              <w:rPr>
                <w:szCs w:val="21"/>
              </w:rPr>
            </w:pPr>
            <w:r>
              <w:rPr>
                <w:rFonts w:hint="eastAsia"/>
                <w:szCs w:val="21"/>
              </w:rPr>
              <w:t>沉淀污泥为一般工业固废，暂存清洁生产操作平台内，定期转运交有资质单位处置。</w:t>
            </w:r>
          </w:p>
        </w:tc>
        <w:tc>
          <w:tcPr>
            <w:tcW w:w="3544" w:type="dxa"/>
            <w:vMerge w:val="continue"/>
            <w:vAlign w:val="center"/>
          </w:tcPr>
          <w:p>
            <w:pPr>
              <w:adjustRightInd w:val="0"/>
              <w:snapToGrid w:val="0"/>
              <w:rPr>
                <w:szCs w:val="21"/>
              </w:rPr>
            </w:pPr>
          </w:p>
        </w:tc>
        <w:tc>
          <w:tcPr>
            <w:tcW w:w="1418" w:type="dxa"/>
            <w:vAlign w:val="center"/>
          </w:tcPr>
          <w:p>
            <w:pPr>
              <w:adjustRightInd w:val="0"/>
              <w:snapToGrid w:val="0"/>
              <w:rPr>
                <w:szCs w:val="21"/>
              </w:rPr>
            </w:pPr>
          </w:p>
        </w:tc>
        <w:tc>
          <w:tcPr>
            <w:tcW w:w="1166" w:type="dxa"/>
            <w:vAlign w:val="center"/>
          </w:tcPr>
          <w:p>
            <w:pPr>
              <w:adjustRightInd w:val="0"/>
              <w:snapToGrid w:val="0"/>
              <w:rPr>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667" w:type="dxa"/>
            <w:vMerge w:val="continue"/>
            <w:vAlign w:val="center"/>
          </w:tcPr>
          <w:p>
            <w:pPr>
              <w:adjustRightInd w:val="0"/>
              <w:snapToGrid w:val="0"/>
              <w:jc w:val="center"/>
              <w:rPr>
                <w:szCs w:val="21"/>
              </w:rPr>
            </w:pPr>
          </w:p>
        </w:tc>
        <w:tc>
          <w:tcPr>
            <w:tcW w:w="6379" w:type="dxa"/>
            <w:gridSpan w:val="4"/>
            <w:vAlign w:val="center"/>
          </w:tcPr>
          <w:p>
            <w:pPr>
              <w:adjustRightInd w:val="0"/>
              <w:snapToGrid w:val="0"/>
              <w:rPr>
                <w:szCs w:val="21"/>
              </w:rPr>
            </w:pPr>
            <w:r>
              <w:rPr>
                <w:rFonts w:hint="eastAsia"/>
                <w:szCs w:val="21"/>
              </w:rPr>
              <w:t>废包装材料收集后定期运至就近的废品回收站进行处理</w:t>
            </w:r>
          </w:p>
        </w:tc>
        <w:tc>
          <w:tcPr>
            <w:tcW w:w="3544" w:type="dxa"/>
            <w:vMerge w:val="continue"/>
            <w:vAlign w:val="center"/>
          </w:tcPr>
          <w:p>
            <w:pPr>
              <w:adjustRightInd w:val="0"/>
              <w:snapToGrid w:val="0"/>
              <w:rPr>
                <w:szCs w:val="21"/>
              </w:rPr>
            </w:pPr>
          </w:p>
        </w:tc>
        <w:tc>
          <w:tcPr>
            <w:tcW w:w="1418" w:type="dxa"/>
            <w:vAlign w:val="center"/>
          </w:tcPr>
          <w:p>
            <w:pPr>
              <w:adjustRightInd w:val="0"/>
              <w:snapToGrid w:val="0"/>
              <w:rPr>
                <w:szCs w:val="21"/>
              </w:rPr>
            </w:pPr>
          </w:p>
        </w:tc>
        <w:tc>
          <w:tcPr>
            <w:tcW w:w="1166" w:type="dxa"/>
            <w:vAlign w:val="center"/>
          </w:tcPr>
          <w:p>
            <w:pPr>
              <w:adjustRightInd w:val="0"/>
              <w:snapToGrid w:val="0"/>
              <w:rPr>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667" w:type="dxa"/>
            <w:vMerge w:val="continue"/>
            <w:vAlign w:val="center"/>
          </w:tcPr>
          <w:p>
            <w:pPr>
              <w:adjustRightInd w:val="0"/>
              <w:snapToGrid w:val="0"/>
              <w:jc w:val="center"/>
              <w:rPr>
                <w:szCs w:val="21"/>
              </w:rPr>
            </w:pPr>
          </w:p>
        </w:tc>
        <w:tc>
          <w:tcPr>
            <w:tcW w:w="6379" w:type="dxa"/>
            <w:gridSpan w:val="4"/>
            <w:vAlign w:val="center"/>
          </w:tcPr>
          <w:p>
            <w:pPr>
              <w:adjustRightInd w:val="0"/>
              <w:snapToGrid w:val="0"/>
              <w:rPr>
                <w:szCs w:val="21"/>
              </w:rPr>
            </w:pPr>
            <w:r>
              <w:rPr>
                <w:rFonts w:hint="eastAsia"/>
                <w:szCs w:val="21"/>
              </w:rPr>
              <w:t>生活垃圾由井场区和生活区垃圾箱收集，定期送当地环卫部门收集处置。废包装材料量较少，收集后全部回收利用。</w:t>
            </w:r>
          </w:p>
        </w:tc>
        <w:tc>
          <w:tcPr>
            <w:tcW w:w="3544" w:type="dxa"/>
            <w:vMerge w:val="continue"/>
            <w:vAlign w:val="center"/>
          </w:tcPr>
          <w:p>
            <w:pPr>
              <w:adjustRightInd w:val="0"/>
              <w:snapToGrid w:val="0"/>
              <w:rPr>
                <w:szCs w:val="21"/>
              </w:rPr>
            </w:pPr>
          </w:p>
        </w:tc>
        <w:tc>
          <w:tcPr>
            <w:tcW w:w="1418" w:type="dxa"/>
            <w:vAlign w:val="center"/>
          </w:tcPr>
          <w:p>
            <w:pPr>
              <w:adjustRightInd w:val="0"/>
              <w:snapToGrid w:val="0"/>
              <w:rPr>
                <w:szCs w:val="21"/>
              </w:rPr>
            </w:pPr>
          </w:p>
        </w:tc>
        <w:tc>
          <w:tcPr>
            <w:tcW w:w="1166" w:type="dxa"/>
            <w:vAlign w:val="center"/>
          </w:tcPr>
          <w:p>
            <w:pPr>
              <w:adjustRightInd w:val="0"/>
              <w:snapToGrid w:val="0"/>
              <w:rPr>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667" w:type="dxa"/>
            <w:vAlign w:val="center"/>
          </w:tcPr>
          <w:p>
            <w:pPr>
              <w:adjustRightInd w:val="0"/>
              <w:snapToGrid w:val="0"/>
              <w:jc w:val="center"/>
              <w:rPr>
                <w:szCs w:val="21"/>
              </w:rPr>
            </w:pPr>
            <w:r>
              <w:rPr>
                <w:szCs w:val="21"/>
              </w:rPr>
              <w:t>电磁环境</w:t>
            </w:r>
          </w:p>
        </w:tc>
        <w:tc>
          <w:tcPr>
            <w:tcW w:w="6379" w:type="dxa"/>
            <w:gridSpan w:val="4"/>
            <w:vAlign w:val="center"/>
          </w:tcPr>
          <w:p>
            <w:pPr>
              <w:adjustRightInd w:val="0"/>
              <w:snapToGrid w:val="0"/>
              <w:rPr>
                <w:szCs w:val="21"/>
              </w:rPr>
            </w:pPr>
            <w:r>
              <w:rPr>
                <w:szCs w:val="21"/>
              </w:rPr>
              <w:t>/</w:t>
            </w:r>
          </w:p>
        </w:tc>
        <w:tc>
          <w:tcPr>
            <w:tcW w:w="3544" w:type="dxa"/>
            <w:vAlign w:val="center"/>
          </w:tcPr>
          <w:p>
            <w:pPr>
              <w:adjustRightInd w:val="0"/>
              <w:snapToGrid w:val="0"/>
              <w:rPr>
                <w:szCs w:val="21"/>
              </w:rPr>
            </w:pPr>
            <w:r>
              <w:rPr>
                <w:szCs w:val="21"/>
              </w:rPr>
              <w:t>/</w:t>
            </w:r>
          </w:p>
        </w:tc>
        <w:tc>
          <w:tcPr>
            <w:tcW w:w="1418" w:type="dxa"/>
            <w:vAlign w:val="center"/>
          </w:tcPr>
          <w:p>
            <w:pPr>
              <w:adjustRightInd w:val="0"/>
              <w:snapToGrid w:val="0"/>
              <w:rPr>
                <w:szCs w:val="21"/>
              </w:rPr>
            </w:pPr>
            <w:r>
              <w:rPr>
                <w:szCs w:val="21"/>
              </w:rPr>
              <w:t>/</w:t>
            </w:r>
          </w:p>
        </w:tc>
        <w:tc>
          <w:tcPr>
            <w:tcW w:w="1166" w:type="dxa"/>
            <w:vAlign w:val="center"/>
          </w:tcPr>
          <w:p>
            <w:pPr>
              <w:adjustRightInd w:val="0"/>
              <w:snapToGrid w:val="0"/>
              <w:rPr>
                <w:szCs w:val="21"/>
              </w:rPr>
            </w:pPr>
            <w:r>
              <w:rPr>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667" w:type="dxa"/>
            <w:vAlign w:val="center"/>
          </w:tcPr>
          <w:p>
            <w:pPr>
              <w:adjustRightInd w:val="0"/>
              <w:snapToGrid w:val="0"/>
              <w:jc w:val="center"/>
              <w:rPr>
                <w:szCs w:val="21"/>
              </w:rPr>
            </w:pPr>
            <w:r>
              <w:rPr>
                <w:szCs w:val="21"/>
              </w:rPr>
              <w:t>环境风险</w:t>
            </w:r>
          </w:p>
        </w:tc>
        <w:tc>
          <w:tcPr>
            <w:tcW w:w="6379" w:type="dxa"/>
            <w:gridSpan w:val="4"/>
            <w:vAlign w:val="center"/>
          </w:tcPr>
          <w:p>
            <w:pPr>
              <w:adjustRightInd w:val="0"/>
              <w:snapToGrid w:val="0"/>
              <w:rPr>
                <w:szCs w:val="21"/>
              </w:rPr>
            </w:pPr>
            <w:r>
              <w:rPr>
                <w:rFonts w:hint="eastAsia"/>
                <w:szCs w:val="21"/>
              </w:rPr>
              <w:t>①水池完好无泄漏，作业废水得到及时转运，加设风险备用废水收集罐，无废水外溢事故发生。</w:t>
            </w:r>
          </w:p>
          <w:p>
            <w:pPr>
              <w:adjustRightInd w:val="0"/>
              <w:snapToGrid w:val="0"/>
              <w:rPr>
                <w:szCs w:val="21"/>
              </w:rPr>
            </w:pPr>
            <w:r>
              <w:rPr>
                <w:szCs w:val="21"/>
              </w:rPr>
              <w:fldChar w:fldCharType="begin"/>
            </w:r>
            <w:r>
              <w:rPr>
                <w:szCs w:val="21"/>
              </w:rPr>
              <w:instrText xml:space="preserve"> </w:instrText>
            </w:r>
            <w:r>
              <w:rPr>
                <w:rFonts w:hint="eastAsia"/>
                <w:szCs w:val="21"/>
              </w:rPr>
              <w:instrText xml:space="preserve">= 2 \* GB3</w:instrText>
            </w:r>
            <w:r>
              <w:rPr>
                <w:szCs w:val="21"/>
              </w:rPr>
              <w:instrText xml:space="preserve"> </w:instrText>
            </w:r>
            <w:r>
              <w:rPr>
                <w:szCs w:val="21"/>
              </w:rPr>
              <w:fldChar w:fldCharType="separate"/>
            </w:r>
            <w:r>
              <w:rPr>
                <w:rFonts w:hint="eastAsia"/>
                <w:szCs w:val="21"/>
              </w:rPr>
              <w:t>②</w:t>
            </w:r>
            <w:r>
              <w:rPr>
                <w:szCs w:val="21"/>
              </w:rPr>
              <w:fldChar w:fldCharType="end"/>
            </w:r>
            <w:r>
              <w:rPr>
                <w:rFonts w:hint="eastAsia"/>
                <w:szCs w:val="21"/>
              </w:rPr>
              <w:t>做好集液池内废水转运工作，确保集液池内废水不外流；</w:t>
            </w:r>
          </w:p>
          <w:p>
            <w:pPr>
              <w:adjustRightInd w:val="0"/>
              <w:snapToGrid w:val="0"/>
              <w:rPr>
                <w:szCs w:val="21"/>
              </w:rPr>
            </w:pPr>
            <w:r>
              <w:rPr>
                <w:szCs w:val="21"/>
              </w:rPr>
              <w:fldChar w:fldCharType="begin"/>
            </w:r>
            <w:r>
              <w:rPr>
                <w:szCs w:val="21"/>
              </w:rPr>
              <w:instrText xml:space="preserve"> </w:instrText>
            </w:r>
            <w:r>
              <w:rPr>
                <w:rFonts w:hint="eastAsia"/>
                <w:szCs w:val="21"/>
              </w:rPr>
              <w:instrText xml:space="preserve">= 3 \* GB3</w:instrText>
            </w:r>
            <w:r>
              <w:rPr>
                <w:szCs w:val="21"/>
              </w:rPr>
              <w:instrText xml:space="preserve"> </w:instrText>
            </w:r>
            <w:r>
              <w:rPr>
                <w:szCs w:val="21"/>
              </w:rPr>
              <w:fldChar w:fldCharType="separate"/>
            </w:r>
            <w:r>
              <w:rPr>
                <w:rFonts w:hint="eastAsia"/>
                <w:szCs w:val="21"/>
              </w:rPr>
              <w:t>③</w:t>
            </w:r>
            <w:r>
              <w:rPr>
                <w:szCs w:val="21"/>
              </w:rPr>
              <w:fldChar w:fldCharType="end"/>
            </w:r>
            <w:r>
              <w:rPr>
                <w:rFonts w:hint="eastAsia"/>
                <w:szCs w:val="21"/>
              </w:rPr>
              <w:t>具备符合行业规范和环评要求的环境风险应急预案，应急预案演练档案齐全。</w:t>
            </w:r>
          </w:p>
        </w:tc>
        <w:tc>
          <w:tcPr>
            <w:tcW w:w="3544" w:type="dxa"/>
            <w:vAlign w:val="center"/>
          </w:tcPr>
          <w:p>
            <w:pPr>
              <w:adjustRightInd w:val="0"/>
              <w:snapToGrid w:val="0"/>
              <w:rPr>
                <w:szCs w:val="21"/>
              </w:rPr>
            </w:pPr>
            <w:r>
              <w:rPr>
                <w:rFonts w:hint="eastAsia"/>
                <w:szCs w:val="21"/>
              </w:rPr>
              <w:t>不发生环境风险事故</w:t>
            </w:r>
          </w:p>
        </w:tc>
        <w:tc>
          <w:tcPr>
            <w:tcW w:w="1418" w:type="dxa"/>
            <w:vAlign w:val="center"/>
          </w:tcPr>
          <w:p>
            <w:pPr>
              <w:adjustRightInd w:val="0"/>
              <w:snapToGrid w:val="0"/>
              <w:rPr>
                <w:szCs w:val="21"/>
              </w:rPr>
            </w:pPr>
            <w:r>
              <w:rPr>
                <w:szCs w:val="21"/>
              </w:rPr>
              <w:t>/</w:t>
            </w:r>
          </w:p>
        </w:tc>
        <w:tc>
          <w:tcPr>
            <w:tcW w:w="1166" w:type="dxa"/>
            <w:vAlign w:val="center"/>
          </w:tcPr>
          <w:p>
            <w:pPr>
              <w:adjustRightInd w:val="0"/>
              <w:snapToGrid w:val="0"/>
              <w:rPr>
                <w:szCs w:val="21"/>
              </w:rPr>
            </w:pPr>
            <w:r>
              <w:rPr>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667" w:type="dxa"/>
            <w:vMerge w:val="restart"/>
            <w:vAlign w:val="center"/>
          </w:tcPr>
          <w:p>
            <w:pPr>
              <w:adjustRightInd w:val="0"/>
              <w:snapToGrid w:val="0"/>
              <w:jc w:val="center"/>
              <w:rPr>
                <w:szCs w:val="21"/>
              </w:rPr>
            </w:pPr>
            <w:r>
              <w:rPr>
                <w:szCs w:val="21"/>
              </w:rPr>
              <w:t>环境监测</w:t>
            </w:r>
          </w:p>
        </w:tc>
        <w:tc>
          <w:tcPr>
            <w:tcW w:w="851" w:type="dxa"/>
            <w:vAlign w:val="center"/>
          </w:tcPr>
          <w:p>
            <w:pPr>
              <w:adjustRightInd w:val="0"/>
              <w:snapToGrid w:val="0"/>
              <w:rPr>
                <w:szCs w:val="21"/>
              </w:rPr>
            </w:pPr>
            <w:r>
              <w:rPr>
                <w:szCs w:val="21"/>
              </w:rPr>
              <w:t>噪声</w:t>
            </w:r>
          </w:p>
        </w:tc>
        <w:tc>
          <w:tcPr>
            <w:tcW w:w="2764" w:type="dxa"/>
            <w:gridSpan w:val="2"/>
            <w:vAlign w:val="center"/>
          </w:tcPr>
          <w:p>
            <w:pPr>
              <w:adjustRightInd w:val="0"/>
              <w:snapToGrid w:val="0"/>
              <w:rPr>
                <w:szCs w:val="21"/>
              </w:rPr>
            </w:pPr>
            <w:r>
              <w:rPr>
                <w:szCs w:val="21"/>
              </w:rPr>
              <w:t>井站外1m处、居民点各设置1个监测点</w:t>
            </w:r>
          </w:p>
        </w:tc>
        <w:tc>
          <w:tcPr>
            <w:tcW w:w="2764" w:type="dxa"/>
            <w:vAlign w:val="center"/>
          </w:tcPr>
          <w:p>
            <w:pPr>
              <w:adjustRightInd w:val="0"/>
              <w:snapToGrid w:val="0"/>
              <w:rPr>
                <w:szCs w:val="21"/>
              </w:rPr>
            </w:pPr>
            <w:r>
              <w:rPr>
                <w:szCs w:val="21"/>
              </w:rPr>
              <w:t>等效连续A声级</w:t>
            </w:r>
          </w:p>
        </w:tc>
        <w:tc>
          <w:tcPr>
            <w:tcW w:w="3544" w:type="dxa"/>
            <w:vAlign w:val="center"/>
          </w:tcPr>
          <w:p>
            <w:pPr>
              <w:adjustRightInd w:val="0"/>
              <w:snapToGrid w:val="0"/>
              <w:rPr>
                <w:szCs w:val="21"/>
              </w:rPr>
            </w:pPr>
            <w:r>
              <w:rPr>
                <w:rFonts w:hint="eastAsia"/>
                <w:szCs w:val="21"/>
              </w:rPr>
              <w:t>验收监测1次</w:t>
            </w:r>
          </w:p>
        </w:tc>
        <w:tc>
          <w:tcPr>
            <w:tcW w:w="1418" w:type="dxa"/>
            <w:vMerge w:val="restart"/>
            <w:vAlign w:val="center"/>
          </w:tcPr>
          <w:p>
            <w:pPr>
              <w:adjustRightInd w:val="0"/>
              <w:snapToGrid w:val="0"/>
              <w:rPr>
                <w:szCs w:val="21"/>
              </w:rPr>
            </w:pPr>
          </w:p>
        </w:tc>
        <w:tc>
          <w:tcPr>
            <w:tcW w:w="1166" w:type="dxa"/>
            <w:vMerge w:val="restart"/>
            <w:vAlign w:val="center"/>
          </w:tcPr>
          <w:p>
            <w:pPr>
              <w:adjustRightInd w:val="0"/>
              <w:snapToGrid w:val="0"/>
              <w:rPr>
                <w:szCs w:val="21"/>
              </w:rPr>
            </w:pPr>
            <w:r>
              <w:rPr>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667" w:type="dxa"/>
            <w:vMerge w:val="continue"/>
            <w:vAlign w:val="center"/>
          </w:tcPr>
          <w:p>
            <w:pPr>
              <w:adjustRightInd w:val="0"/>
              <w:snapToGrid w:val="0"/>
              <w:jc w:val="center"/>
              <w:rPr>
                <w:szCs w:val="21"/>
              </w:rPr>
            </w:pPr>
          </w:p>
        </w:tc>
        <w:tc>
          <w:tcPr>
            <w:tcW w:w="851" w:type="dxa"/>
            <w:vAlign w:val="center"/>
          </w:tcPr>
          <w:p>
            <w:pPr>
              <w:adjustRightInd w:val="0"/>
              <w:snapToGrid w:val="0"/>
              <w:rPr>
                <w:szCs w:val="21"/>
              </w:rPr>
            </w:pPr>
            <w:r>
              <w:rPr>
                <w:szCs w:val="21"/>
              </w:rPr>
              <w:t>地下水</w:t>
            </w:r>
          </w:p>
        </w:tc>
        <w:tc>
          <w:tcPr>
            <w:tcW w:w="2764" w:type="dxa"/>
            <w:gridSpan w:val="2"/>
            <w:vAlign w:val="center"/>
          </w:tcPr>
          <w:p>
            <w:pPr>
              <w:adjustRightInd w:val="0"/>
              <w:snapToGrid w:val="0"/>
              <w:rPr>
                <w:szCs w:val="21"/>
              </w:rPr>
            </w:pPr>
            <w:r>
              <w:rPr>
                <w:szCs w:val="21"/>
              </w:rPr>
              <w:t>设置3个监测点位，</w:t>
            </w:r>
            <w:r>
              <w:rPr>
                <w:rFonts w:hint="eastAsia"/>
                <w:szCs w:val="21"/>
              </w:rPr>
              <w:t>位于井场、上、下游各布设1个</w:t>
            </w:r>
            <w:r>
              <w:rPr>
                <w:szCs w:val="21"/>
              </w:rPr>
              <w:t>，主要为地下水影响跟踪监测及污染扩散监测点</w:t>
            </w:r>
          </w:p>
        </w:tc>
        <w:tc>
          <w:tcPr>
            <w:tcW w:w="2764" w:type="dxa"/>
            <w:vAlign w:val="center"/>
          </w:tcPr>
          <w:p>
            <w:pPr>
              <w:adjustRightInd w:val="0"/>
              <w:snapToGrid w:val="0"/>
              <w:rPr>
                <w:szCs w:val="21"/>
              </w:rPr>
            </w:pPr>
            <w:r>
              <w:rPr>
                <w:szCs w:val="21"/>
              </w:rPr>
              <w:t>pH</w:t>
            </w:r>
            <w:r>
              <w:rPr>
                <w:rFonts w:hint="eastAsia" w:hAnsi="宋体"/>
                <w:szCs w:val="21"/>
              </w:rPr>
              <w:t>、总硬度、溶解性总固体、铁、锰、挥发性酚类、耗氧量、氨氮、硫化物、总大肠菌群、菌落总数、硝酸盐、氰化物、砷、汞、铬（六价）、钡离子</w:t>
            </w:r>
            <w:r>
              <w:rPr>
                <w:rFonts w:hAnsi="宋体"/>
                <w:szCs w:val="21"/>
              </w:rPr>
              <w:t>、</w:t>
            </w:r>
            <w:r>
              <w:rPr>
                <w:rFonts w:hint="eastAsia" w:hAnsi="宋体"/>
                <w:szCs w:val="21"/>
              </w:rPr>
              <w:t>石油类、</w:t>
            </w:r>
            <w:r>
              <w:rPr>
                <w:szCs w:val="21"/>
              </w:rPr>
              <w:t>CO</w:t>
            </w:r>
            <w:r>
              <w:rPr>
                <w:szCs w:val="21"/>
                <w:vertAlign w:val="subscript"/>
              </w:rPr>
              <w:t>3</w:t>
            </w:r>
            <w:r>
              <w:rPr>
                <w:szCs w:val="21"/>
                <w:vertAlign w:val="superscript"/>
              </w:rPr>
              <w:t>2-</w:t>
            </w:r>
            <w:r>
              <w:rPr>
                <w:rFonts w:hint="eastAsia" w:hAnsi="宋体"/>
                <w:szCs w:val="21"/>
              </w:rPr>
              <w:t>、</w:t>
            </w:r>
            <w:r>
              <w:rPr>
                <w:szCs w:val="21"/>
              </w:rPr>
              <w:t>HCO</w:t>
            </w:r>
            <w:r>
              <w:rPr>
                <w:szCs w:val="21"/>
                <w:vertAlign w:val="subscript"/>
              </w:rPr>
              <w:t>3</w:t>
            </w:r>
            <w:r>
              <w:rPr>
                <w:szCs w:val="21"/>
                <w:vertAlign w:val="superscript"/>
              </w:rPr>
              <w:t>-</w:t>
            </w:r>
            <w:r>
              <w:rPr>
                <w:rFonts w:hint="eastAsia" w:hAnsi="宋体"/>
                <w:szCs w:val="21"/>
              </w:rPr>
              <w:t>、</w:t>
            </w:r>
            <w:r>
              <w:rPr>
                <w:szCs w:val="21"/>
              </w:rPr>
              <w:t>Ca</w:t>
            </w:r>
            <w:r>
              <w:rPr>
                <w:szCs w:val="21"/>
                <w:vertAlign w:val="superscript"/>
              </w:rPr>
              <w:t>2+</w:t>
            </w:r>
            <w:r>
              <w:rPr>
                <w:rFonts w:hint="eastAsia" w:hAnsi="宋体"/>
                <w:szCs w:val="21"/>
              </w:rPr>
              <w:t>、</w:t>
            </w:r>
            <w:r>
              <w:rPr>
                <w:szCs w:val="21"/>
              </w:rPr>
              <w:t>Mg</w:t>
            </w:r>
            <w:r>
              <w:rPr>
                <w:szCs w:val="21"/>
                <w:vertAlign w:val="superscript"/>
              </w:rPr>
              <w:t>2+</w:t>
            </w:r>
            <w:r>
              <w:rPr>
                <w:rFonts w:hint="eastAsia" w:hAnsi="宋体"/>
                <w:szCs w:val="21"/>
              </w:rPr>
              <w:t>、</w:t>
            </w:r>
            <w:r>
              <w:rPr>
                <w:szCs w:val="21"/>
              </w:rPr>
              <w:t>K</w:t>
            </w:r>
            <w:r>
              <w:rPr>
                <w:szCs w:val="21"/>
                <w:vertAlign w:val="superscript"/>
              </w:rPr>
              <w:t>+</w:t>
            </w:r>
            <w:r>
              <w:rPr>
                <w:rFonts w:hint="eastAsia" w:hAnsi="宋体"/>
                <w:szCs w:val="21"/>
              </w:rPr>
              <w:t>、</w:t>
            </w:r>
            <w:r>
              <w:rPr>
                <w:szCs w:val="21"/>
              </w:rPr>
              <w:t>Na</w:t>
            </w:r>
            <w:r>
              <w:rPr>
                <w:szCs w:val="21"/>
                <w:vertAlign w:val="superscript"/>
              </w:rPr>
              <w:t>+</w:t>
            </w:r>
            <w:r>
              <w:rPr>
                <w:rFonts w:hint="eastAsia" w:hAnsi="宋体"/>
                <w:szCs w:val="21"/>
              </w:rPr>
              <w:t>、</w:t>
            </w:r>
            <w:r>
              <w:rPr>
                <w:szCs w:val="21"/>
              </w:rPr>
              <w:t>Cl</w:t>
            </w:r>
            <w:r>
              <w:rPr>
                <w:szCs w:val="21"/>
                <w:vertAlign w:val="superscript"/>
              </w:rPr>
              <w:t>-</w:t>
            </w:r>
            <w:r>
              <w:rPr>
                <w:rFonts w:hint="eastAsia" w:hAnsi="宋体"/>
                <w:szCs w:val="21"/>
              </w:rPr>
              <w:t>、</w:t>
            </w:r>
            <w:r>
              <w:rPr>
                <w:szCs w:val="21"/>
              </w:rPr>
              <w:t>SO</w:t>
            </w:r>
            <w:r>
              <w:rPr>
                <w:szCs w:val="21"/>
                <w:vertAlign w:val="subscript"/>
              </w:rPr>
              <w:t>4</w:t>
            </w:r>
            <w:r>
              <w:rPr>
                <w:szCs w:val="21"/>
                <w:vertAlign w:val="superscript"/>
              </w:rPr>
              <w:t>2-</w:t>
            </w:r>
          </w:p>
        </w:tc>
        <w:tc>
          <w:tcPr>
            <w:tcW w:w="3544" w:type="dxa"/>
            <w:vAlign w:val="center"/>
          </w:tcPr>
          <w:p>
            <w:pPr>
              <w:adjustRightInd w:val="0"/>
              <w:snapToGrid w:val="0"/>
              <w:rPr>
                <w:szCs w:val="21"/>
              </w:rPr>
            </w:pPr>
            <w:r>
              <w:rPr>
                <w:rFonts w:hint="eastAsia"/>
                <w:szCs w:val="21"/>
              </w:rPr>
              <w:t>验收监测1次，每次连续监测1天，每天监测1次</w:t>
            </w:r>
          </w:p>
        </w:tc>
        <w:tc>
          <w:tcPr>
            <w:tcW w:w="1418" w:type="dxa"/>
            <w:vMerge w:val="continue"/>
            <w:vAlign w:val="center"/>
          </w:tcPr>
          <w:p>
            <w:pPr>
              <w:adjustRightInd w:val="0"/>
              <w:snapToGrid w:val="0"/>
              <w:rPr>
                <w:szCs w:val="21"/>
              </w:rPr>
            </w:pPr>
          </w:p>
        </w:tc>
        <w:tc>
          <w:tcPr>
            <w:tcW w:w="1166" w:type="dxa"/>
            <w:vMerge w:val="continue"/>
            <w:vAlign w:val="center"/>
          </w:tcPr>
          <w:p>
            <w:pPr>
              <w:adjustRightInd w:val="0"/>
              <w:snapToGrid w:val="0"/>
              <w:rPr>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667" w:type="dxa"/>
            <w:vMerge w:val="continue"/>
            <w:vAlign w:val="center"/>
          </w:tcPr>
          <w:p>
            <w:pPr>
              <w:adjustRightInd w:val="0"/>
              <w:snapToGrid w:val="0"/>
              <w:jc w:val="center"/>
              <w:rPr>
                <w:szCs w:val="21"/>
              </w:rPr>
            </w:pPr>
          </w:p>
        </w:tc>
        <w:tc>
          <w:tcPr>
            <w:tcW w:w="851" w:type="dxa"/>
            <w:vAlign w:val="center"/>
          </w:tcPr>
          <w:p>
            <w:pPr>
              <w:adjustRightInd w:val="0"/>
              <w:snapToGrid w:val="0"/>
              <w:rPr>
                <w:szCs w:val="21"/>
              </w:rPr>
            </w:pPr>
            <w:r>
              <w:rPr>
                <w:szCs w:val="21"/>
              </w:rPr>
              <w:t>土壤</w:t>
            </w:r>
          </w:p>
        </w:tc>
        <w:tc>
          <w:tcPr>
            <w:tcW w:w="2764" w:type="dxa"/>
            <w:gridSpan w:val="2"/>
            <w:vAlign w:val="center"/>
          </w:tcPr>
          <w:p>
            <w:pPr>
              <w:adjustRightInd w:val="0"/>
              <w:snapToGrid w:val="0"/>
              <w:rPr>
                <w:szCs w:val="21"/>
              </w:rPr>
            </w:pPr>
            <w:r>
              <w:rPr>
                <w:szCs w:val="21"/>
              </w:rPr>
              <w:t>设置1个监测点位</w:t>
            </w:r>
          </w:p>
        </w:tc>
        <w:tc>
          <w:tcPr>
            <w:tcW w:w="2764" w:type="dxa"/>
            <w:vAlign w:val="center"/>
          </w:tcPr>
          <w:p>
            <w:pPr>
              <w:adjustRightInd w:val="0"/>
              <w:snapToGrid w:val="0"/>
              <w:rPr>
                <w:szCs w:val="21"/>
              </w:rPr>
            </w:pPr>
            <w:r>
              <w:rPr>
                <w:szCs w:val="21"/>
              </w:rPr>
              <w:t>石油烃（C10-C40）、氯离子、硫化物</w:t>
            </w:r>
          </w:p>
        </w:tc>
        <w:tc>
          <w:tcPr>
            <w:tcW w:w="3544" w:type="dxa"/>
            <w:vAlign w:val="center"/>
          </w:tcPr>
          <w:p>
            <w:pPr>
              <w:adjustRightInd w:val="0"/>
              <w:snapToGrid w:val="0"/>
              <w:rPr>
                <w:szCs w:val="21"/>
              </w:rPr>
            </w:pPr>
            <w:r>
              <w:rPr>
                <w:rFonts w:hint="eastAsia"/>
                <w:szCs w:val="21"/>
              </w:rPr>
              <w:t>验收监测1次，每次连续监测1天，每天监测1次</w:t>
            </w:r>
          </w:p>
        </w:tc>
        <w:tc>
          <w:tcPr>
            <w:tcW w:w="1418" w:type="dxa"/>
            <w:vMerge w:val="continue"/>
            <w:vAlign w:val="center"/>
          </w:tcPr>
          <w:p>
            <w:pPr>
              <w:adjustRightInd w:val="0"/>
              <w:snapToGrid w:val="0"/>
              <w:rPr>
                <w:szCs w:val="21"/>
              </w:rPr>
            </w:pPr>
          </w:p>
        </w:tc>
        <w:tc>
          <w:tcPr>
            <w:tcW w:w="1166" w:type="dxa"/>
            <w:vMerge w:val="continue"/>
            <w:vAlign w:val="center"/>
          </w:tcPr>
          <w:p>
            <w:pPr>
              <w:adjustRightInd w:val="0"/>
              <w:snapToGrid w:val="0"/>
              <w:rPr>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667" w:type="dxa"/>
            <w:vAlign w:val="center"/>
          </w:tcPr>
          <w:p>
            <w:pPr>
              <w:adjustRightInd w:val="0"/>
              <w:snapToGrid w:val="0"/>
              <w:jc w:val="center"/>
              <w:rPr>
                <w:szCs w:val="21"/>
              </w:rPr>
            </w:pPr>
            <w:r>
              <w:rPr>
                <w:szCs w:val="21"/>
              </w:rPr>
              <w:t>其他</w:t>
            </w:r>
          </w:p>
        </w:tc>
        <w:tc>
          <w:tcPr>
            <w:tcW w:w="6379" w:type="dxa"/>
            <w:gridSpan w:val="4"/>
            <w:vAlign w:val="center"/>
          </w:tcPr>
          <w:p>
            <w:pPr>
              <w:adjustRightInd w:val="0"/>
              <w:snapToGrid w:val="0"/>
              <w:rPr>
                <w:szCs w:val="21"/>
              </w:rPr>
            </w:pPr>
            <w:r>
              <w:rPr>
                <w:szCs w:val="21"/>
              </w:rPr>
              <w:t>/</w:t>
            </w:r>
          </w:p>
        </w:tc>
        <w:tc>
          <w:tcPr>
            <w:tcW w:w="3544" w:type="dxa"/>
            <w:vAlign w:val="center"/>
          </w:tcPr>
          <w:p>
            <w:pPr>
              <w:adjustRightInd w:val="0"/>
              <w:snapToGrid w:val="0"/>
              <w:rPr>
                <w:szCs w:val="21"/>
              </w:rPr>
            </w:pPr>
            <w:r>
              <w:rPr>
                <w:szCs w:val="21"/>
              </w:rPr>
              <w:t>项目施工过程中采取的环境保护措施应在场界及时公告，主动接受检查。</w:t>
            </w:r>
          </w:p>
        </w:tc>
        <w:tc>
          <w:tcPr>
            <w:tcW w:w="1418" w:type="dxa"/>
            <w:vAlign w:val="center"/>
          </w:tcPr>
          <w:p>
            <w:pPr>
              <w:adjustRightInd w:val="0"/>
              <w:snapToGrid w:val="0"/>
              <w:rPr>
                <w:szCs w:val="21"/>
              </w:rPr>
            </w:pPr>
            <w:r>
              <w:rPr>
                <w:szCs w:val="21"/>
              </w:rPr>
              <w:t>/</w:t>
            </w:r>
          </w:p>
        </w:tc>
        <w:tc>
          <w:tcPr>
            <w:tcW w:w="1166" w:type="dxa"/>
            <w:vAlign w:val="center"/>
          </w:tcPr>
          <w:p>
            <w:pPr>
              <w:adjustRightInd w:val="0"/>
              <w:snapToGrid w:val="0"/>
              <w:rPr>
                <w:szCs w:val="21"/>
              </w:rPr>
            </w:pPr>
            <w:r>
              <w:rPr>
                <w:szCs w:val="21"/>
              </w:rPr>
              <w:t>/</w:t>
            </w:r>
          </w:p>
        </w:tc>
      </w:tr>
      <w:bookmarkEnd w:id="38"/>
    </w:tbl>
    <w:p>
      <w:pPr>
        <w:pStyle w:val="36"/>
        <w:spacing w:before="0" w:beforeAutospacing="0" w:line="14" w:lineRule="auto"/>
        <w:jc w:val="center"/>
        <w:rPr>
          <w:rFonts w:ascii="Times New Roman" w:hAnsi="Times New Roman" w:eastAsia="黑体"/>
          <w:snapToGrid w:val="0"/>
          <w:sz w:val="21"/>
          <w:szCs w:val="21"/>
        </w:rPr>
      </w:pPr>
    </w:p>
    <w:p>
      <w:pPr>
        <w:pStyle w:val="36"/>
        <w:spacing w:before="192" w:beforeLines="80" w:beforeAutospacing="0"/>
        <w:jc w:val="center"/>
        <w:outlineLvl w:val="0"/>
        <w:rPr>
          <w:rFonts w:ascii="Times New Roman" w:hAnsi="Times New Roman" w:eastAsia="黑体"/>
          <w:snapToGrid w:val="0"/>
          <w:sz w:val="21"/>
          <w:szCs w:val="21"/>
        </w:rPr>
        <w:sectPr>
          <w:pgSz w:w="16838" w:h="11906" w:orient="landscape"/>
          <w:pgMar w:top="1797" w:right="1440" w:bottom="1797" w:left="1440" w:header="851" w:footer="1077" w:gutter="0"/>
          <w:cols w:space="720" w:num="1"/>
          <w:docGrid w:linePitch="312" w:charSpace="0"/>
        </w:sectPr>
      </w:pPr>
    </w:p>
    <w:p>
      <w:pPr>
        <w:pStyle w:val="36"/>
        <w:spacing w:before="192" w:beforeLines="80" w:beforeAutospacing="0"/>
        <w:jc w:val="center"/>
        <w:outlineLvl w:val="0"/>
        <w:rPr>
          <w:rFonts w:ascii="Times New Roman" w:hAnsi="Times New Roman" w:eastAsia="黑体"/>
          <w:snapToGrid w:val="0"/>
          <w:sz w:val="21"/>
          <w:szCs w:val="21"/>
        </w:rPr>
      </w:pPr>
      <w:r>
        <w:rPr>
          <w:rFonts w:ascii="Times New Roman" w:hAnsi="Times New Roman" w:eastAsia="黑体"/>
          <w:snapToGrid w:val="0"/>
          <w:sz w:val="21"/>
          <w:szCs w:val="21"/>
        </w:rPr>
        <w:t>七、结论</w:t>
      </w:r>
    </w:p>
    <w:tbl>
      <w:tblPr>
        <w:tblStyle w:val="4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28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349" w:hRule="atLeast"/>
          <w:jc w:val="center"/>
        </w:trPr>
        <w:tc>
          <w:tcPr>
            <w:tcW w:w="9289" w:type="dxa"/>
          </w:tcPr>
          <w:p>
            <w:pPr>
              <w:adjustRightInd w:val="0"/>
              <w:snapToGrid w:val="0"/>
              <w:spacing w:line="360" w:lineRule="auto"/>
              <w:ind w:firstLine="420" w:firstLineChars="200"/>
              <w:rPr>
                <w:szCs w:val="21"/>
              </w:rPr>
            </w:pPr>
            <w:r>
              <w:rPr>
                <w:szCs w:val="21"/>
              </w:rPr>
              <w:t>平安101井钻井工程位于四川省达州市通川区北山镇苏坪村5组，井深4087m，属于评价井，目的层为凉高山组。工程总投资9000万元，其中环保投资150万元，占比1.7%。</w:t>
            </w:r>
          </w:p>
          <w:p>
            <w:pPr>
              <w:adjustRightInd w:val="0"/>
              <w:snapToGrid w:val="0"/>
              <w:spacing w:line="360" w:lineRule="auto"/>
              <w:ind w:firstLine="420" w:firstLineChars="200"/>
              <w:rPr>
                <w:szCs w:val="21"/>
              </w:rPr>
            </w:pPr>
            <w:r>
              <w:rPr>
                <w:szCs w:val="21"/>
              </w:rPr>
              <w:t>本项目符合相关产业政策，符合相关环境保护政策，总体符合相关规划及规划环保章节要求，不涉及生态红线、生态敏感区。</w:t>
            </w:r>
          </w:p>
          <w:p>
            <w:pPr>
              <w:adjustRightInd w:val="0"/>
              <w:snapToGrid w:val="0"/>
              <w:spacing w:line="360" w:lineRule="auto"/>
              <w:ind w:firstLine="420" w:firstLineChars="200"/>
              <w:rPr>
                <w:szCs w:val="21"/>
              </w:rPr>
            </w:pPr>
            <w:r>
              <w:rPr>
                <w:szCs w:val="21"/>
              </w:rPr>
              <w:t>评价区域属于</w:t>
            </w:r>
            <w:r>
              <w:rPr>
                <w:rFonts w:hint="eastAsia"/>
                <w:szCs w:val="21"/>
              </w:rPr>
              <w:t>环境空气、</w:t>
            </w:r>
            <w:r>
              <w:rPr>
                <w:szCs w:val="21"/>
              </w:rPr>
              <w:t>声环境、地下水环境、土壤质量现状满足环境功能区要求。通过落实评价提出的污染防治措施，对地表水、地下水、声环境、环境空气、地下水、土壤影响小，总体符合区域地表水环境改善目标管理要求。不改变区域的环境功能，影响可接受；通过严格按照钻井设计和行业规范作业，按照行业规划和环评要求完善相关风险防范和应急措施。平安101井钻井工程环境风险是可防控的。项目选址布局合理，采用的环保措施可行。从环境保护的角度分析平安101井钻井工程的建设是可行的。</w:t>
            </w:r>
          </w:p>
        </w:tc>
      </w:tr>
    </w:tbl>
    <w:p>
      <w:pPr>
        <w:pStyle w:val="36"/>
        <w:adjustRightInd w:val="0"/>
        <w:snapToGrid w:val="0"/>
        <w:spacing w:before="0" w:beforeAutospacing="0" w:after="0" w:afterAutospacing="0" w:line="648" w:lineRule="auto"/>
        <w:rPr>
          <w:rFonts w:ascii="Times New Roman" w:hAnsi="Times New Roman"/>
          <w:sz w:val="21"/>
          <w:szCs w:val="21"/>
        </w:rPr>
      </w:pPr>
    </w:p>
    <w:sectPr>
      <w:pgSz w:w="11906" w:h="16838"/>
      <w:pgMar w:top="1440" w:right="1797" w:bottom="1440" w:left="1797" w:header="851" w:footer="1077"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等线 Light">
    <w:panose1 w:val="02010600030101010101"/>
    <w:charset w:val="86"/>
    <w:family w:val="auto"/>
    <w:pitch w:val="default"/>
    <w:sig w:usb0="A00002BF" w:usb1="38CF7CFA" w:usb2="00000016" w:usb3="00000000" w:csb0="0004000F" w:csb1="00000000"/>
  </w:font>
  <w:font w:name="Courier New">
    <w:panose1 w:val="02070309020205020404"/>
    <w:charset w:val="00"/>
    <w:family w:val="modern"/>
    <w:pitch w:val="default"/>
    <w:sig w:usb0="E0002EFF" w:usb1="C0007843" w:usb2="00000009" w:usb3="00000000" w:csb0="400001FF" w:csb1="FFFF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新宋体">
    <w:panose1 w:val="02010609030101010101"/>
    <w:charset w:val="86"/>
    <w:family w:val="modern"/>
    <w:pitch w:val="default"/>
    <w:sig w:usb0="00000283" w:usb1="288F0000" w:usb2="00000006" w:usb3="00000000" w:csb0="00040001" w:csb1="00000000"/>
  </w:font>
  <w:font w:name="TimesNewRoman">
    <w:altName w:val="Times New Roman"/>
    <w:panose1 w:val="00000000000000000000"/>
    <w:charset w:val="00"/>
    <w:family w:val="roman"/>
    <w:pitch w:val="default"/>
    <w:sig w:usb0="00000000" w:usb1="00000000" w:usb2="00000000" w:usb3="00000000" w:csb0="00000001"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Dutch801 Rm BT">
    <w:altName w:val="Times New Roman"/>
    <w:panose1 w:val="02020603060505020304"/>
    <w:charset w:val="00"/>
    <w:family w:val="roman"/>
    <w:pitch w:val="default"/>
    <w:sig w:usb0="00000000" w:usb1="00000000" w:usb2="00000000" w:usb3="00000000" w:csb0="0000001B" w:csb1="00000000"/>
  </w:font>
  <w:font w:name="等线">
    <w:panose1 w:val="02010600030101010101"/>
    <w:charset w:val="86"/>
    <w:family w:val="auto"/>
    <w:pitch w:val="default"/>
    <w:sig w:usb0="A00002BF" w:usb1="38CF7CFA" w:usb2="00000016" w:usb3="00000000" w:csb0="0004000F" w:csb1="00000000"/>
  </w:font>
  <w:font w:name="方正小标宋_GBK">
    <w:altName w:val="微软雅黑"/>
    <w:panose1 w:val="00000000000000000000"/>
    <w:charset w:val="86"/>
    <w:family w:val="script"/>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华文仿宋">
    <w:panose1 w:val="02010600040101010101"/>
    <w:charset w:val="86"/>
    <w:family w:val="auto"/>
    <w:pitch w:val="default"/>
    <w:sig w:usb0="00000287" w:usb1="080F0000" w:usb2="00000000" w:usb3="00000000" w:csb0="0004009F" w:csb1="DFD70000"/>
  </w:font>
  <w:font w:name="Wingdings 2">
    <w:panose1 w:val="05020102010507070707"/>
    <w:charset w:val="02"/>
    <w:family w:val="roman"/>
    <w:pitch w:val="default"/>
    <w:sig w:usb0="00000000" w:usb1="00000000" w:usb2="00000000" w:usb3="00000000" w:csb0="80000000" w:csb1="00000000"/>
  </w:font>
  <w:font w:name="Helvetica">
    <w:altName w:val="Arial"/>
    <w:panose1 w:val="020B0604020202020204"/>
    <w:charset w:val="00"/>
    <w:family w:val="swiss"/>
    <w:pitch w:val="default"/>
    <w:sig w:usb0="00000000" w:usb1="00000000" w:usb2="00000000" w:usb3="00000000" w:csb0="00000093" w:csb1="00000000"/>
  </w:font>
  <w:font w:name="附件">
    <w:altName w:val="宋体"/>
    <w:panose1 w:val="00000000000000000000"/>
    <w:charset w:val="86"/>
    <w:family w:val="roman"/>
    <w:pitch w:val="default"/>
    <w:sig w:usb0="00000000" w:usb1="00000000" w:usb2="00000000" w:usb3="00000000" w:csb0="00040001"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framePr w:wrap="around" w:vAnchor="text" w:hAnchor="margin" w:xAlign="outside" w:y="1"/>
      <w:rPr>
        <w:rStyle w:val="46"/>
      </w:rPr>
    </w:pPr>
    <w:r>
      <w:fldChar w:fldCharType="begin"/>
    </w:r>
    <w:r>
      <w:rPr>
        <w:rStyle w:val="46"/>
      </w:rPr>
      <w:instrText xml:space="preserve">PAGE  </w:instrText>
    </w:r>
    <w:r>
      <w:fldChar w:fldCharType="end"/>
    </w:r>
  </w:p>
  <w:p>
    <w:pPr>
      <w:pStyle w:val="27"/>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framePr w:wrap="around" w:vAnchor="text" w:hAnchor="margin" w:xAlign="outside" w:y="1"/>
      <w:rPr>
        <w:rStyle w:val="46"/>
        <w:rFonts w:ascii="宋体" w:hAnsi="宋体"/>
        <w:sz w:val="28"/>
        <w:szCs w:val="28"/>
      </w:rPr>
    </w:pPr>
    <w:r>
      <w:rPr>
        <w:rStyle w:val="46"/>
        <w:rFonts w:hint="eastAsia" w:ascii="宋体" w:hAnsi="宋体"/>
        <w:sz w:val="28"/>
        <w:szCs w:val="28"/>
      </w:rPr>
      <w:t>—</w:t>
    </w:r>
    <w:r>
      <w:rPr>
        <w:rStyle w:val="46"/>
        <w:rFonts w:hint="eastAsia" w:ascii="宋体" w:hAnsi="宋体"/>
        <w:sz w:val="20"/>
        <w:szCs w:val="20"/>
      </w:rPr>
      <w:t xml:space="preserve"> </w:t>
    </w:r>
    <w:r>
      <w:rPr>
        <w:rFonts w:ascii="宋体" w:hAnsi="宋体"/>
        <w:sz w:val="26"/>
        <w:szCs w:val="26"/>
      </w:rPr>
      <w:fldChar w:fldCharType="begin"/>
    </w:r>
    <w:r>
      <w:rPr>
        <w:rStyle w:val="46"/>
        <w:rFonts w:ascii="宋体" w:hAnsi="宋体"/>
        <w:sz w:val="26"/>
        <w:szCs w:val="26"/>
      </w:rPr>
      <w:instrText xml:space="preserve">PAGE  </w:instrText>
    </w:r>
    <w:r>
      <w:rPr>
        <w:rFonts w:ascii="宋体" w:hAnsi="宋体"/>
        <w:sz w:val="26"/>
        <w:szCs w:val="26"/>
      </w:rPr>
      <w:fldChar w:fldCharType="separate"/>
    </w:r>
    <w:r>
      <w:rPr>
        <w:rStyle w:val="46"/>
        <w:rFonts w:ascii="宋体" w:hAnsi="宋体"/>
        <w:sz w:val="26"/>
        <w:szCs w:val="26"/>
      </w:rPr>
      <w:t>56</w:t>
    </w:r>
    <w:r>
      <w:rPr>
        <w:rFonts w:ascii="宋体" w:hAnsi="宋体"/>
        <w:sz w:val="26"/>
        <w:szCs w:val="26"/>
      </w:rPr>
      <w:fldChar w:fldCharType="end"/>
    </w:r>
    <w:r>
      <w:rPr>
        <w:rStyle w:val="46"/>
        <w:rFonts w:hint="eastAsia" w:ascii="宋体" w:hAnsi="宋体"/>
        <w:sz w:val="20"/>
        <w:szCs w:val="20"/>
      </w:rPr>
      <w:t xml:space="preserve"> </w:t>
    </w:r>
    <w:r>
      <w:rPr>
        <w:rStyle w:val="46"/>
        <w:rFonts w:hint="eastAsia" w:ascii="宋体" w:hAnsi="宋体"/>
        <w:sz w:val="28"/>
        <w:szCs w:val="28"/>
      </w:rPr>
      <w:t>—</w:t>
    </w:r>
  </w:p>
  <w:p>
    <w:pPr>
      <w:pStyle w:val="27"/>
      <w:ind w:right="360" w:firstLine="360"/>
      <w:jc w:val="cente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9802DD"/>
    <w:multiLevelType w:val="multilevel"/>
    <w:tmpl w:val="009802DD"/>
    <w:lvl w:ilvl="0" w:tentative="0">
      <w:start w:val="1"/>
      <w:numFmt w:val="decimal"/>
      <w:lvlText w:val="表1-%1"/>
      <w:lvlJc w:val="left"/>
      <w:pPr>
        <w:ind w:left="5381" w:hanging="420"/>
      </w:pPr>
      <w:rPr>
        <w:rFonts w:hint="eastAsia"/>
      </w:rPr>
    </w:lvl>
    <w:lvl w:ilvl="1" w:tentative="0">
      <w:start w:val="1"/>
      <w:numFmt w:val="lowerLetter"/>
      <w:lvlText w:val="%2)"/>
      <w:lvlJc w:val="left"/>
      <w:pPr>
        <w:ind w:left="1260" w:hanging="420"/>
      </w:pPr>
      <w:rPr>
        <w:rFonts w:hint="eastAsia"/>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100" w:hanging="420"/>
      </w:pPr>
      <w:rPr>
        <w:rFonts w:hint="eastAsia"/>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1">
    <w:nsid w:val="12A45C50"/>
    <w:multiLevelType w:val="multilevel"/>
    <w:tmpl w:val="12A45C50"/>
    <w:lvl w:ilvl="0" w:tentative="0">
      <w:start w:val="2"/>
      <w:numFmt w:val="decimal"/>
      <w:lvlText w:val="%1."/>
      <w:lvlJc w:val="left"/>
      <w:pPr>
        <w:tabs>
          <w:tab w:val="left" w:pos="425"/>
        </w:tabs>
        <w:ind w:left="425" w:hanging="425"/>
      </w:pPr>
      <w:rPr>
        <w:rFonts w:hint="eastAsia"/>
      </w:rPr>
    </w:lvl>
    <w:lvl w:ilvl="1" w:tentative="0">
      <w:start w:val="1"/>
      <w:numFmt w:val="decimal"/>
      <w:lvlText w:val="%1.%2"/>
      <w:lvlJc w:val="left"/>
      <w:pPr>
        <w:tabs>
          <w:tab w:val="left" w:pos="567"/>
        </w:tabs>
        <w:ind w:left="567" w:hanging="567"/>
      </w:pPr>
      <w:rPr>
        <w:rFonts w:hint="default" w:ascii="Times New Roman" w:hAnsi="Times New Roman" w:cs="Times New Roman"/>
        <w:b/>
        <w:sz w:val="21"/>
        <w:szCs w:val="21"/>
      </w:rPr>
    </w:lvl>
    <w:lvl w:ilvl="2" w:tentative="0">
      <w:start w:val="1"/>
      <w:numFmt w:val="decimal"/>
      <w:lvlText w:val="%1.%2.%3"/>
      <w:lvlJc w:val="left"/>
      <w:pPr>
        <w:tabs>
          <w:tab w:val="left" w:pos="709"/>
        </w:tabs>
        <w:ind w:left="709" w:hanging="709"/>
      </w:pPr>
      <w:rPr>
        <w:rFonts w:hint="default" w:ascii="Arial" w:hAnsi="Arial"/>
        <w:b w:val="0"/>
        <w:i w:val="0"/>
        <w:sz w:val="24"/>
      </w:rPr>
    </w:lvl>
    <w:lvl w:ilvl="3" w:tentative="0">
      <w:start w:val="1"/>
      <w:numFmt w:val="decimal"/>
      <w:lvlText w:val="%1.%2.%3.%4."/>
      <w:lvlJc w:val="left"/>
      <w:pPr>
        <w:tabs>
          <w:tab w:val="left" w:pos="851"/>
        </w:tabs>
        <w:ind w:left="851" w:hanging="851"/>
      </w:pPr>
      <w:rPr>
        <w:rFonts w:hint="default" w:ascii="Arial" w:hAnsi="Arial"/>
        <w:b w:val="0"/>
        <w:i w:val="0"/>
        <w:sz w:val="24"/>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2">
    <w:nsid w:val="1F8328F0"/>
    <w:multiLevelType w:val="multilevel"/>
    <w:tmpl w:val="1F8328F0"/>
    <w:lvl w:ilvl="0" w:tentative="0">
      <w:start w:val="1"/>
      <w:numFmt w:val="decimal"/>
      <w:lvlText w:val="表5-%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2B9F2EFD"/>
    <w:multiLevelType w:val="multilevel"/>
    <w:tmpl w:val="2B9F2EFD"/>
    <w:lvl w:ilvl="0" w:tentative="0">
      <w:start w:val="1"/>
      <w:numFmt w:val="decimal"/>
      <w:pStyle w:val="215"/>
      <w:lvlText w:val="%1."/>
      <w:lvlJc w:val="left"/>
      <w:pPr>
        <w:tabs>
          <w:tab w:val="left" w:pos="857"/>
        </w:tabs>
        <w:ind w:left="857" w:hanging="420"/>
      </w:pPr>
    </w:lvl>
    <w:lvl w:ilvl="1" w:tentative="0">
      <w:start w:val="1"/>
      <w:numFmt w:val="lowerLetter"/>
      <w:lvlText w:val="%2)"/>
      <w:lvlJc w:val="left"/>
      <w:pPr>
        <w:tabs>
          <w:tab w:val="left" w:pos="1277"/>
        </w:tabs>
        <w:ind w:left="1277" w:hanging="420"/>
      </w:pPr>
    </w:lvl>
    <w:lvl w:ilvl="2" w:tentative="0">
      <w:start w:val="1"/>
      <w:numFmt w:val="lowerRoman"/>
      <w:lvlText w:val="%3."/>
      <w:lvlJc w:val="right"/>
      <w:pPr>
        <w:tabs>
          <w:tab w:val="left" w:pos="1697"/>
        </w:tabs>
        <w:ind w:left="1697" w:hanging="420"/>
      </w:pPr>
    </w:lvl>
    <w:lvl w:ilvl="3" w:tentative="0">
      <w:start w:val="1"/>
      <w:numFmt w:val="decimal"/>
      <w:lvlText w:val="%4."/>
      <w:lvlJc w:val="left"/>
      <w:pPr>
        <w:tabs>
          <w:tab w:val="left" w:pos="2117"/>
        </w:tabs>
        <w:ind w:left="2117" w:hanging="420"/>
      </w:pPr>
    </w:lvl>
    <w:lvl w:ilvl="4" w:tentative="0">
      <w:start w:val="1"/>
      <w:numFmt w:val="lowerLetter"/>
      <w:lvlText w:val="%5)"/>
      <w:lvlJc w:val="left"/>
      <w:pPr>
        <w:tabs>
          <w:tab w:val="left" w:pos="2537"/>
        </w:tabs>
        <w:ind w:left="2537" w:hanging="420"/>
      </w:pPr>
    </w:lvl>
    <w:lvl w:ilvl="5" w:tentative="0">
      <w:start w:val="1"/>
      <w:numFmt w:val="lowerRoman"/>
      <w:lvlText w:val="%6."/>
      <w:lvlJc w:val="right"/>
      <w:pPr>
        <w:tabs>
          <w:tab w:val="left" w:pos="2957"/>
        </w:tabs>
        <w:ind w:left="2957" w:hanging="420"/>
      </w:pPr>
    </w:lvl>
    <w:lvl w:ilvl="6" w:tentative="0">
      <w:start w:val="1"/>
      <w:numFmt w:val="decimal"/>
      <w:lvlText w:val="%7."/>
      <w:lvlJc w:val="left"/>
      <w:pPr>
        <w:tabs>
          <w:tab w:val="left" w:pos="3377"/>
        </w:tabs>
        <w:ind w:left="3377" w:hanging="420"/>
      </w:pPr>
    </w:lvl>
    <w:lvl w:ilvl="7" w:tentative="0">
      <w:start w:val="1"/>
      <w:numFmt w:val="lowerLetter"/>
      <w:lvlText w:val="%8)"/>
      <w:lvlJc w:val="left"/>
      <w:pPr>
        <w:tabs>
          <w:tab w:val="left" w:pos="3797"/>
        </w:tabs>
        <w:ind w:left="3797" w:hanging="420"/>
      </w:pPr>
    </w:lvl>
    <w:lvl w:ilvl="8" w:tentative="0">
      <w:start w:val="1"/>
      <w:numFmt w:val="lowerRoman"/>
      <w:lvlText w:val="%9."/>
      <w:lvlJc w:val="right"/>
      <w:pPr>
        <w:tabs>
          <w:tab w:val="left" w:pos="4217"/>
        </w:tabs>
        <w:ind w:left="4217" w:hanging="420"/>
      </w:pPr>
    </w:lvl>
  </w:abstractNum>
  <w:abstractNum w:abstractNumId="4">
    <w:nsid w:val="4AD63793"/>
    <w:multiLevelType w:val="multilevel"/>
    <w:tmpl w:val="4AD63793"/>
    <w:lvl w:ilvl="0" w:tentative="0">
      <w:start w:val="1"/>
      <w:numFmt w:val="decimal"/>
      <w:lvlText w:val="表2-%1"/>
      <w:lvlJc w:val="left"/>
      <w:pPr>
        <w:ind w:left="840" w:hanging="420"/>
      </w:pPr>
      <w:rPr>
        <w:rFonts w:hint="eastAsia"/>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51A208D4"/>
    <w:multiLevelType w:val="multilevel"/>
    <w:tmpl w:val="51A208D4"/>
    <w:lvl w:ilvl="0" w:tentative="0">
      <w:start w:val="1"/>
      <w:numFmt w:val="decimal"/>
      <w:lvlText w:val="表3-%1"/>
      <w:lvlJc w:val="left"/>
      <w:pPr>
        <w:ind w:left="420" w:hanging="420"/>
      </w:pPr>
      <w:rPr>
        <w:rFonts w:hint="default" w:ascii="Times New Roman" w:hAnsi="Times New Roman" w:cs="Times New Roman"/>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7BE30BB9"/>
    <w:multiLevelType w:val="multilevel"/>
    <w:tmpl w:val="7BE30BB9"/>
    <w:lvl w:ilvl="0" w:tentative="0">
      <w:start w:val="1"/>
      <w:numFmt w:val="decimal"/>
      <w:lvlText w:val="%1"/>
      <w:lvlJc w:val="left"/>
      <w:pPr>
        <w:ind w:left="425" w:hanging="425"/>
      </w:pPr>
    </w:lvl>
    <w:lvl w:ilvl="1" w:tentative="0">
      <w:start w:val="1"/>
      <w:numFmt w:val="decimal"/>
      <w:lvlText w:val="%1.%2"/>
      <w:lvlJc w:val="left"/>
      <w:pPr>
        <w:ind w:left="2835" w:hanging="567"/>
      </w:pPr>
    </w:lvl>
    <w:lvl w:ilvl="2" w:tentative="0">
      <w:start w:val="1"/>
      <w:numFmt w:val="decimal"/>
      <w:lvlText w:val="%1.%2.%3"/>
      <w:lvlJc w:val="left"/>
      <w:pPr>
        <w:ind w:left="1418" w:hanging="567"/>
      </w:pPr>
    </w:lvl>
    <w:lvl w:ilvl="3" w:tentative="0">
      <w:start w:val="1"/>
      <w:numFmt w:val="decimal"/>
      <w:lvlText w:val="%1.%2.%3.%4"/>
      <w:lvlJc w:val="left"/>
      <w:pPr>
        <w:ind w:left="1984" w:hanging="708"/>
      </w:pPr>
    </w:lvl>
    <w:lvl w:ilvl="4" w:tentative="0">
      <w:start w:val="1"/>
      <w:numFmt w:val="decimal"/>
      <w:lvlText w:val="%1.%2.%3.%4.%5"/>
      <w:lvlJc w:val="left"/>
      <w:pPr>
        <w:ind w:left="2551" w:hanging="850"/>
      </w:pPr>
    </w:lvl>
    <w:lvl w:ilvl="5" w:tentative="0">
      <w:start w:val="1"/>
      <w:numFmt w:val="decimal"/>
      <w:lvlText w:val="%1.%2.%3.%4.%5.%6"/>
      <w:lvlJc w:val="left"/>
      <w:pPr>
        <w:ind w:left="3260"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num w:numId="1">
    <w:abstractNumId w:val="3"/>
  </w:num>
  <w:num w:numId="2">
    <w:abstractNumId w:val="6"/>
  </w:num>
  <w:num w:numId="3">
    <w:abstractNumId w:val="0"/>
  </w:num>
  <w:num w:numId="4">
    <w:abstractNumId w:val="1"/>
  </w:num>
  <w:num w:numId="5">
    <w:abstractNumId w:val="4"/>
  </w:num>
  <w:num w:numId="6">
    <w:abstractNumId w:val="5"/>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doNotHyphenateCaps/>
  <w:drawingGridHorizontalSpacing w:val="105"/>
  <w:drawingGridVerticalSpacing w:val="156"/>
  <w:displayHorizontalDrawingGridEvery w:val="0"/>
  <w:displayVerticalDrawingGridEvery w:val="2"/>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zc2YzZhMWE0MzNkODJiYzUzOTQ1NDZkYzAzZjE0Y2YifQ=="/>
  </w:docVars>
  <w:rsids>
    <w:rsidRoot w:val="00A14947"/>
    <w:rsid w:val="0000134F"/>
    <w:rsid w:val="0000153C"/>
    <w:rsid w:val="00001CED"/>
    <w:rsid w:val="00001E67"/>
    <w:rsid w:val="000020F0"/>
    <w:rsid w:val="00003CD8"/>
    <w:rsid w:val="000050F8"/>
    <w:rsid w:val="00006DB3"/>
    <w:rsid w:val="000119F5"/>
    <w:rsid w:val="00014965"/>
    <w:rsid w:val="0001523A"/>
    <w:rsid w:val="00015300"/>
    <w:rsid w:val="0001605A"/>
    <w:rsid w:val="00016ECB"/>
    <w:rsid w:val="00020C6B"/>
    <w:rsid w:val="00023533"/>
    <w:rsid w:val="00023A30"/>
    <w:rsid w:val="00023B5E"/>
    <w:rsid w:val="000255EB"/>
    <w:rsid w:val="00026055"/>
    <w:rsid w:val="000269F6"/>
    <w:rsid w:val="00031939"/>
    <w:rsid w:val="00032D25"/>
    <w:rsid w:val="00033C64"/>
    <w:rsid w:val="00037C76"/>
    <w:rsid w:val="00037F80"/>
    <w:rsid w:val="00041DC0"/>
    <w:rsid w:val="0004276C"/>
    <w:rsid w:val="00042CC7"/>
    <w:rsid w:val="000433AC"/>
    <w:rsid w:val="00043CC7"/>
    <w:rsid w:val="00044EA2"/>
    <w:rsid w:val="00050EB8"/>
    <w:rsid w:val="0005219D"/>
    <w:rsid w:val="00052CF2"/>
    <w:rsid w:val="000534D7"/>
    <w:rsid w:val="000549A0"/>
    <w:rsid w:val="00055599"/>
    <w:rsid w:val="0005568F"/>
    <w:rsid w:val="00057134"/>
    <w:rsid w:val="0006153D"/>
    <w:rsid w:val="00061B1F"/>
    <w:rsid w:val="00061D59"/>
    <w:rsid w:val="00062487"/>
    <w:rsid w:val="00062E1D"/>
    <w:rsid w:val="00065286"/>
    <w:rsid w:val="00065E27"/>
    <w:rsid w:val="000664DB"/>
    <w:rsid w:val="000665E8"/>
    <w:rsid w:val="000666EF"/>
    <w:rsid w:val="000674A8"/>
    <w:rsid w:val="0007127D"/>
    <w:rsid w:val="00071569"/>
    <w:rsid w:val="000715EF"/>
    <w:rsid w:val="00071AE5"/>
    <w:rsid w:val="00072645"/>
    <w:rsid w:val="00072CA3"/>
    <w:rsid w:val="0007305E"/>
    <w:rsid w:val="00073EFC"/>
    <w:rsid w:val="00074783"/>
    <w:rsid w:val="00074883"/>
    <w:rsid w:val="00076E21"/>
    <w:rsid w:val="000801E0"/>
    <w:rsid w:val="000802FC"/>
    <w:rsid w:val="00080960"/>
    <w:rsid w:val="000816C5"/>
    <w:rsid w:val="00082A29"/>
    <w:rsid w:val="0008331D"/>
    <w:rsid w:val="0008344D"/>
    <w:rsid w:val="00083521"/>
    <w:rsid w:val="00083C18"/>
    <w:rsid w:val="00084DA1"/>
    <w:rsid w:val="000859A1"/>
    <w:rsid w:val="00085A50"/>
    <w:rsid w:val="00091552"/>
    <w:rsid w:val="00092899"/>
    <w:rsid w:val="0009382D"/>
    <w:rsid w:val="00094758"/>
    <w:rsid w:val="00094AFF"/>
    <w:rsid w:val="00097157"/>
    <w:rsid w:val="000A15A7"/>
    <w:rsid w:val="000A178E"/>
    <w:rsid w:val="000A557E"/>
    <w:rsid w:val="000A5FF7"/>
    <w:rsid w:val="000A6812"/>
    <w:rsid w:val="000A7091"/>
    <w:rsid w:val="000B03C1"/>
    <w:rsid w:val="000B058F"/>
    <w:rsid w:val="000B2AA7"/>
    <w:rsid w:val="000B3330"/>
    <w:rsid w:val="000B44E8"/>
    <w:rsid w:val="000B5B74"/>
    <w:rsid w:val="000B5CBC"/>
    <w:rsid w:val="000B693F"/>
    <w:rsid w:val="000B7590"/>
    <w:rsid w:val="000C09AC"/>
    <w:rsid w:val="000C0A63"/>
    <w:rsid w:val="000C0F62"/>
    <w:rsid w:val="000C12CA"/>
    <w:rsid w:val="000C28A1"/>
    <w:rsid w:val="000C3395"/>
    <w:rsid w:val="000C437E"/>
    <w:rsid w:val="000C71A4"/>
    <w:rsid w:val="000D15AC"/>
    <w:rsid w:val="000D1839"/>
    <w:rsid w:val="000D21CA"/>
    <w:rsid w:val="000D2208"/>
    <w:rsid w:val="000D366D"/>
    <w:rsid w:val="000D3793"/>
    <w:rsid w:val="000D62D7"/>
    <w:rsid w:val="000D673B"/>
    <w:rsid w:val="000D7EE9"/>
    <w:rsid w:val="000E025E"/>
    <w:rsid w:val="000E3E10"/>
    <w:rsid w:val="000E468B"/>
    <w:rsid w:val="000E4CB9"/>
    <w:rsid w:val="000E5F16"/>
    <w:rsid w:val="000E6107"/>
    <w:rsid w:val="000E6B03"/>
    <w:rsid w:val="000E7B90"/>
    <w:rsid w:val="000F152A"/>
    <w:rsid w:val="000F171B"/>
    <w:rsid w:val="000F4452"/>
    <w:rsid w:val="000F5568"/>
    <w:rsid w:val="000F6DA1"/>
    <w:rsid w:val="000F701B"/>
    <w:rsid w:val="001007EA"/>
    <w:rsid w:val="0010114E"/>
    <w:rsid w:val="00102D42"/>
    <w:rsid w:val="00103122"/>
    <w:rsid w:val="001056A0"/>
    <w:rsid w:val="001061D1"/>
    <w:rsid w:val="0010735E"/>
    <w:rsid w:val="0011068C"/>
    <w:rsid w:val="001111D5"/>
    <w:rsid w:val="001122E7"/>
    <w:rsid w:val="0011313F"/>
    <w:rsid w:val="001140AC"/>
    <w:rsid w:val="001141D9"/>
    <w:rsid w:val="00114C0B"/>
    <w:rsid w:val="00114F9A"/>
    <w:rsid w:val="00115279"/>
    <w:rsid w:val="00115704"/>
    <w:rsid w:val="00115840"/>
    <w:rsid w:val="001163AC"/>
    <w:rsid w:val="00117459"/>
    <w:rsid w:val="0011749A"/>
    <w:rsid w:val="00117F90"/>
    <w:rsid w:val="00121B9A"/>
    <w:rsid w:val="00122547"/>
    <w:rsid w:val="00123D35"/>
    <w:rsid w:val="00127A68"/>
    <w:rsid w:val="00127CE0"/>
    <w:rsid w:val="00130DD1"/>
    <w:rsid w:val="00133D51"/>
    <w:rsid w:val="0013767E"/>
    <w:rsid w:val="0014073B"/>
    <w:rsid w:val="00140B13"/>
    <w:rsid w:val="00140CE2"/>
    <w:rsid w:val="00141B68"/>
    <w:rsid w:val="00142376"/>
    <w:rsid w:val="001434AE"/>
    <w:rsid w:val="00143DD4"/>
    <w:rsid w:val="00144C59"/>
    <w:rsid w:val="00145729"/>
    <w:rsid w:val="00145BA4"/>
    <w:rsid w:val="001466DA"/>
    <w:rsid w:val="00146993"/>
    <w:rsid w:val="00150CED"/>
    <w:rsid w:val="00151160"/>
    <w:rsid w:val="00152777"/>
    <w:rsid w:val="0015289E"/>
    <w:rsid w:val="001536CA"/>
    <w:rsid w:val="00154854"/>
    <w:rsid w:val="00154CFB"/>
    <w:rsid w:val="00154DE1"/>
    <w:rsid w:val="00154F78"/>
    <w:rsid w:val="00155B40"/>
    <w:rsid w:val="00156692"/>
    <w:rsid w:val="00157435"/>
    <w:rsid w:val="0016127F"/>
    <w:rsid w:val="00161EB7"/>
    <w:rsid w:val="00162C49"/>
    <w:rsid w:val="00163EEA"/>
    <w:rsid w:val="00165212"/>
    <w:rsid w:val="00165605"/>
    <w:rsid w:val="00167005"/>
    <w:rsid w:val="00167A07"/>
    <w:rsid w:val="00167E35"/>
    <w:rsid w:val="0017046A"/>
    <w:rsid w:val="001704A3"/>
    <w:rsid w:val="00170DEA"/>
    <w:rsid w:val="00170F74"/>
    <w:rsid w:val="0017139C"/>
    <w:rsid w:val="00171978"/>
    <w:rsid w:val="00171D9B"/>
    <w:rsid w:val="00173018"/>
    <w:rsid w:val="00173956"/>
    <w:rsid w:val="0017504D"/>
    <w:rsid w:val="00175C81"/>
    <w:rsid w:val="00177422"/>
    <w:rsid w:val="00177A08"/>
    <w:rsid w:val="00180387"/>
    <w:rsid w:val="00180579"/>
    <w:rsid w:val="001807CA"/>
    <w:rsid w:val="00180CB1"/>
    <w:rsid w:val="00181A45"/>
    <w:rsid w:val="00181B57"/>
    <w:rsid w:val="00181DF8"/>
    <w:rsid w:val="00182F4D"/>
    <w:rsid w:val="00183739"/>
    <w:rsid w:val="0018380D"/>
    <w:rsid w:val="001840E3"/>
    <w:rsid w:val="0018431C"/>
    <w:rsid w:val="00184F10"/>
    <w:rsid w:val="00184FFB"/>
    <w:rsid w:val="00185546"/>
    <w:rsid w:val="0019052D"/>
    <w:rsid w:val="0019146B"/>
    <w:rsid w:val="00191C98"/>
    <w:rsid w:val="001921FE"/>
    <w:rsid w:val="001927A3"/>
    <w:rsid w:val="00193A57"/>
    <w:rsid w:val="00194299"/>
    <w:rsid w:val="00194398"/>
    <w:rsid w:val="00196468"/>
    <w:rsid w:val="001979C0"/>
    <w:rsid w:val="00197F1E"/>
    <w:rsid w:val="001A4EFC"/>
    <w:rsid w:val="001A5B0D"/>
    <w:rsid w:val="001A6683"/>
    <w:rsid w:val="001A74C5"/>
    <w:rsid w:val="001A7C6C"/>
    <w:rsid w:val="001A7D2A"/>
    <w:rsid w:val="001A7F99"/>
    <w:rsid w:val="001B1EC5"/>
    <w:rsid w:val="001B22B9"/>
    <w:rsid w:val="001B42BE"/>
    <w:rsid w:val="001B522F"/>
    <w:rsid w:val="001B56C5"/>
    <w:rsid w:val="001B574C"/>
    <w:rsid w:val="001C077A"/>
    <w:rsid w:val="001C0AF9"/>
    <w:rsid w:val="001C0BF6"/>
    <w:rsid w:val="001C155A"/>
    <w:rsid w:val="001C15C8"/>
    <w:rsid w:val="001C1790"/>
    <w:rsid w:val="001C1AC3"/>
    <w:rsid w:val="001C2C63"/>
    <w:rsid w:val="001C3C7C"/>
    <w:rsid w:val="001C4332"/>
    <w:rsid w:val="001C48C0"/>
    <w:rsid w:val="001C6B5A"/>
    <w:rsid w:val="001C75C9"/>
    <w:rsid w:val="001D1250"/>
    <w:rsid w:val="001D278E"/>
    <w:rsid w:val="001D3619"/>
    <w:rsid w:val="001D3FA5"/>
    <w:rsid w:val="001D482C"/>
    <w:rsid w:val="001D651E"/>
    <w:rsid w:val="001D661F"/>
    <w:rsid w:val="001D6726"/>
    <w:rsid w:val="001D677B"/>
    <w:rsid w:val="001D7B7A"/>
    <w:rsid w:val="001D7F21"/>
    <w:rsid w:val="001E0660"/>
    <w:rsid w:val="001E186B"/>
    <w:rsid w:val="001E58CE"/>
    <w:rsid w:val="001E6712"/>
    <w:rsid w:val="001E74DA"/>
    <w:rsid w:val="001E78C8"/>
    <w:rsid w:val="001F3005"/>
    <w:rsid w:val="001F3347"/>
    <w:rsid w:val="001F4440"/>
    <w:rsid w:val="001F4B17"/>
    <w:rsid w:val="001F5148"/>
    <w:rsid w:val="001F69E4"/>
    <w:rsid w:val="001F7B0E"/>
    <w:rsid w:val="00201F9F"/>
    <w:rsid w:val="00203FAF"/>
    <w:rsid w:val="00204712"/>
    <w:rsid w:val="00204AEB"/>
    <w:rsid w:val="002051F8"/>
    <w:rsid w:val="00205A91"/>
    <w:rsid w:val="00206A65"/>
    <w:rsid w:val="00210102"/>
    <w:rsid w:val="00210855"/>
    <w:rsid w:val="0021130B"/>
    <w:rsid w:val="00211D02"/>
    <w:rsid w:val="002129E1"/>
    <w:rsid w:val="00212D31"/>
    <w:rsid w:val="002130C7"/>
    <w:rsid w:val="00214536"/>
    <w:rsid w:val="002149A4"/>
    <w:rsid w:val="00214DE6"/>
    <w:rsid w:val="002158C1"/>
    <w:rsid w:val="002162BC"/>
    <w:rsid w:val="002218A8"/>
    <w:rsid w:val="0022196F"/>
    <w:rsid w:val="00222CA6"/>
    <w:rsid w:val="0022306D"/>
    <w:rsid w:val="00226568"/>
    <w:rsid w:val="00226574"/>
    <w:rsid w:val="002278EC"/>
    <w:rsid w:val="002279F8"/>
    <w:rsid w:val="00230892"/>
    <w:rsid w:val="00230E4A"/>
    <w:rsid w:val="00232170"/>
    <w:rsid w:val="00232D9E"/>
    <w:rsid w:val="00234454"/>
    <w:rsid w:val="0023477C"/>
    <w:rsid w:val="00235113"/>
    <w:rsid w:val="002357C7"/>
    <w:rsid w:val="002367C4"/>
    <w:rsid w:val="00237DA4"/>
    <w:rsid w:val="0024005E"/>
    <w:rsid w:val="0024174F"/>
    <w:rsid w:val="0024328E"/>
    <w:rsid w:val="002438BD"/>
    <w:rsid w:val="00247447"/>
    <w:rsid w:val="00251031"/>
    <w:rsid w:val="00251F4D"/>
    <w:rsid w:val="002522DC"/>
    <w:rsid w:val="002529A0"/>
    <w:rsid w:val="0025407C"/>
    <w:rsid w:val="0025679E"/>
    <w:rsid w:val="00257462"/>
    <w:rsid w:val="0026000C"/>
    <w:rsid w:val="00260696"/>
    <w:rsid w:val="00260C68"/>
    <w:rsid w:val="00261156"/>
    <w:rsid w:val="00261309"/>
    <w:rsid w:val="00261428"/>
    <w:rsid w:val="00261B9C"/>
    <w:rsid w:val="00263223"/>
    <w:rsid w:val="0026338A"/>
    <w:rsid w:val="00263D3A"/>
    <w:rsid w:val="002642EF"/>
    <w:rsid w:val="002648B0"/>
    <w:rsid w:val="002649F8"/>
    <w:rsid w:val="00265B3A"/>
    <w:rsid w:val="0027130C"/>
    <w:rsid w:val="00271BCC"/>
    <w:rsid w:val="00274FDD"/>
    <w:rsid w:val="00275271"/>
    <w:rsid w:val="0027535E"/>
    <w:rsid w:val="00275AA6"/>
    <w:rsid w:val="00276BA4"/>
    <w:rsid w:val="0027787D"/>
    <w:rsid w:val="002802A0"/>
    <w:rsid w:val="002807D5"/>
    <w:rsid w:val="002818FE"/>
    <w:rsid w:val="00281FCA"/>
    <w:rsid w:val="0028225F"/>
    <w:rsid w:val="00282CCD"/>
    <w:rsid w:val="00282F41"/>
    <w:rsid w:val="00283C0B"/>
    <w:rsid w:val="00284244"/>
    <w:rsid w:val="0028491F"/>
    <w:rsid w:val="00285CF4"/>
    <w:rsid w:val="002863C2"/>
    <w:rsid w:val="002900FA"/>
    <w:rsid w:val="00291DDE"/>
    <w:rsid w:val="00292224"/>
    <w:rsid w:val="0029252B"/>
    <w:rsid w:val="00292D23"/>
    <w:rsid w:val="00293084"/>
    <w:rsid w:val="0029379F"/>
    <w:rsid w:val="0029431F"/>
    <w:rsid w:val="00294F56"/>
    <w:rsid w:val="00296530"/>
    <w:rsid w:val="002976B7"/>
    <w:rsid w:val="00297C24"/>
    <w:rsid w:val="002A03E3"/>
    <w:rsid w:val="002A168C"/>
    <w:rsid w:val="002A17E8"/>
    <w:rsid w:val="002A2C48"/>
    <w:rsid w:val="002A399A"/>
    <w:rsid w:val="002A3EED"/>
    <w:rsid w:val="002A4A39"/>
    <w:rsid w:val="002A58C8"/>
    <w:rsid w:val="002A5A17"/>
    <w:rsid w:val="002A6425"/>
    <w:rsid w:val="002A7758"/>
    <w:rsid w:val="002B3C36"/>
    <w:rsid w:val="002B447B"/>
    <w:rsid w:val="002B49E2"/>
    <w:rsid w:val="002B49F7"/>
    <w:rsid w:val="002B4F0E"/>
    <w:rsid w:val="002B68B7"/>
    <w:rsid w:val="002B6F04"/>
    <w:rsid w:val="002B7519"/>
    <w:rsid w:val="002B7A08"/>
    <w:rsid w:val="002B7B00"/>
    <w:rsid w:val="002B7C44"/>
    <w:rsid w:val="002C0503"/>
    <w:rsid w:val="002C1388"/>
    <w:rsid w:val="002C1596"/>
    <w:rsid w:val="002C1C65"/>
    <w:rsid w:val="002C27D3"/>
    <w:rsid w:val="002C2B7E"/>
    <w:rsid w:val="002C3108"/>
    <w:rsid w:val="002C3311"/>
    <w:rsid w:val="002C3C6A"/>
    <w:rsid w:val="002C5145"/>
    <w:rsid w:val="002C5B58"/>
    <w:rsid w:val="002C5C7A"/>
    <w:rsid w:val="002C6E64"/>
    <w:rsid w:val="002D0006"/>
    <w:rsid w:val="002D0B92"/>
    <w:rsid w:val="002D40A7"/>
    <w:rsid w:val="002D42DB"/>
    <w:rsid w:val="002D753A"/>
    <w:rsid w:val="002E04D5"/>
    <w:rsid w:val="002E09C8"/>
    <w:rsid w:val="002E1630"/>
    <w:rsid w:val="002E1F3A"/>
    <w:rsid w:val="002E298A"/>
    <w:rsid w:val="002E5DB6"/>
    <w:rsid w:val="002E68D5"/>
    <w:rsid w:val="002E74C9"/>
    <w:rsid w:val="002E75C6"/>
    <w:rsid w:val="002E7D89"/>
    <w:rsid w:val="002F02A4"/>
    <w:rsid w:val="002F06CF"/>
    <w:rsid w:val="002F272B"/>
    <w:rsid w:val="002F27BC"/>
    <w:rsid w:val="002F359D"/>
    <w:rsid w:val="002F3E6C"/>
    <w:rsid w:val="002F4320"/>
    <w:rsid w:val="002F453D"/>
    <w:rsid w:val="002F534B"/>
    <w:rsid w:val="002F655F"/>
    <w:rsid w:val="002F7274"/>
    <w:rsid w:val="002F73E5"/>
    <w:rsid w:val="002F7C6D"/>
    <w:rsid w:val="003005E5"/>
    <w:rsid w:val="003008E3"/>
    <w:rsid w:val="00300BFE"/>
    <w:rsid w:val="003020A5"/>
    <w:rsid w:val="003027E4"/>
    <w:rsid w:val="00302D41"/>
    <w:rsid w:val="0030332C"/>
    <w:rsid w:val="00304A03"/>
    <w:rsid w:val="00305FAA"/>
    <w:rsid w:val="00306B4E"/>
    <w:rsid w:val="00311704"/>
    <w:rsid w:val="00312296"/>
    <w:rsid w:val="0031340E"/>
    <w:rsid w:val="00313DD1"/>
    <w:rsid w:val="00313FA8"/>
    <w:rsid w:val="003147AF"/>
    <w:rsid w:val="00314E6B"/>
    <w:rsid w:val="003159E1"/>
    <w:rsid w:val="00316464"/>
    <w:rsid w:val="003200ED"/>
    <w:rsid w:val="0032073A"/>
    <w:rsid w:val="0032144B"/>
    <w:rsid w:val="0032160E"/>
    <w:rsid w:val="00321D8E"/>
    <w:rsid w:val="00322455"/>
    <w:rsid w:val="00322708"/>
    <w:rsid w:val="00322838"/>
    <w:rsid w:val="003271CF"/>
    <w:rsid w:val="00327E0F"/>
    <w:rsid w:val="00327FCF"/>
    <w:rsid w:val="00331416"/>
    <w:rsid w:val="003317FC"/>
    <w:rsid w:val="00332445"/>
    <w:rsid w:val="003326E3"/>
    <w:rsid w:val="003343C9"/>
    <w:rsid w:val="00334996"/>
    <w:rsid w:val="00335006"/>
    <w:rsid w:val="00336008"/>
    <w:rsid w:val="003362E2"/>
    <w:rsid w:val="00336969"/>
    <w:rsid w:val="00336C52"/>
    <w:rsid w:val="00340DC3"/>
    <w:rsid w:val="00341B3E"/>
    <w:rsid w:val="00341B42"/>
    <w:rsid w:val="003431DD"/>
    <w:rsid w:val="00344085"/>
    <w:rsid w:val="00345154"/>
    <w:rsid w:val="0034560E"/>
    <w:rsid w:val="00345704"/>
    <w:rsid w:val="00345B57"/>
    <w:rsid w:val="00350523"/>
    <w:rsid w:val="00352670"/>
    <w:rsid w:val="00352975"/>
    <w:rsid w:val="0035319C"/>
    <w:rsid w:val="00355B3A"/>
    <w:rsid w:val="00356868"/>
    <w:rsid w:val="00360CC2"/>
    <w:rsid w:val="00362A58"/>
    <w:rsid w:val="00362EAD"/>
    <w:rsid w:val="00363039"/>
    <w:rsid w:val="00363A83"/>
    <w:rsid w:val="0036485B"/>
    <w:rsid w:val="003664F8"/>
    <w:rsid w:val="00367956"/>
    <w:rsid w:val="00370D83"/>
    <w:rsid w:val="00371D89"/>
    <w:rsid w:val="00372AAF"/>
    <w:rsid w:val="00373B0D"/>
    <w:rsid w:val="00375BCD"/>
    <w:rsid w:val="00376988"/>
    <w:rsid w:val="00376DC1"/>
    <w:rsid w:val="003778D9"/>
    <w:rsid w:val="00381A72"/>
    <w:rsid w:val="0038362A"/>
    <w:rsid w:val="00383A76"/>
    <w:rsid w:val="00384FA0"/>
    <w:rsid w:val="00385BC4"/>
    <w:rsid w:val="00387515"/>
    <w:rsid w:val="00387685"/>
    <w:rsid w:val="00391848"/>
    <w:rsid w:val="003944CC"/>
    <w:rsid w:val="003944FD"/>
    <w:rsid w:val="00394FAF"/>
    <w:rsid w:val="003963FB"/>
    <w:rsid w:val="00396BC9"/>
    <w:rsid w:val="003A0F1E"/>
    <w:rsid w:val="003A131E"/>
    <w:rsid w:val="003A14EF"/>
    <w:rsid w:val="003A1598"/>
    <w:rsid w:val="003A1948"/>
    <w:rsid w:val="003A33E6"/>
    <w:rsid w:val="003A4151"/>
    <w:rsid w:val="003A41EB"/>
    <w:rsid w:val="003A45EE"/>
    <w:rsid w:val="003A69BD"/>
    <w:rsid w:val="003A75F2"/>
    <w:rsid w:val="003B0722"/>
    <w:rsid w:val="003B152A"/>
    <w:rsid w:val="003B21F1"/>
    <w:rsid w:val="003B26E3"/>
    <w:rsid w:val="003B2B91"/>
    <w:rsid w:val="003B4548"/>
    <w:rsid w:val="003B479F"/>
    <w:rsid w:val="003B545B"/>
    <w:rsid w:val="003B551F"/>
    <w:rsid w:val="003B62E0"/>
    <w:rsid w:val="003C43B2"/>
    <w:rsid w:val="003C6929"/>
    <w:rsid w:val="003C6DC5"/>
    <w:rsid w:val="003D08BC"/>
    <w:rsid w:val="003D28DC"/>
    <w:rsid w:val="003D304F"/>
    <w:rsid w:val="003D3EE9"/>
    <w:rsid w:val="003D62C7"/>
    <w:rsid w:val="003D658D"/>
    <w:rsid w:val="003D6726"/>
    <w:rsid w:val="003D6DDD"/>
    <w:rsid w:val="003E0835"/>
    <w:rsid w:val="003E0C4C"/>
    <w:rsid w:val="003E153D"/>
    <w:rsid w:val="003E219E"/>
    <w:rsid w:val="003E2721"/>
    <w:rsid w:val="003E34ED"/>
    <w:rsid w:val="003E3EEB"/>
    <w:rsid w:val="003E4877"/>
    <w:rsid w:val="003E6556"/>
    <w:rsid w:val="003E6AD6"/>
    <w:rsid w:val="003E6B6A"/>
    <w:rsid w:val="003E7681"/>
    <w:rsid w:val="003F0493"/>
    <w:rsid w:val="003F066F"/>
    <w:rsid w:val="003F0809"/>
    <w:rsid w:val="003F134F"/>
    <w:rsid w:val="003F611C"/>
    <w:rsid w:val="003F677E"/>
    <w:rsid w:val="003F6832"/>
    <w:rsid w:val="003F755C"/>
    <w:rsid w:val="00400D9E"/>
    <w:rsid w:val="00400FE1"/>
    <w:rsid w:val="00401715"/>
    <w:rsid w:val="00402592"/>
    <w:rsid w:val="004035D5"/>
    <w:rsid w:val="00403A71"/>
    <w:rsid w:val="00406F01"/>
    <w:rsid w:val="004106BF"/>
    <w:rsid w:val="004109BE"/>
    <w:rsid w:val="004109DC"/>
    <w:rsid w:val="0041182B"/>
    <w:rsid w:val="00411B36"/>
    <w:rsid w:val="004121D7"/>
    <w:rsid w:val="00412D46"/>
    <w:rsid w:val="0041360E"/>
    <w:rsid w:val="004148BA"/>
    <w:rsid w:val="00415733"/>
    <w:rsid w:val="00416D50"/>
    <w:rsid w:val="004170B9"/>
    <w:rsid w:val="00417772"/>
    <w:rsid w:val="00420E6A"/>
    <w:rsid w:val="00422D93"/>
    <w:rsid w:val="00423288"/>
    <w:rsid w:val="00424539"/>
    <w:rsid w:val="00425768"/>
    <w:rsid w:val="00425CB7"/>
    <w:rsid w:val="00425EF2"/>
    <w:rsid w:val="0042719C"/>
    <w:rsid w:val="00427D53"/>
    <w:rsid w:val="00430CF2"/>
    <w:rsid w:val="00432E27"/>
    <w:rsid w:val="00433CA9"/>
    <w:rsid w:val="004347A4"/>
    <w:rsid w:val="0043521D"/>
    <w:rsid w:val="00436E96"/>
    <w:rsid w:val="004374A8"/>
    <w:rsid w:val="00437EB8"/>
    <w:rsid w:val="00440258"/>
    <w:rsid w:val="004405F4"/>
    <w:rsid w:val="00440E1F"/>
    <w:rsid w:val="00441827"/>
    <w:rsid w:val="00442024"/>
    <w:rsid w:val="0044254C"/>
    <w:rsid w:val="00443F6A"/>
    <w:rsid w:val="00444B52"/>
    <w:rsid w:val="00446D48"/>
    <w:rsid w:val="00447633"/>
    <w:rsid w:val="00447F61"/>
    <w:rsid w:val="00450A17"/>
    <w:rsid w:val="00451C3C"/>
    <w:rsid w:val="0045347A"/>
    <w:rsid w:val="00454113"/>
    <w:rsid w:val="00456626"/>
    <w:rsid w:val="00457923"/>
    <w:rsid w:val="004627DA"/>
    <w:rsid w:val="00463A10"/>
    <w:rsid w:val="00463EEB"/>
    <w:rsid w:val="00465A89"/>
    <w:rsid w:val="00466321"/>
    <w:rsid w:val="00466871"/>
    <w:rsid w:val="00466C49"/>
    <w:rsid w:val="004672AF"/>
    <w:rsid w:val="0046770F"/>
    <w:rsid w:val="00470254"/>
    <w:rsid w:val="0047038B"/>
    <w:rsid w:val="00471070"/>
    <w:rsid w:val="00471BC5"/>
    <w:rsid w:val="004727B0"/>
    <w:rsid w:val="00472A6A"/>
    <w:rsid w:val="00473A81"/>
    <w:rsid w:val="00473F02"/>
    <w:rsid w:val="00474154"/>
    <w:rsid w:val="00476688"/>
    <w:rsid w:val="00476D5B"/>
    <w:rsid w:val="00476DCA"/>
    <w:rsid w:val="00477995"/>
    <w:rsid w:val="00480247"/>
    <w:rsid w:val="0048081D"/>
    <w:rsid w:val="0048117E"/>
    <w:rsid w:val="00481797"/>
    <w:rsid w:val="004839B6"/>
    <w:rsid w:val="00483DEA"/>
    <w:rsid w:val="004855F6"/>
    <w:rsid w:val="00486F0C"/>
    <w:rsid w:val="0048726F"/>
    <w:rsid w:val="00487516"/>
    <w:rsid w:val="0048781E"/>
    <w:rsid w:val="00491285"/>
    <w:rsid w:val="00492963"/>
    <w:rsid w:val="004940A0"/>
    <w:rsid w:val="00494670"/>
    <w:rsid w:val="004946A3"/>
    <w:rsid w:val="00494BBB"/>
    <w:rsid w:val="00494F63"/>
    <w:rsid w:val="00495C69"/>
    <w:rsid w:val="004964F8"/>
    <w:rsid w:val="004969C6"/>
    <w:rsid w:val="00496A9E"/>
    <w:rsid w:val="004A0EB4"/>
    <w:rsid w:val="004A1114"/>
    <w:rsid w:val="004A1446"/>
    <w:rsid w:val="004A2452"/>
    <w:rsid w:val="004A348D"/>
    <w:rsid w:val="004A3823"/>
    <w:rsid w:val="004A471D"/>
    <w:rsid w:val="004A59BB"/>
    <w:rsid w:val="004A7024"/>
    <w:rsid w:val="004B090F"/>
    <w:rsid w:val="004B15B7"/>
    <w:rsid w:val="004B1E1B"/>
    <w:rsid w:val="004B3490"/>
    <w:rsid w:val="004B3559"/>
    <w:rsid w:val="004B3BAF"/>
    <w:rsid w:val="004B43A3"/>
    <w:rsid w:val="004B4C49"/>
    <w:rsid w:val="004B58A5"/>
    <w:rsid w:val="004B5DA4"/>
    <w:rsid w:val="004B63D9"/>
    <w:rsid w:val="004C0882"/>
    <w:rsid w:val="004C1088"/>
    <w:rsid w:val="004C55BE"/>
    <w:rsid w:val="004C55DB"/>
    <w:rsid w:val="004C597C"/>
    <w:rsid w:val="004C6782"/>
    <w:rsid w:val="004C6AD0"/>
    <w:rsid w:val="004C6B59"/>
    <w:rsid w:val="004C6F12"/>
    <w:rsid w:val="004D0D27"/>
    <w:rsid w:val="004D0D6D"/>
    <w:rsid w:val="004D0E4F"/>
    <w:rsid w:val="004D2414"/>
    <w:rsid w:val="004D305D"/>
    <w:rsid w:val="004D3B81"/>
    <w:rsid w:val="004D3DB9"/>
    <w:rsid w:val="004D4EC7"/>
    <w:rsid w:val="004D58DC"/>
    <w:rsid w:val="004D66B6"/>
    <w:rsid w:val="004D7CE5"/>
    <w:rsid w:val="004E33C3"/>
    <w:rsid w:val="004E5809"/>
    <w:rsid w:val="004E5B30"/>
    <w:rsid w:val="004E7A68"/>
    <w:rsid w:val="004E7E74"/>
    <w:rsid w:val="004F0779"/>
    <w:rsid w:val="004F1230"/>
    <w:rsid w:val="004F173F"/>
    <w:rsid w:val="004F177C"/>
    <w:rsid w:val="004F178F"/>
    <w:rsid w:val="004F1AA8"/>
    <w:rsid w:val="004F1EF3"/>
    <w:rsid w:val="004F2289"/>
    <w:rsid w:val="004F2DCE"/>
    <w:rsid w:val="004F383B"/>
    <w:rsid w:val="004F5D87"/>
    <w:rsid w:val="004F6F18"/>
    <w:rsid w:val="004F77B4"/>
    <w:rsid w:val="004F7DE4"/>
    <w:rsid w:val="004F7F68"/>
    <w:rsid w:val="0050013E"/>
    <w:rsid w:val="00500537"/>
    <w:rsid w:val="00501178"/>
    <w:rsid w:val="005019B0"/>
    <w:rsid w:val="00503479"/>
    <w:rsid w:val="005034C1"/>
    <w:rsid w:val="005039CB"/>
    <w:rsid w:val="00504637"/>
    <w:rsid w:val="0050558F"/>
    <w:rsid w:val="005057E0"/>
    <w:rsid w:val="00506286"/>
    <w:rsid w:val="00506D13"/>
    <w:rsid w:val="00510813"/>
    <w:rsid w:val="00510F22"/>
    <w:rsid w:val="00511272"/>
    <w:rsid w:val="00511D20"/>
    <w:rsid w:val="00511DE0"/>
    <w:rsid w:val="00512E9A"/>
    <w:rsid w:val="0051387D"/>
    <w:rsid w:val="005138B3"/>
    <w:rsid w:val="00514581"/>
    <w:rsid w:val="0051538A"/>
    <w:rsid w:val="0051599A"/>
    <w:rsid w:val="00517F02"/>
    <w:rsid w:val="00522C8B"/>
    <w:rsid w:val="00523CC0"/>
    <w:rsid w:val="00524100"/>
    <w:rsid w:val="00524547"/>
    <w:rsid w:val="00524E1C"/>
    <w:rsid w:val="005258A2"/>
    <w:rsid w:val="005262A8"/>
    <w:rsid w:val="00526653"/>
    <w:rsid w:val="00527C81"/>
    <w:rsid w:val="0053056E"/>
    <w:rsid w:val="00530717"/>
    <w:rsid w:val="00530F7C"/>
    <w:rsid w:val="00531923"/>
    <w:rsid w:val="0053394F"/>
    <w:rsid w:val="00534567"/>
    <w:rsid w:val="00534F43"/>
    <w:rsid w:val="00535A84"/>
    <w:rsid w:val="00535AA4"/>
    <w:rsid w:val="00536889"/>
    <w:rsid w:val="00536CFD"/>
    <w:rsid w:val="00540F64"/>
    <w:rsid w:val="00541130"/>
    <w:rsid w:val="00541AD9"/>
    <w:rsid w:val="00542E07"/>
    <w:rsid w:val="00544358"/>
    <w:rsid w:val="00544ADB"/>
    <w:rsid w:val="00545388"/>
    <w:rsid w:val="005471B2"/>
    <w:rsid w:val="00547534"/>
    <w:rsid w:val="005479B9"/>
    <w:rsid w:val="00552F84"/>
    <w:rsid w:val="0055388D"/>
    <w:rsid w:val="005539EE"/>
    <w:rsid w:val="00554A39"/>
    <w:rsid w:val="00554A7B"/>
    <w:rsid w:val="0055572C"/>
    <w:rsid w:val="00556755"/>
    <w:rsid w:val="00556F22"/>
    <w:rsid w:val="0056064F"/>
    <w:rsid w:val="00561069"/>
    <w:rsid w:val="005619A6"/>
    <w:rsid w:val="00561B84"/>
    <w:rsid w:val="00561BA7"/>
    <w:rsid w:val="005624B5"/>
    <w:rsid w:val="005625E9"/>
    <w:rsid w:val="005629BD"/>
    <w:rsid w:val="00565834"/>
    <w:rsid w:val="0057146F"/>
    <w:rsid w:val="00571B4C"/>
    <w:rsid w:val="00571D98"/>
    <w:rsid w:val="005720AE"/>
    <w:rsid w:val="00572380"/>
    <w:rsid w:val="00573015"/>
    <w:rsid w:val="0057307D"/>
    <w:rsid w:val="005731A5"/>
    <w:rsid w:val="00574251"/>
    <w:rsid w:val="005742CF"/>
    <w:rsid w:val="00575035"/>
    <w:rsid w:val="005752FA"/>
    <w:rsid w:val="005755AA"/>
    <w:rsid w:val="0057674D"/>
    <w:rsid w:val="0058030D"/>
    <w:rsid w:val="00580BEF"/>
    <w:rsid w:val="0058131A"/>
    <w:rsid w:val="00581689"/>
    <w:rsid w:val="00581E96"/>
    <w:rsid w:val="00582045"/>
    <w:rsid w:val="0058527C"/>
    <w:rsid w:val="00586F5E"/>
    <w:rsid w:val="00587FCE"/>
    <w:rsid w:val="00590AE3"/>
    <w:rsid w:val="005918F1"/>
    <w:rsid w:val="00591DC7"/>
    <w:rsid w:val="00593059"/>
    <w:rsid w:val="00594A8E"/>
    <w:rsid w:val="00595358"/>
    <w:rsid w:val="0059711C"/>
    <w:rsid w:val="005A06B7"/>
    <w:rsid w:val="005A1759"/>
    <w:rsid w:val="005A1997"/>
    <w:rsid w:val="005A2C46"/>
    <w:rsid w:val="005A37E5"/>
    <w:rsid w:val="005A4054"/>
    <w:rsid w:val="005A613F"/>
    <w:rsid w:val="005A633E"/>
    <w:rsid w:val="005A64D9"/>
    <w:rsid w:val="005A6A94"/>
    <w:rsid w:val="005A6F18"/>
    <w:rsid w:val="005B1329"/>
    <w:rsid w:val="005B16B2"/>
    <w:rsid w:val="005B1D22"/>
    <w:rsid w:val="005B1DCF"/>
    <w:rsid w:val="005B2A20"/>
    <w:rsid w:val="005B2AF3"/>
    <w:rsid w:val="005B2F37"/>
    <w:rsid w:val="005B3462"/>
    <w:rsid w:val="005B3CAA"/>
    <w:rsid w:val="005B3E1C"/>
    <w:rsid w:val="005B431F"/>
    <w:rsid w:val="005B47A2"/>
    <w:rsid w:val="005B5B84"/>
    <w:rsid w:val="005B5E9F"/>
    <w:rsid w:val="005B66CE"/>
    <w:rsid w:val="005B6E04"/>
    <w:rsid w:val="005B7E9F"/>
    <w:rsid w:val="005C4C29"/>
    <w:rsid w:val="005C5B33"/>
    <w:rsid w:val="005C5F57"/>
    <w:rsid w:val="005C60D9"/>
    <w:rsid w:val="005C7570"/>
    <w:rsid w:val="005D00C8"/>
    <w:rsid w:val="005D02B8"/>
    <w:rsid w:val="005D0369"/>
    <w:rsid w:val="005D3297"/>
    <w:rsid w:val="005D5226"/>
    <w:rsid w:val="005D53FE"/>
    <w:rsid w:val="005D771D"/>
    <w:rsid w:val="005D7A0F"/>
    <w:rsid w:val="005E0438"/>
    <w:rsid w:val="005E1791"/>
    <w:rsid w:val="005E1B89"/>
    <w:rsid w:val="005E21EB"/>
    <w:rsid w:val="005E2CE6"/>
    <w:rsid w:val="005E3109"/>
    <w:rsid w:val="005E6324"/>
    <w:rsid w:val="005F02F3"/>
    <w:rsid w:val="005F1295"/>
    <w:rsid w:val="005F1C81"/>
    <w:rsid w:val="005F228B"/>
    <w:rsid w:val="005F29CD"/>
    <w:rsid w:val="005F2D55"/>
    <w:rsid w:val="005F3622"/>
    <w:rsid w:val="005F3A2A"/>
    <w:rsid w:val="005F4DFB"/>
    <w:rsid w:val="005F5A81"/>
    <w:rsid w:val="005F5F76"/>
    <w:rsid w:val="005F6A63"/>
    <w:rsid w:val="005F6CC0"/>
    <w:rsid w:val="005F6D91"/>
    <w:rsid w:val="005F7AF2"/>
    <w:rsid w:val="0060041A"/>
    <w:rsid w:val="00602803"/>
    <w:rsid w:val="00602CDB"/>
    <w:rsid w:val="00603B52"/>
    <w:rsid w:val="00603E5B"/>
    <w:rsid w:val="00604BC8"/>
    <w:rsid w:val="006057EF"/>
    <w:rsid w:val="00607084"/>
    <w:rsid w:val="0061590C"/>
    <w:rsid w:val="00615B4C"/>
    <w:rsid w:val="00615B5D"/>
    <w:rsid w:val="00615C98"/>
    <w:rsid w:val="00615D29"/>
    <w:rsid w:val="00616999"/>
    <w:rsid w:val="006208BC"/>
    <w:rsid w:val="0062146F"/>
    <w:rsid w:val="006219FE"/>
    <w:rsid w:val="00624174"/>
    <w:rsid w:val="00625059"/>
    <w:rsid w:val="00625494"/>
    <w:rsid w:val="0062589A"/>
    <w:rsid w:val="006263F8"/>
    <w:rsid w:val="0062790E"/>
    <w:rsid w:val="00632972"/>
    <w:rsid w:val="006332C8"/>
    <w:rsid w:val="00633C78"/>
    <w:rsid w:val="006343AF"/>
    <w:rsid w:val="0063634A"/>
    <w:rsid w:val="0063747C"/>
    <w:rsid w:val="0063750E"/>
    <w:rsid w:val="00637EC2"/>
    <w:rsid w:val="00640CF6"/>
    <w:rsid w:val="006411D6"/>
    <w:rsid w:val="00641935"/>
    <w:rsid w:val="0064250D"/>
    <w:rsid w:val="0064371F"/>
    <w:rsid w:val="006447E8"/>
    <w:rsid w:val="006456DD"/>
    <w:rsid w:val="00645B11"/>
    <w:rsid w:val="00645F6B"/>
    <w:rsid w:val="00646670"/>
    <w:rsid w:val="006466AB"/>
    <w:rsid w:val="00647963"/>
    <w:rsid w:val="00651388"/>
    <w:rsid w:val="00651391"/>
    <w:rsid w:val="006535EB"/>
    <w:rsid w:val="006555B0"/>
    <w:rsid w:val="00662799"/>
    <w:rsid w:val="00662AFA"/>
    <w:rsid w:val="00663016"/>
    <w:rsid w:val="00663053"/>
    <w:rsid w:val="006632EA"/>
    <w:rsid w:val="006635EE"/>
    <w:rsid w:val="00663946"/>
    <w:rsid w:val="006659F3"/>
    <w:rsid w:val="0066605F"/>
    <w:rsid w:val="0066658A"/>
    <w:rsid w:val="00667D00"/>
    <w:rsid w:val="0067047E"/>
    <w:rsid w:val="00670954"/>
    <w:rsid w:val="00670DD9"/>
    <w:rsid w:val="00671423"/>
    <w:rsid w:val="006724D7"/>
    <w:rsid w:val="0067301F"/>
    <w:rsid w:val="00674605"/>
    <w:rsid w:val="006748B8"/>
    <w:rsid w:val="00674EFA"/>
    <w:rsid w:val="00675321"/>
    <w:rsid w:val="00677339"/>
    <w:rsid w:val="006809D6"/>
    <w:rsid w:val="006814C7"/>
    <w:rsid w:val="00681BB9"/>
    <w:rsid w:val="00684ED3"/>
    <w:rsid w:val="0068535B"/>
    <w:rsid w:val="00685B54"/>
    <w:rsid w:val="00685DCF"/>
    <w:rsid w:val="0068736E"/>
    <w:rsid w:val="00690629"/>
    <w:rsid w:val="0069092F"/>
    <w:rsid w:val="006922AD"/>
    <w:rsid w:val="00692544"/>
    <w:rsid w:val="0069290A"/>
    <w:rsid w:val="00693E3C"/>
    <w:rsid w:val="00694A8C"/>
    <w:rsid w:val="00696200"/>
    <w:rsid w:val="00696F6D"/>
    <w:rsid w:val="00697032"/>
    <w:rsid w:val="006975AC"/>
    <w:rsid w:val="006A15FB"/>
    <w:rsid w:val="006A2A10"/>
    <w:rsid w:val="006A2AE0"/>
    <w:rsid w:val="006A2DE9"/>
    <w:rsid w:val="006A34E2"/>
    <w:rsid w:val="006A3EC5"/>
    <w:rsid w:val="006A5A1B"/>
    <w:rsid w:val="006A5BBE"/>
    <w:rsid w:val="006A72BF"/>
    <w:rsid w:val="006A74D3"/>
    <w:rsid w:val="006A7641"/>
    <w:rsid w:val="006A7E75"/>
    <w:rsid w:val="006B0C52"/>
    <w:rsid w:val="006B153D"/>
    <w:rsid w:val="006B18EB"/>
    <w:rsid w:val="006B332A"/>
    <w:rsid w:val="006B33BD"/>
    <w:rsid w:val="006B373B"/>
    <w:rsid w:val="006B3EA1"/>
    <w:rsid w:val="006B4503"/>
    <w:rsid w:val="006C0482"/>
    <w:rsid w:val="006C1E19"/>
    <w:rsid w:val="006C3707"/>
    <w:rsid w:val="006C392B"/>
    <w:rsid w:val="006C3F75"/>
    <w:rsid w:val="006C4A78"/>
    <w:rsid w:val="006C50E4"/>
    <w:rsid w:val="006D1150"/>
    <w:rsid w:val="006D170E"/>
    <w:rsid w:val="006D1744"/>
    <w:rsid w:val="006D1EEB"/>
    <w:rsid w:val="006D2586"/>
    <w:rsid w:val="006D491A"/>
    <w:rsid w:val="006D6558"/>
    <w:rsid w:val="006E06AF"/>
    <w:rsid w:val="006E0F45"/>
    <w:rsid w:val="006E19F1"/>
    <w:rsid w:val="006E28C1"/>
    <w:rsid w:val="006E468D"/>
    <w:rsid w:val="006E60E4"/>
    <w:rsid w:val="006E6B47"/>
    <w:rsid w:val="006E6DDF"/>
    <w:rsid w:val="006E6EAF"/>
    <w:rsid w:val="006E7807"/>
    <w:rsid w:val="006F1789"/>
    <w:rsid w:val="006F1CA7"/>
    <w:rsid w:val="006F3417"/>
    <w:rsid w:val="006F3A80"/>
    <w:rsid w:val="006F4B01"/>
    <w:rsid w:val="006F51E3"/>
    <w:rsid w:val="006F5F6D"/>
    <w:rsid w:val="0070024A"/>
    <w:rsid w:val="0070252C"/>
    <w:rsid w:val="007043B3"/>
    <w:rsid w:val="00706C5D"/>
    <w:rsid w:val="00707797"/>
    <w:rsid w:val="007118E6"/>
    <w:rsid w:val="00711DFE"/>
    <w:rsid w:val="00712257"/>
    <w:rsid w:val="00712C25"/>
    <w:rsid w:val="00713795"/>
    <w:rsid w:val="00714C0A"/>
    <w:rsid w:val="007169AF"/>
    <w:rsid w:val="00717820"/>
    <w:rsid w:val="00717D73"/>
    <w:rsid w:val="00717E1E"/>
    <w:rsid w:val="007210A4"/>
    <w:rsid w:val="007225C9"/>
    <w:rsid w:val="0072392D"/>
    <w:rsid w:val="00723969"/>
    <w:rsid w:val="00724073"/>
    <w:rsid w:val="00724752"/>
    <w:rsid w:val="0072661D"/>
    <w:rsid w:val="00727A5E"/>
    <w:rsid w:val="00731572"/>
    <w:rsid w:val="00733444"/>
    <w:rsid w:val="00733C7D"/>
    <w:rsid w:val="00733CC2"/>
    <w:rsid w:val="00734757"/>
    <w:rsid w:val="00735CD7"/>
    <w:rsid w:val="0073643E"/>
    <w:rsid w:val="00743AB6"/>
    <w:rsid w:val="00743D46"/>
    <w:rsid w:val="00744936"/>
    <w:rsid w:val="00744C93"/>
    <w:rsid w:val="00744CBF"/>
    <w:rsid w:val="00752ACF"/>
    <w:rsid w:val="00754034"/>
    <w:rsid w:val="00754BF1"/>
    <w:rsid w:val="00755A30"/>
    <w:rsid w:val="00755E1C"/>
    <w:rsid w:val="00756556"/>
    <w:rsid w:val="00757A56"/>
    <w:rsid w:val="0076132B"/>
    <w:rsid w:val="007623AE"/>
    <w:rsid w:val="0076319D"/>
    <w:rsid w:val="007637A9"/>
    <w:rsid w:val="00764664"/>
    <w:rsid w:val="007652FD"/>
    <w:rsid w:val="00765521"/>
    <w:rsid w:val="007666EC"/>
    <w:rsid w:val="00770B19"/>
    <w:rsid w:val="00770C95"/>
    <w:rsid w:val="00771841"/>
    <w:rsid w:val="007724CD"/>
    <w:rsid w:val="0077402B"/>
    <w:rsid w:val="00774419"/>
    <w:rsid w:val="00774EFA"/>
    <w:rsid w:val="00774FA0"/>
    <w:rsid w:val="00776620"/>
    <w:rsid w:val="00777B6D"/>
    <w:rsid w:val="007816E7"/>
    <w:rsid w:val="00782666"/>
    <w:rsid w:val="00782671"/>
    <w:rsid w:val="007830B2"/>
    <w:rsid w:val="00783677"/>
    <w:rsid w:val="007847B3"/>
    <w:rsid w:val="00784855"/>
    <w:rsid w:val="00784F39"/>
    <w:rsid w:val="0078501F"/>
    <w:rsid w:val="0078545C"/>
    <w:rsid w:val="00785525"/>
    <w:rsid w:val="00785689"/>
    <w:rsid w:val="007859FC"/>
    <w:rsid w:val="007864F6"/>
    <w:rsid w:val="007906C4"/>
    <w:rsid w:val="00790B81"/>
    <w:rsid w:val="00791413"/>
    <w:rsid w:val="007919E7"/>
    <w:rsid w:val="007940EA"/>
    <w:rsid w:val="0079410A"/>
    <w:rsid w:val="007967E8"/>
    <w:rsid w:val="007A0523"/>
    <w:rsid w:val="007A1D0D"/>
    <w:rsid w:val="007A1F06"/>
    <w:rsid w:val="007A2BF0"/>
    <w:rsid w:val="007A306C"/>
    <w:rsid w:val="007A5556"/>
    <w:rsid w:val="007A5DB9"/>
    <w:rsid w:val="007A63F2"/>
    <w:rsid w:val="007A67D6"/>
    <w:rsid w:val="007A782D"/>
    <w:rsid w:val="007B0CF3"/>
    <w:rsid w:val="007B18CF"/>
    <w:rsid w:val="007B4335"/>
    <w:rsid w:val="007B5251"/>
    <w:rsid w:val="007B5DD3"/>
    <w:rsid w:val="007B68DE"/>
    <w:rsid w:val="007B7F25"/>
    <w:rsid w:val="007C1857"/>
    <w:rsid w:val="007C4119"/>
    <w:rsid w:val="007C514F"/>
    <w:rsid w:val="007C52A9"/>
    <w:rsid w:val="007C5972"/>
    <w:rsid w:val="007C5B11"/>
    <w:rsid w:val="007D0F95"/>
    <w:rsid w:val="007D284F"/>
    <w:rsid w:val="007D2D8B"/>
    <w:rsid w:val="007D2E4A"/>
    <w:rsid w:val="007D2FE8"/>
    <w:rsid w:val="007D5606"/>
    <w:rsid w:val="007D69C7"/>
    <w:rsid w:val="007D7C68"/>
    <w:rsid w:val="007D7ECB"/>
    <w:rsid w:val="007E03DF"/>
    <w:rsid w:val="007E1F6E"/>
    <w:rsid w:val="007E25A1"/>
    <w:rsid w:val="007E29CD"/>
    <w:rsid w:val="007E470E"/>
    <w:rsid w:val="007E4BD2"/>
    <w:rsid w:val="007E7145"/>
    <w:rsid w:val="007E7809"/>
    <w:rsid w:val="007F0518"/>
    <w:rsid w:val="007F086D"/>
    <w:rsid w:val="007F2B81"/>
    <w:rsid w:val="007F36F4"/>
    <w:rsid w:val="007F3916"/>
    <w:rsid w:val="007F4346"/>
    <w:rsid w:val="007F5F0B"/>
    <w:rsid w:val="008002D8"/>
    <w:rsid w:val="00801179"/>
    <w:rsid w:val="008013EA"/>
    <w:rsid w:val="00801CF5"/>
    <w:rsid w:val="008023F7"/>
    <w:rsid w:val="00802479"/>
    <w:rsid w:val="0080271A"/>
    <w:rsid w:val="00804F67"/>
    <w:rsid w:val="00805372"/>
    <w:rsid w:val="00805B7B"/>
    <w:rsid w:val="008060A0"/>
    <w:rsid w:val="0080659B"/>
    <w:rsid w:val="00810B19"/>
    <w:rsid w:val="00811793"/>
    <w:rsid w:val="00811B64"/>
    <w:rsid w:val="0081293E"/>
    <w:rsid w:val="0081349C"/>
    <w:rsid w:val="00814FFB"/>
    <w:rsid w:val="00815171"/>
    <w:rsid w:val="008165D4"/>
    <w:rsid w:val="00817082"/>
    <w:rsid w:val="00820568"/>
    <w:rsid w:val="008209A3"/>
    <w:rsid w:val="0082248D"/>
    <w:rsid w:val="00823D28"/>
    <w:rsid w:val="00824A05"/>
    <w:rsid w:val="00825C79"/>
    <w:rsid w:val="0082671A"/>
    <w:rsid w:val="00826BA2"/>
    <w:rsid w:val="00826F48"/>
    <w:rsid w:val="0083019A"/>
    <w:rsid w:val="00831A80"/>
    <w:rsid w:val="00832440"/>
    <w:rsid w:val="008332C8"/>
    <w:rsid w:val="00833743"/>
    <w:rsid w:val="0083397B"/>
    <w:rsid w:val="00833EEF"/>
    <w:rsid w:val="008340A4"/>
    <w:rsid w:val="00836233"/>
    <w:rsid w:val="00836799"/>
    <w:rsid w:val="00837028"/>
    <w:rsid w:val="00837131"/>
    <w:rsid w:val="00841C25"/>
    <w:rsid w:val="00843042"/>
    <w:rsid w:val="00844C89"/>
    <w:rsid w:val="0084574D"/>
    <w:rsid w:val="00845B3F"/>
    <w:rsid w:val="00845F57"/>
    <w:rsid w:val="00847DCF"/>
    <w:rsid w:val="008513C5"/>
    <w:rsid w:val="008521E0"/>
    <w:rsid w:val="008525B0"/>
    <w:rsid w:val="00853017"/>
    <w:rsid w:val="008539A9"/>
    <w:rsid w:val="00853F21"/>
    <w:rsid w:val="00855623"/>
    <w:rsid w:val="0085666A"/>
    <w:rsid w:val="00856738"/>
    <w:rsid w:val="00856E18"/>
    <w:rsid w:val="00857FE9"/>
    <w:rsid w:val="0086022B"/>
    <w:rsid w:val="008607AE"/>
    <w:rsid w:val="008622F9"/>
    <w:rsid w:val="0086299D"/>
    <w:rsid w:val="00862D57"/>
    <w:rsid w:val="00862EC0"/>
    <w:rsid w:val="008641DB"/>
    <w:rsid w:val="008662F9"/>
    <w:rsid w:val="00867CBC"/>
    <w:rsid w:val="00870F38"/>
    <w:rsid w:val="008716CA"/>
    <w:rsid w:val="00871ADE"/>
    <w:rsid w:val="00872F32"/>
    <w:rsid w:val="008730E4"/>
    <w:rsid w:val="00874583"/>
    <w:rsid w:val="00874A8E"/>
    <w:rsid w:val="00876C30"/>
    <w:rsid w:val="00877017"/>
    <w:rsid w:val="00877255"/>
    <w:rsid w:val="008773C0"/>
    <w:rsid w:val="00880364"/>
    <w:rsid w:val="008812A2"/>
    <w:rsid w:val="00882672"/>
    <w:rsid w:val="00884B4E"/>
    <w:rsid w:val="00885BEF"/>
    <w:rsid w:val="00886085"/>
    <w:rsid w:val="008864D8"/>
    <w:rsid w:val="0088694A"/>
    <w:rsid w:val="00886C4C"/>
    <w:rsid w:val="0088711C"/>
    <w:rsid w:val="008873A5"/>
    <w:rsid w:val="008873BB"/>
    <w:rsid w:val="00890721"/>
    <w:rsid w:val="00890761"/>
    <w:rsid w:val="00890A1C"/>
    <w:rsid w:val="00890A95"/>
    <w:rsid w:val="00892D8F"/>
    <w:rsid w:val="00892ECF"/>
    <w:rsid w:val="00892F06"/>
    <w:rsid w:val="00893081"/>
    <w:rsid w:val="00893496"/>
    <w:rsid w:val="00894285"/>
    <w:rsid w:val="008942F1"/>
    <w:rsid w:val="00894762"/>
    <w:rsid w:val="00895182"/>
    <w:rsid w:val="008A1418"/>
    <w:rsid w:val="008A2EBA"/>
    <w:rsid w:val="008A361E"/>
    <w:rsid w:val="008A40AE"/>
    <w:rsid w:val="008A4B41"/>
    <w:rsid w:val="008A4D40"/>
    <w:rsid w:val="008A4E19"/>
    <w:rsid w:val="008A5BA2"/>
    <w:rsid w:val="008A67C5"/>
    <w:rsid w:val="008A6F29"/>
    <w:rsid w:val="008A7266"/>
    <w:rsid w:val="008A75C6"/>
    <w:rsid w:val="008A79B8"/>
    <w:rsid w:val="008B00B2"/>
    <w:rsid w:val="008B035C"/>
    <w:rsid w:val="008B2119"/>
    <w:rsid w:val="008B22E1"/>
    <w:rsid w:val="008B3C78"/>
    <w:rsid w:val="008B4AE9"/>
    <w:rsid w:val="008B4E7C"/>
    <w:rsid w:val="008B5CE2"/>
    <w:rsid w:val="008B5DD0"/>
    <w:rsid w:val="008B6D81"/>
    <w:rsid w:val="008B7597"/>
    <w:rsid w:val="008C12E4"/>
    <w:rsid w:val="008C30AD"/>
    <w:rsid w:val="008C381B"/>
    <w:rsid w:val="008C4BDC"/>
    <w:rsid w:val="008C554B"/>
    <w:rsid w:val="008C692A"/>
    <w:rsid w:val="008D068E"/>
    <w:rsid w:val="008D0F7A"/>
    <w:rsid w:val="008D15E4"/>
    <w:rsid w:val="008D25B7"/>
    <w:rsid w:val="008D484D"/>
    <w:rsid w:val="008D63BE"/>
    <w:rsid w:val="008D736E"/>
    <w:rsid w:val="008D7647"/>
    <w:rsid w:val="008D7FF3"/>
    <w:rsid w:val="008E006F"/>
    <w:rsid w:val="008E03CA"/>
    <w:rsid w:val="008E0CFF"/>
    <w:rsid w:val="008E1565"/>
    <w:rsid w:val="008E269E"/>
    <w:rsid w:val="008E2FE4"/>
    <w:rsid w:val="008E3C5D"/>
    <w:rsid w:val="008E3CB5"/>
    <w:rsid w:val="008E4ACC"/>
    <w:rsid w:val="008E5CA3"/>
    <w:rsid w:val="008E5D6B"/>
    <w:rsid w:val="008E5F53"/>
    <w:rsid w:val="008E689B"/>
    <w:rsid w:val="008E76F0"/>
    <w:rsid w:val="008F15FE"/>
    <w:rsid w:val="008F1D36"/>
    <w:rsid w:val="008F2133"/>
    <w:rsid w:val="008F2A94"/>
    <w:rsid w:val="008F5187"/>
    <w:rsid w:val="008F681A"/>
    <w:rsid w:val="008F709C"/>
    <w:rsid w:val="00901FBC"/>
    <w:rsid w:val="0090312B"/>
    <w:rsid w:val="00903A73"/>
    <w:rsid w:val="00904961"/>
    <w:rsid w:val="00905A86"/>
    <w:rsid w:val="00905D5A"/>
    <w:rsid w:val="009065DD"/>
    <w:rsid w:val="00906746"/>
    <w:rsid w:val="00907BA5"/>
    <w:rsid w:val="00910DFC"/>
    <w:rsid w:val="0091450F"/>
    <w:rsid w:val="00915AF7"/>
    <w:rsid w:val="0091616B"/>
    <w:rsid w:val="00916DE1"/>
    <w:rsid w:val="0091736D"/>
    <w:rsid w:val="0092057E"/>
    <w:rsid w:val="00920F21"/>
    <w:rsid w:val="00922422"/>
    <w:rsid w:val="00922E4A"/>
    <w:rsid w:val="00922EFE"/>
    <w:rsid w:val="0092443D"/>
    <w:rsid w:val="00925C24"/>
    <w:rsid w:val="0092696A"/>
    <w:rsid w:val="00926C4A"/>
    <w:rsid w:val="009270E1"/>
    <w:rsid w:val="00927D95"/>
    <w:rsid w:val="00931001"/>
    <w:rsid w:val="0093114F"/>
    <w:rsid w:val="00931863"/>
    <w:rsid w:val="00933524"/>
    <w:rsid w:val="009336BC"/>
    <w:rsid w:val="009352E7"/>
    <w:rsid w:val="00936568"/>
    <w:rsid w:val="00936F5E"/>
    <w:rsid w:val="0093783F"/>
    <w:rsid w:val="0094011A"/>
    <w:rsid w:val="00940534"/>
    <w:rsid w:val="0094065E"/>
    <w:rsid w:val="0094162C"/>
    <w:rsid w:val="0094202B"/>
    <w:rsid w:val="0094278D"/>
    <w:rsid w:val="009429D8"/>
    <w:rsid w:val="009448B0"/>
    <w:rsid w:val="00945258"/>
    <w:rsid w:val="00945E41"/>
    <w:rsid w:val="0094689C"/>
    <w:rsid w:val="00947651"/>
    <w:rsid w:val="0095078D"/>
    <w:rsid w:val="00950EF6"/>
    <w:rsid w:val="00952753"/>
    <w:rsid w:val="0095308A"/>
    <w:rsid w:val="009531B7"/>
    <w:rsid w:val="00953380"/>
    <w:rsid w:val="00955A79"/>
    <w:rsid w:val="00955AEE"/>
    <w:rsid w:val="00956372"/>
    <w:rsid w:val="00956F14"/>
    <w:rsid w:val="00957582"/>
    <w:rsid w:val="00957BC1"/>
    <w:rsid w:val="00961F0C"/>
    <w:rsid w:val="009620FD"/>
    <w:rsid w:val="0096247A"/>
    <w:rsid w:val="00963133"/>
    <w:rsid w:val="00963ADF"/>
    <w:rsid w:val="00964A94"/>
    <w:rsid w:val="00964C32"/>
    <w:rsid w:val="00965F4B"/>
    <w:rsid w:val="009662E2"/>
    <w:rsid w:val="00966617"/>
    <w:rsid w:val="00966E92"/>
    <w:rsid w:val="00967929"/>
    <w:rsid w:val="00970F8A"/>
    <w:rsid w:val="00971190"/>
    <w:rsid w:val="00971FB5"/>
    <w:rsid w:val="00972D2A"/>
    <w:rsid w:val="0097394A"/>
    <w:rsid w:val="009747C8"/>
    <w:rsid w:val="00975CA7"/>
    <w:rsid w:val="00975CC5"/>
    <w:rsid w:val="00976145"/>
    <w:rsid w:val="00976328"/>
    <w:rsid w:val="009768F8"/>
    <w:rsid w:val="009769D6"/>
    <w:rsid w:val="00976B4E"/>
    <w:rsid w:val="00976DDD"/>
    <w:rsid w:val="0097722D"/>
    <w:rsid w:val="00977A31"/>
    <w:rsid w:val="00977AFB"/>
    <w:rsid w:val="00977E05"/>
    <w:rsid w:val="00983D46"/>
    <w:rsid w:val="00984458"/>
    <w:rsid w:val="00985283"/>
    <w:rsid w:val="009853D5"/>
    <w:rsid w:val="0098627C"/>
    <w:rsid w:val="00987322"/>
    <w:rsid w:val="0099176C"/>
    <w:rsid w:val="009926EE"/>
    <w:rsid w:val="009953E4"/>
    <w:rsid w:val="009959C4"/>
    <w:rsid w:val="009977FC"/>
    <w:rsid w:val="009A012D"/>
    <w:rsid w:val="009A0E33"/>
    <w:rsid w:val="009A0E9F"/>
    <w:rsid w:val="009A0F3B"/>
    <w:rsid w:val="009A0F8E"/>
    <w:rsid w:val="009A1EFD"/>
    <w:rsid w:val="009A42E4"/>
    <w:rsid w:val="009A5B94"/>
    <w:rsid w:val="009A62BC"/>
    <w:rsid w:val="009A7199"/>
    <w:rsid w:val="009A72C7"/>
    <w:rsid w:val="009B00F6"/>
    <w:rsid w:val="009B0897"/>
    <w:rsid w:val="009B0ABD"/>
    <w:rsid w:val="009B3199"/>
    <w:rsid w:val="009B5331"/>
    <w:rsid w:val="009B539B"/>
    <w:rsid w:val="009C02E6"/>
    <w:rsid w:val="009C0458"/>
    <w:rsid w:val="009C2A02"/>
    <w:rsid w:val="009C2D8E"/>
    <w:rsid w:val="009C3629"/>
    <w:rsid w:val="009C38E9"/>
    <w:rsid w:val="009C46B5"/>
    <w:rsid w:val="009C4925"/>
    <w:rsid w:val="009C5B5D"/>
    <w:rsid w:val="009C61D6"/>
    <w:rsid w:val="009C6515"/>
    <w:rsid w:val="009C7C09"/>
    <w:rsid w:val="009C7C8D"/>
    <w:rsid w:val="009D0852"/>
    <w:rsid w:val="009D1FBF"/>
    <w:rsid w:val="009D22D8"/>
    <w:rsid w:val="009D3419"/>
    <w:rsid w:val="009D5A3B"/>
    <w:rsid w:val="009D5DC5"/>
    <w:rsid w:val="009D5ECA"/>
    <w:rsid w:val="009D6667"/>
    <w:rsid w:val="009D7E27"/>
    <w:rsid w:val="009E149F"/>
    <w:rsid w:val="009E1A12"/>
    <w:rsid w:val="009E2040"/>
    <w:rsid w:val="009E399C"/>
    <w:rsid w:val="009E3FAA"/>
    <w:rsid w:val="009E43C1"/>
    <w:rsid w:val="009E4A62"/>
    <w:rsid w:val="009E7881"/>
    <w:rsid w:val="009E78AD"/>
    <w:rsid w:val="009E7E95"/>
    <w:rsid w:val="009F0AA6"/>
    <w:rsid w:val="009F116F"/>
    <w:rsid w:val="009F310B"/>
    <w:rsid w:val="009F329E"/>
    <w:rsid w:val="009F5249"/>
    <w:rsid w:val="009F5830"/>
    <w:rsid w:val="009F66F5"/>
    <w:rsid w:val="009F6DFA"/>
    <w:rsid w:val="009F6E7A"/>
    <w:rsid w:val="009F72FE"/>
    <w:rsid w:val="009F7ED3"/>
    <w:rsid w:val="00A00D16"/>
    <w:rsid w:val="00A00E00"/>
    <w:rsid w:val="00A03607"/>
    <w:rsid w:val="00A047FF"/>
    <w:rsid w:val="00A04FEF"/>
    <w:rsid w:val="00A0596E"/>
    <w:rsid w:val="00A05E1D"/>
    <w:rsid w:val="00A0795E"/>
    <w:rsid w:val="00A10F66"/>
    <w:rsid w:val="00A122CD"/>
    <w:rsid w:val="00A12398"/>
    <w:rsid w:val="00A12A32"/>
    <w:rsid w:val="00A14248"/>
    <w:rsid w:val="00A14947"/>
    <w:rsid w:val="00A14DD9"/>
    <w:rsid w:val="00A1507A"/>
    <w:rsid w:val="00A20B74"/>
    <w:rsid w:val="00A213E7"/>
    <w:rsid w:val="00A2143E"/>
    <w:rsid w:val="00A23A88"/>
    <w:rsid w:val="00A23DC5"/>
    <w:rsid w:val="00A26738"/>
    <w:rsid w:val="00A272F6"/>
    <w:rsid w:val="00A27E90"/>
    <w:rsid w:val="00A30E45"/>
    <w:rsid w:val="00A32794"/>
    <w:rsid w:val="00A337D0"/>
    <w:rsid w:val="00A34028"/>
    <w:rsid w:val="00A346F2"/>
    <w:rsid w:val="00A3477D"/>
    <w:rsid w:val="00A34FF4"/>
    <w:rsid w:val="00A35568"/>
    <w:rsid w:val="00A36719"/>
    <w:rsid w:val="00A36CB2"/>
    <w:rsid w:val="00A37056"/>
    <w:rsid w:val="00A4030E"/>
    <w:rsid w:val="00A406FA"/>
    <w:rsid w:val="00A413AD"/>
    <w:rsid w:val="00A41E79"/>
    <w:rsid w:val="00A4358F"/>
    <w:rsid w:val="00A44021"/>
    <w:rsid w:val="00A445A1"/>
    <w:rsid w:val="00A46F67"/>
    <w:rsid w:val="00A5150D"/>
    <w:rsid w:val="00A51F6B"/>
    <w:rsid w:val="00A53055"/>
    <w:rsid w:val="00A54AA1"/>
    <w:rsid w:val="00A54C8A"/>
    <w:rsid w:val="00A54FA5"/>
    <w:rsid w:val="00A552D0"/>
    <w:rsid w:val="00A568FF"/>
    <w:rsid w:val="00A577B6"/>
    <w:rsid w:val="00A60CBA"/>
    <w:rsid w:val="00A61078"/>
    <w:rsid w:val="00A61496"/>
    <w:rsid w:val="00A61833"/>
    <w:rsid w:val="00A62101"/>
    <w:rsid w:val="00A624C6"/>
    <w:rsid w:val="00A6310C"/>
    <w:rsid w:val="00A63CEC"/>
    <w:rsid w:val="00A647E1"/>
    <w:rsid w:val="00A649C5"/>
    <w:rsid w:val="00A7031E"/>
    <w:rsid w:val="00A7069D"/>
    <w:rsid w:val="00A70AE4"/>
    <w:rsid w:val="00A71ADD"/>
    <w:rsid w:val="00A71B69"/>
    <w:rsid w:val="00A7226E"/>
    <w:rsid w:val="00A72610"/>
    <w:rsid w:val="00A728B1"/>
    <w:rsid w:val="00A72A6C"/>
    <w:rsid w:val="00A744DC"/>
    <w:rsid w:val="00A74BFC"/>
    <w:rsid w:val="00A7577A"/>
    <w:rsid w:val="00A758D2"/>
    <w:rsid w:val="00A75C0A"/>
    <w:rsid w:val="00A76251"/>
    <w:rsid w:val="00A763DE"/>
    <w:rsid w:val="00A76D6F"/>
    <w:rsid w:val="00A803D6"/>
    <w:rsid w:val="00A81282"/>
    <w:rsid w:val="00A81CCB"/>
    <w:rsid w:val="00A84CC4"/>
    <w:rsid w:val="00A84DB1"/>
    <w:rsid w:val="00A84FD7"/>
    <w:rsid w:val="00A85F53"/>
    <w:rsid w:val="00A85F8A"/>
    <w:rsid w:val="00A86A86"/>
    <w:rsid w:val="00A8704E"/>
    <w:rsid w:val="00A8713F"/>
    <w:rsid w:val="00A8727B"/>
    <w:rsid w:val="00A87A1B"/>
    <w:rsid w:val="00A90BAB"/>
    <w:rsid w:val="00A91167"/>
    <w:rsid w:val="00A9171C"/>
    <w:rsid w:val="00A91DC7"/>
    <w:rsid w:val="00A91E07"/>
    <w:rsid w:val="00A92FFD"/>
    <w:rsid w:val="00A93006"/>
    <w:rsid w:val="00A93B81"/>
    <w:rsid w:val="00A9475E"/>
    <w:rsid w:val="00A9491C"/>
    <w:rsid w:val="00A94AE1"/>
    <w:rsid w:val="00A95975"/>
    <w:rsid w:val="00A95B11"/>
    <w:rsid w:val="00A96AC4"/>
    <w:rsid w:val="00A9708D"/>
    <w:rsid w:val="00A97BB1"/>
    <w:rsid w:val="00AA030F"/>
    <w:rsid w:val="00AA0539"/>
    <w:rsid w:val="00AA0A60"/>
    <w:rsid w:val="00AA1334"/>
    <w:rsid w:val="00AA19D4"/>
    <w:rsid w:val="00AA233A"/>
    <w:rsid w:val="00AA2C17"/>
    <w:rsid w:val="00AA3F5B"/>
    <w:rsid w:val="00AA4172"/>
    <w:rsid w:val="00AA7450"/>
    <w:rsid w:val="00AA7610"/>
    <w:rsid w:val="00AB0767"/>
    <w:rsid w:val="00AB1914"/>
    <w:rsid w:val="00AB4969"/>
    <w:rsid w:val="00AB5330"/>
    <w:rsid w:val="00AB68D6"/>
    <w:rsid w:val="00AB7747"/>
    <w:rsid w:val="00AC1C3D"/>
    <w:rsid w:val="00AC1F06"/>
    <w:rsid w:val="00AC2532"/>
    <w:rsid w:val="00AC58F8"/>
    <w:rsid w:val="00AC591D"/>
    <w:rsid w:val="00AC6707"/>
    <w:rsid w:val="00AC6880"/>
    <w:rsid w:val="00AD104D"/>
    <w:rsid w:val="00AD1507"/>
    <w:rsid w:val="00AD27F3"/>
    <w:rsid w:val="00AD5A70"/>
    <w:rsid w:val="00AD6585"/>
    <w:rsid w:val="00AD6A12"/>
    <w:rsid w:val="00AD6B07"/>
    <w:rsid w:val="00AD738B"/>
    <w:rsid w:val="00AE0497"/>
    <w:rsid w:val="00AE0FFF"/>
    <w:rsid w:val="00AE132D"/>
    <w:rsid w:val="00AE1BF4"/>
    <w:rsid w:val="00AE20A6"/>
    <w:rsid w:val="00AE2587"/>
    <w:rsid w:val="00AE5D97"/>
    <w:rsid w:val="00AE6794"/>
    <w:rsid w:val="00AE7634"/>
    <w:rsid w:val="00AE7DD3"/>
    <w:rsid w:val="00AF01D1"/>
    <w:rsid w:val="00AF159B"/>
    <w:rsid w:val="00AF1748"/>
    <w:rsid w:val="00AF1805"/>
    <w:rsid w:val="00AF1DA4"/>
    <w:rsid w:val="00AF2A9F"/>
    <w:rsid w:val="00AF30FB"/>
    <w:rsid w:val="00AF35E3"/>
    <w:rsid w:val="00AF4821"/>
    <w:rsid w:val="00AF5750"/>
    <w:rsid w:val="00AF5BE9"/>
    <w:rsid w:val="00AF7A15"/>
    <w:rsid w:val="00AF7C24"/>
    <w:rsid w:val="00B01110"/>
    <w:rsid w:val="00B0211E"/>
    <w:rsid w:val="00B02262"/>
    <w:rsid w:val="00B026C4"/>
    <w:rsid w:val="00B03CEC"/>
    <w:rsid w:val="00B043BC"/>
    <w:rsid w:val="00B054A7"/>
    <w:rsid w:val="00B0559F"/>
    <w:rsid w:val="00B104DA"/>
    <w:rsid w:val="00B1143A"/>
    <w:rsid w:val="00B1209F"/>
    <w:rsid w:val="00B12AD0"/>
    <w:rsid w:val="00B13711"/>
    <w:rsid w:val="00B1433B"/>
    <w:rsid w:val="00B144AC"/>
    <w:rsid w:val="00B15A5B"/>
    <w:rsid w:val="00B15EC2"/>
    <w:rsid w:val="00B1616E"/>
    <w:rsid w:val="00B164CC"/>
    <w:rsid w:val="00B16891"/>
    <w:rsid w:val="00B208C7"/>
    <w:rsid w:val="00B22DCC"/>
    <w:rsid w:val="00B23733"/>
    <w:rsid w:val="00B23E2A"/>
    <w:rsid w:val="00B24F30"/>
    <w:rsid w:val="00B25172"/>
    <w:rsid w:val="00B25600"/>
    <w:rsid w:val="00B3103D"/>
    <w:rsid w:val="00B319BA"/>
    <w:rsid w:val="00B31ABF"/>
    <w:rsid w:val="00B31DFF"/>
    <w:rsid w:val="00B32586"/>
    <w:rsid w:val="00B33577"/>
    <w:rsid w:val="00B335AE"/>
    <w:rsid w:val="00B33755"/>
    <w:rsid w:val="00B36E30"/>
    <w:rsid w:val="00B37CE1"/>
    <w:rsid w:val="00B40592"/>
    <w:rsid w:val="00B40ACF"/>
    <w:rsid w:val="00B40CC0"/>
    <w:rsid w:val="00B40F22"/>
    <w:rsid w:val="00B419D3"/>
    <w:rsid w:val="00B41C1F"/>
    <w:rsid w:val="00B43695"/>
    <w:rsid w:val="00B43B83"/>
    <w:rsid w:val="00B445A6"/>
    <w:rsid w:val="00B446A3"/>
    <w:rsid w:val="00B46BAA"/>
    <w:rsid w:val="00B50B5F"/>
    <w:rsid w:val="00B51FE3"/>
    <w:rsid w:val="00B54128"/>
    <w:rsid w:val="00B5479E"/>
    <w:rsid w:val="00B55826"/>
    <w:rsid w:val="00B566C9"/>
    <w:rsid w:val="00B577A6"/>
    <w:rsid w:val="00B60426"/>
    <w:rsid w:val="00B622DD"/>
    <w:rsid w:val="00B624C3"/>
    <w:rsid w:val="00B62908"/>
    <w:rsid w:val="00B63522"/>
    <w:rsid w:val="00B64F78"/>
    <w:rsid w:val="00B65424"/>
    <w:rsid w:val="00B70488"/>
    <w:rsid w:val="00B71F2D"/>
    <w:rsid w:val="00B721AD"/>
    <w:rsid w:val="00B728BD"/>
    <w:rsid w:val="00B74583"/>
    <w:rsid w:val="00B7493A"/>
    <w:rsid w:val="00B754B9"/>
    <w:rsid w:val="00B76F1D"/>
    <w:rsid w:val="00B77460"/>
    <w:rsid w:val="00B8204C"/>
    <w:rsid w:val="00B82458"/>
    <w:rsid w:val="00B85993"/>
    <w:rsid w:val="00B859EC"/>
    <w:rsid w:val="00B86755"/>
    <w:rsid w:val="00B86951"/>
    <w:rsid w:val="00B86A8D"/>
    <w:rsid w:val="00B878C6"/>
    <w:rsid w:val="00B90584"/>
    <w:rsid w:val="00B91663"/>
    <w:rsid w:val="00B916B3"/>
    <w:rsid w:val="00B9231A"/>
    <w:rsid w:val="00B92A19"/>
    <w:rsid w:val="00B92F95"/>
    <w:rsid w:val="00B93588"/>
    <w:rsid w:val="00B94F46"/>
    <w:rsid w:val="00B9544C"/>
    <w:rsid w:val="00B95DFA"/>
    <w:rsid w:val="00B96440"/>
    <w:rsid w:val="00B972C7"/>
    <w:rsid w:val="00B978A0"/>
    <w:rsid w:val="00BA1C40"/>
    <w:rsid w:val="00BA29E9"/>
    <w:rsid w:val="00BA468E"/>
    <w:rsid w:val="00BA4E90"/>
    <w:rsid w:val="00BA520C"/>
    <w:rsid w:val="00BA7508"/>
    <w:rsid w:val="00BB0CCF"/>
    <w:rsid w:val="00BB1823"/>
    <w:rsid w:val="00BB1A8A"/>
    <w:rsid w:val="00BB3618"/>
    <w:rsid w:val="00BB3C7A"/>
    <w:rsid w:val="00BB4598"/>
    <w:rsid w:val="00BB5043"/>
    <w:rsid w:val="00BB5F4B"/>
    <w:rsid w:val="00BC0C3E"/>
    <w:rsid w:val="00BC0C9E"/>
    <w:rsid w:val="00BC32DC"/>
    <w:rsid w:val="00BC4BC9"/>
    <w:rsid w:val="00BD0833"/>
    <w:rsid w:val="00BD1A53"/>
    <w:rsid w:val="00BD1B51"/>
    <w:rsid w:val="00BD3AB3"/>
    <w:rsid w:val="00BD47F6"/>
    <w:rsid w:val="00BD7BF3"/>
    <w:rsid w:val="00BE01E2"/>
    <w:rsid w:val="00BE0DC7"/>
    <w:rsid w:val="00BE25C4"/>
    <w:rsid w:val="00BE25FF"/>
    <w:rsid w:val="00BE312D"/>
    <w:rsid w:val="00BE3FCA"/>
    <w:rsid w:val="00BE5BD6"/>
    <w:rsid w:val="00BF1732"/>
    <w:rsid w:val="00BF1978"/>
    <w:rsid w:val="00BF3AD7"/>
    <w:rsid w:val="00BF46FF"/>
    <w:rsid w:val="00BF7676"/>
    <w:rsid w:val="00C0131C"/>
    <w:rsid w:val="00C027D6"/>
    <w:rsid w:val="00C02B22"/>
    <w:rsid w:val="00C05719"/>
    <w:rsid w:val="00C05D1F"/>
    <w:rsid w:val="00C10305"/>
    <w:rsid w:val="00C103FF"/>
    <w:rsid w:val="00C10532"/>
    <w:rsid w:val="00C10578"/>
    <w:rsid w:val="00C10E05"/>
    <w:rsid w:val="00C11393"/>
    <w:rsid w:val="00C12933"/>
    <w:rsid w:val="00C1344B"/>
    <w:rsid w:val="00C14410"/>
    <w:rsid w:val="00C16F4C"/>
    <w:rsid w:val="00C17D62"/>
    <w:rsid w:val="00C17FEB"/>
    <w:rsid w:val="00C2049F"/>
    <w:rsid w:val="00C2074A"/>
    <w:rsid w:val="00C20890"/>
    <w:rsid w:val="00C20A6F"/>
    <w:rsid w:val="00C21FDC"/>
    <w:rsid w:val="00C21FF5"/>
    <w:rsid w:val="00C22414"/>
    <w:rsid w:val="00C224C4"/>
    <w:rsid w:val="00C24082"/>
    <w:rsid w:val="00C241E4"/>
    <w:rsid w:val="00C245EA"/>
    <w:rsid w:val="00C24EE7"/>
    <w:rsid w:val="00C25513"/>
    <w:rsid w:val="00C2596A"/>
    <w:rsid w:val="00C25E94"/>
    <w:rsid w:val="00C271BE"/>
    <w:rsid w:val="00C27425"/>
    <w:rsid w:val="00C27C36"/>
    <w:rsid w:val="00C30D45"/>
    <w:rsid w:val="00C328FE"/>
    <w:rsid w:val="00C32A13"/>
    <w:rsid w:val="00C33A05"/>
    <w:rsid w:val="00C34C3B"/>
    <w:rsid w:val="00C34E39"/>
    <w:rsid w:val="00C35AB0"/>
    <w:rsid w:val="00C36D35"/>
    <w:rsid w:val="00C37A75"/>
    <w:rsid w:val="00C4044D"/>
    <w:rsid w:val="00C40E23"/>
    <w:rsid w:val="00C4133C"/>
    <w:rsid w:val="00C4194B"/>
    <w:rsid w:val="00C41CA8"/>
    <w:rsid w:val="00C42500"/>
    <w:rsid w:val="00C43205"/>
    <w:rsid w:val="00C438DF"/>
    <w:rsid w:val="00C4409D"/>
    <w:rsid w:val="00C455BE"/>
    <w:rsid w:val="00C455EF"/>
    <w:rsid w:val="00C45F01"/>
    <w:rsid w:val="00C50B0E"/>
    <w:rsid w:val="00C5113E"/>
    <w:rsid w:val="00C51E5F"/>
    <w:rsid w:val="00C536B3"/>
    <w:rsid w:val="00C53C8B"/>
    <w:rsid w:val="00C55D58"/>
    <w:rsid w:val="00C56F21"/>
    <w:rsid w:val="00C61E4B"/>
    <w:rsid w:val="00C622D5"/>
    <w:rsid w:val="00C62E3A"/>
    <w:rsid w:val="00C63EA8"/>
    <w:rsid w:val="00C64503"/>
    <w:rsid w:val="00C64A1F"/>
    <w:rsid w:val="00C64BFF"/>
    <w:rsid w:val="00C66559"/>
    <w:rsid w:val="00C677AC"/>
    <w:rsid w:val="00C73D3A"/>
    <w:rsid w:val="00C763C9"/>
    <w:rsid w:val="00C77C6B"/>
    <w:rsid w:val="00C80057"/>
    <w:rsid w:val="00C80A98"/>
    <w:rsid w:val="00C82A8B"/>
    <w:rsid w:val="00C82C79"/>
    <w:rsid w:val="00C82D92"/>
    <w:rsid w:val="00C8399C"/>
    <w:rsid w:val="00C845FA"/>
    <w:rsid w:val="00C84753"/>
    <w:rsid w:val="00C864EB"/>
    <w:rsid w:val="00C91611"/>
    <w:rsid w:val="00C936A0"/>
    <w:rsid w:val="00C94115"/>
    <w:rsid w:val="00C96EDB"/>
    <w:rsid w:val="00C9773F"/>
    <w:rsid w:val="00C977A1"/>
    <w:rsid w:val="00C97C35"/>
    <w:rsid w:val="00CA0FA4"/>
    <w:rsid w:val="00CA26DD"/>
    <w:rsid w:val="00CA3585"/>
    <w:rsid w:val="00CA3D5A"/>
    <w:rsid w:val="00CA4189"/>
    <w:rsid w:val="00CA4628"/>
    <w:rsid w:val="00CA4C7C"/>
    <w:rsid w:val="00CA4DB1"/>
    <w:rsid w:val="00CA582C"/>
    <w:rsid w:val="00CA6AEB"/>
    <w:rsid w:val="00CA7E68"/>
    <w:rsid w:val="00CB0183"/>
    <w:rsid w:val="00CB0FEC"/>
    <w:rsid w:val="00CB11D1"/>
    <w:rsid w:val="00CB18D7"/>
    <w:rsid w:val="00CB1EA3"/>
    <w:rsid w:val="00CB552C"/>
    <w:rsid w:val="00CB6037"/>
    <w:rsid w:val="00CB6123"/>
    <w:rsid w:val="00CB6A9E"/>
    <w:rsid w:val="00CC092C"/>
    <w:rsid w:val="00CC0E85"/>
    <w:rsid w:val="00CC1B1B"/>
    <w:rsid w:val="00CC201A"/>
    <w:rsid w:val="00CC21B5"/>
    <w:rsid w:val="00CC24AE"/>
    <w:rsid w:val="00CC32ED"/>
    <w:rsid w:val="00CC3E70"/>
    <w:rsid w:val="00CC405B"/>
    <w:rsid w:val="00CC5076"/>
    <w:rsid w:val="00CC6181"/>
    <w:rsid w:val="00CC6D5E"/>
    <w:rsid w:val="00CD09E0"/>
    <w:rsid w:val="00CD2BCD"/>
    <w:rsid w:val="00CD36AA"/>
    <w:rsid w:val="00CD3791"/>
    <w:rsid w:val="00CD47EA"/>
    <w:rsid w:val="00CD550E"/>
    <w:rsid w:val="00CD5742"/>
    <w:rsid w:val="00CD65B0"/>
    <w:rsid w:val="00CE02CD"/>
    <w:rsid w:val="00CE08A1"/>
    <w:rsid w:val="00CE10E9"/>
    <w:rsid w:val="00CE2F52"/>
    <w:rsid w:val="00CE5C94"/>
    <w:rsid w:val="00CE5E68"/>
    <w:rsid w:val="00CE65A7"/>
    <w:rsid w:val="00CE790B"/>
    <w:rsid w:val="00CF0A3B"/>
    <w:rsid w:val="00CF1C8E"/>
    <w:rsid w:val="00CF1DF4"/>
    <w:rsid w:val="00CF2A45"/>
    <w:rsid w:val="00CF3274"/>
    <w:rsid w:val="00CF3D85"/>
    <w:rsid w:val="00CF4BD7"/>
    <w:rsid w:val="00CF4F2F"/>
    <w:rsid w:val="00CF550C"/>
    <w:rsid w:val="00CF59C8"/>
    <w:rsid w:val="00CF5D64"/>
    <w:rsid w:val="00CF706E"/>
    <w:rsid w:val="00CF7D7F"/>
    <w:rsid w:val="00D0072E"/>
    <w:rsid w:val="00D015DD"/>
    <w:rsid w:val="00D01621"/>
    <w:rsid w:val="00D01D06"/>
    <w:rsid w:val="00D02EF1"/>
    <w:rsid w:val="00D03B1E"/>
    <w:rsid w:val="00D04BF8"/>
    <w:rsid w:val="00D11ED8"/>
    <w:rsid w:val="00D12671"/>
    <w:rsid w:val="00D13FE7"/>
    <w:rsid w:val="00D1511F"/>
    <w:rsid w:val="00D15727"/>
    <w:rsid w:val="00D15B39"/>
    <w:rsid w:val="00D16332"/>
    <w:rsid w:val="00D16473"/>
    <w:rsid w:val="00D164CB"/>
    <w:rsid w:val="00D17E3C"/>
    <w:rsid w:val="00D202B0"/>
    <w:rsid w:val="00D21E8D"/>
    <w:rsid w:val="00D23C9B"/>
    <w:rsid w:val="00D24972"/>
    <w:rsid w:val="00D2515E"/>
    <w:rsid w:val="00D25B51"/>
    <w:rsid w:val="00D262E1"/>
    <w:rsid w:val="00D26309"/>
    <w:rsid w:val="00D30341"/>
    <w:rsid w:val="00D304A3"/>
    <w:rsid w:val="00D308ED"/>
    <w:rsid w:val="00D35F4B"/>
    <w:rsid w:val="00D36ABC"/>
    <w:rsid w:val="00D408BE"/>
    <w:rsid w:val="00D40D7A"/>
    <w:rsid w:val="00D41771"/>
    <w:rsid w:val="00D42124"/>
    <w:rsid w:val="00D42271"/>
    <w:rsid w:val="00D46F6B"/>
    <w:rsid w:val="00D47045"/>
    <w:rsid w:val="00D512C8"/>
    <w:rsid w:val="00D5265B"/>
    <w:rsid w:val="00D5579A"/>
    <w:rsid w:val="00D56178"/>
    <w:rsid w:val="00D563A0"/>
    <w:rsid w:val="00D56CF0"/>
    <w:rsid w:val="00D56F5C"/>
    <w:rsid w:val="00D61921"/>
    <w:rsid w:val="00D64327"/>
    <w:rsid w:val="00D6585B"/>
    <w:rsid w:val="00D65874"/>
    <w:rsid w:val="00D669AC"/>
    <w:rsid w:val="00D66B9D"/>
    <w:rsid w:val="00D670FC"/>
    <w:rsid w:val="00D704B1"/>
    <w:rsid w:val="00D70B63"/>
    <w:rsid w:val="00D70B8D"/>
    <w:rsid w:val="00D7123D"/>
    <w:rsid w:val="00D720FC"/>
    <w:rsid w:val="00D728A9"/>
    <w:rsid w:val="00D72B92"/>
    <w:rsid w:val="00D72C0A"/>
    <w:rsid w:val="00D72ED4"/>
    <w:rsid w:val="00D73F61"/>
    <w:rsid w:val="00D74279"/>
    <w:rsid w:val="00D75048"/>
    <w:rsid w:val="00D754C0"/>
    <w:rsid w:val="00D76BC5"/>
    <w:rsid w:val="00D772B8"/>
    <w:rsid w:val="00D776A2"/>
    <w:rsid w:val="00D801C4"/>
    <w:rsid w:val="00D81A01"/>
    <w:rsid w:val="00D83158"/>
    <w:rsid w:val="00D84AAE"/>
    <w:rsid w:val="00D85357"/>
    <w:rsid w:val="00D855F9"/>
    <w:rsid w:val="00D85E8C"/>
    <w:rsid w:val="00D90836"/>
    <w:rsid w:val="00D90EB2"/>
    <w:rsid w:val="00D91284"/>
    <w:rsid w:val="00D943F5"/>
    <w:rsid w:val="00D94D0F"/>
    <w:rsid w:val="00D94F0A"/>
    <w:rsid w:val="00D955D6"/>
    <w:rsid w:val="00D95896"/>
    <w:rsid w:val="00D95A75"/>
    <w:rsid w:val="00D95BF8"/>
    <w:rsid w:val="00D95CC6"/>
    <w:rsid w:val="00D96CD9"/>
    <w:rsid w:val="00D9756E"/>
    <w:rsid w:val="00DA0F5C"/>
    <w:rsid w:val="00DA1101"/>
    <w:rsid w:val="00DA16AB"/>
    <w:rsid w:val="00DA1A78"/>
    <w:rsid w:val="00DA2188"/>
    <w:rsid w:val="00DA2DA3"/>
    <w:rsid w:val="00DA3E06"/>
    <w:rsid w:val="00DA4C7C"/>
    <w:rsid w:val="00DA6414"/>
    <w:rsid w:val="00DA6615"/>
    <w:rsid w:val="00DA7436"/>
    <w:rsid w:val="00DA76AE"/>
    <w:rsid w:val="00DB0354"/>
    <w:rsid w:val="00DB0EC7"/>
    <w:rsid w:val="00DB1147"/>
    <w:rsid w:val="00DB15C9"/>
    <w:rsid w:val="00DB181E"/>
    <w:rsid w:val="00DB1C7A"/>
    <w:rsid w:val="00DB2983"/>
    <w:rsid w:val="00DB343D"/>
    <w:rsid w:val="00DB34CA"/>
    <w:rsid w:val="00DB3D0A"/>
    <w:rsid w:val="00DB4AF2"/>
    <w:rsid w:val="00DB5371"/>
    <w:rsid w:val="00DB5579"/>
    <w:rsid w:val="00DB5CFE"/>
    <w:rsid w:val="00DB6D8A"/>
    <w:rsid w:val="00DB7C52"/>
    <w:rsid w:val="00DC0057"/>
    <w:rsid w:val="00DC0403"/>
    <w:rsid w:val="00DC0E60"/>
    <w:rsid w:val="00DC1DEF"/>
    <w:rsid w:val="00DC26D2"/>
    <w:rsid w:val="00DC26DA"/>
    <w:rsid w:val="00DC31C1"/>
    <w:rsid w:val="00DC3FC0"/>
    <w:rsid w:val="00DC5ACD"/>
    <w:rsid w:val="00DC6C8E"/>
    <w:rsid w:val="00DC72A6"/>
    <w:rsid w:val="00DD0B1B"/>
    <w:rsid w:val="00DD2113"/>
    <w:rsid w:val="00DD2363"/>
    <w:rsid w:val="00DD265E"/>
    <w:rsid w:val="00DD268C"/>
    <w:rsid w:val="00DD3666"/>
    <w:rsid w:val="00DD37DF"/>
    <w:rsid w:val="00DD3AE8"/>
    <w:rsid w:val="00DD5ADC"/>
    <w:rsid w:val="00DD6E6C"/>
    <w:rsid w:val="00DD7278"/>
    <w:rsid w:val="00DE1FAA"/>
    <w:rsid w:val="00DE2006"/>
    <w:rsid w:val="00DE2807"/>
    <w:rsid w:val="00DE484C"/>
    <w:rsid w:val="00DE6DEB"/>
    <w:rsid w:val="00DF1930"/>
    <w:rsid w:val="00DF289B"/>
    <w:rsid w:val="00DF514A"/>
    <w:rsid w:val="00DF6B77"/>
    <w:rsid w:val="00E015EE"/>
    <w:rsid w:val="00E0170E"/>
    <w:rsid w:val="00E030BA"/>
    <w:rsid w:val="00E0358D"/>
    <w:rsid w:val="00E051DF"/>
    <w:rsid w:val="00E05524"/>
    <w:rsid w:val="00E05D9D"/>
    <w:rsid w:val="00E06327"/>
    <w:rsid w:val="00E06736"/>
    <w:rsid w:val="00E07878"/>
    <w:rsid w:val="00E113A7"/>
    <w:rsid w:val="00E11C92"/>
    <w:rsid w:val="00E129E9"/>
    <w:rsid w:val="00E135BD"/>
    <w:rsid w:val="00E16AE6"/>
    <w:rsid w:val="00E16BEA"/>
    <w:rsid w:val="00E16C42"/>
    <w:rsid w:val="00E16DDB"/>
    <w:rsid w:val="00E20089"/>
    <w:rsid w:val="00E2064B"/>
    <w:rsid w:val="00E21BCE"/>
    <w:rsid w:val="00E22834"/>
    <w:rsid w:val="00E22C74"/>
    <w:rsid w:val="00E24538"/>
    <w:rsid w:val="00E2473E"/>
    <w:rsid w:val="00E25239"/>
    <w:rsid w:val="00E265B1"/>
    <w:rsid w:val="00E26E4F"/>
    <w:rsid w:val="00E27531"/>
    <w:rsid w:val="00E275B0"/>
    <w:rsid w:val="00E27640"/>
    <w:rsid w:val="00E27789"/>
    <w:rsid w:val="00E3157E"/>
    <w:rsid w:val="00E31DEF"/>
    <w:rsid w:val="00E322F0"/>
    <w:rsid w:val="00E335BD"/>
    <w:rsid w:val="00E34BC9"/>
    <w:rsid w:val="00E36295"/>
    <w:rsid w:val="00E363B3"/>
    <w:rsid w:val="00E368D0"/>
    <w:rsid w:val="00E37882"/>
    <w:rsid w:val="00E409CB"/>
    <w:rsid w:val="00E40A69"/>
    <w:rsid w:val="00E412D0"/>
    <w:rsid w:val="00E41D41"/>
    <w:rsid w:val="00E420C2"/>
    <w:rsid w:val="00E438EA"/>
    <w:rsid w:val="00E43950"/>
    <w:rsid w:val="00E46E76"/>
    <w:rsid w:val="00E47CDB"/>
    <w:rsid w:val="00E501D6"/>
    <w:rsid w:val="00E5467D"/>
    <w:rsid w:val="00E546F5"/>
    <w:rsid w:val="00E54A0E"/>
    <w:rsid w:val="00E54D15"/>
    <w:rsid w:val="00E551F4"/>
    <w:rsid w:val="00E56056"/>
    <w:rsid w:val="00E566BC"/>
    <w:rsid w:val="00E60745"/>
    <w:rsid w:val="00E60982"/>
    <w:rsid w:val="00E60C8D"/>
    <w:rsid w:val="00E60E81"/>
    <w:rsid w:val="00E6162F"/>
    <w:rsid w:val="00E61CE3"/>
    <w:rsid w:val="00E6311B"/>
    <w:rsid w:val="00E64121"/>
    <w:rsid w:val="00E64699"/>
    <w:rsid w:val="00E64A1A"/>
    <w:rsid w:val="00E6589F"/>
    <w:rsid w:val="00E65D97"/>
    <w:rsid w:val="00E67828"/>
    <w:rsid w:val="00E67EFD"/>
    <w:rsid w:val="00E702DC"/>
    <w:rsid w:val="00E70E3A"/>
    <w:rsid w:val="00E71421"/>
    <w:rsid w:val="00E71FFB"/>
    <w:rsid w:val="00E72374"/>
    <w:rsid w:val="00E73B09"/>
    <w:rsid w:val="00E73DCE"/>
    <w:rsid w:val="00E755EA"/>
    <w:rsid w:val="00E76B6A"/>
    <w:rsid w:val="00E76D1D"/>
    <w:rsid w:val="00E8016E"/>
    <w:rsid w:val="00E806F8"/>
    <w:rsid w:val="00E80788"/>
    <w:rsid w:val="00E80EBE"/>
    <w:rsid w:val="00E81A5F"/>
    <w:rsid w:val="00E838AE"/>
    <w:rsid w:val="00E83B9E"/>
    <w:rsid w:val="00E843B8"/>
    <w:rsid w:val="00E8467D"/>
    <w:rsid w:val="00E863AA"/>
    <w:rsid w:val="00E86403"/>
    <w:rsid w:val="00E87752"/>
    <w:rsid w:val="00E8793B"/>
    <w:rsid w:val="00E905A9"/>
    <w:rsid w:val="00E906F0"/>
    <w:rsid w:val="00E90CC3"/>
    <w:rsid w:val="00E90F81"/>
    <w:rsid w:val="00E91A6D"/>
    <w:rsid w:val="00E9242D"/>
    <w:rsid w:val="00E940E6"/>
    <w:rsid w:val="00E94724"/>
    <w:rsid w:val="00E96F72"/>
    <w:rsid w:val="00E97C87"/>
    <w:rsid w:val="00E97CDE"/>
    <w:rsid w:val="00EA0322"/>
    <w:rsid w:val="00EA1B12"/>
    <w:rsid w:val="00EA1C3C"/>
    <w:rsid w:val="00EA1C3E"/>
    <w:rsid w:val="00EA2D3B"/>
    <w:rsid w:val="00EA37F0"/>
    <w:rsid w:val="00EA47BE"/>
    <w:rsid w:val="00EA49B2"/>
    <w:rsid w:val="00EA538B"/>
    <w:rsid w:val="00EB041C"/>
    <w:rsid w:val="00EB0C9E"/>
    <w:rsid w:val="00EB1361"/>
    <w:rsid w:val="00EB281D"/>
    <w:rsid w:val="00EB417F"/>
    <w:rsid w:val="00EB4AE2"/>
    <w:rsid w:val="00EB4E26"/>
    <w:rsid w:val="00EB735B"/>
    <w:rsid w:val="00EC07F1"/>
    <w:rsid w:val="00EC106F"/>
    <w:rsid w:val="00EC16E1"/>
    <w:rsid w:val="00EC2224"/>
    <w:rsid w:val="00EC4023"/>
    <w:rsid w:val="00EC49E3"/>
    <w:rsid w:val="00EC5874"/>
    <w:rsid w:val="00EC6504"/>
    <w:rsid w:val="00EC6D56"/>
    <w:rsid w:val="00EC75CF"/>
    <w:rsid w:val="00EC75EA"/>
    <w:rsid w:val="00ED0DC7"/>
    <w:rsid w:val="00ED1498"/>
    <w:rsid w:val="00ED192D"/>
    <w:rsid w:val="00ED21BF"/>
    <w:rsid w:val="00ED227B"/>
    <w:rsid w:val="00ED2AE0"/>
    <w:rsid w:val="00ED30B4"/>
    <w:rsid w:val="00ED31F5"/>
    <w:rsid w:val="00ED3F6C"/>
    <w:rsid w:val="00ED4B5E"/>
    <w:rsid w:val="00ED4BE6"/>
    <w:rsid w:val="00ED4BF5"/>
    <w:rsid w:val="00ED657D"/>
    <w:rsid w:val="00ED76FE"/>
    <w:rsid w:val="00EE1A0A"/>
    <w:rsid w:val="00EE2953"/>
    <w:rsid w:val="00EE33E2"/>
    <w:rsid w:val="00EE3BD9"/>
    <w:rsid w:val="00EE3BE8"/>
    <w:rsid w:val="00EE3EC6"/>
    <w:rsid w:val="00EE4A13"/>
    <w:rsid w:val="00EE5637"/>
    <w:rsid w:val="00EE5638"/>
    <w:rsid w:val="00EE6D22"/>
    <w:rsid w:val="00EE764A"/>
    <w:rsid w:val="00EF04F5"/>
    <w:rsid w:val="00EF172C"/>
    <w:rsid w:val="00EF2759"/>
    <w:rsid w:val="00EF37FE"/>
    <w:rsid w:val="00EF4128"/>
    <w:rsid w:val="00EF45EB"/>
    <w:rsid w:val="00EF5099"/>
    <w:rsid w:val="00EF5E33"/>
    <w:rsid w:val="00EF65F2"/>
    <w:rsid w:val="00EF7E90"/>
    <w:rsid w:val="00F00075"/>
    <w:rsid w:val="00F015E2"/>
    <w:rsid w:val="00F019E8"/>
    <w:rsid w:val="00F0451F"/>
    <w:rsid w:val="00F07822"/>
    <w:rsid w:val="00F1062B"/>
    <w:rsid w:val="00F10FBE"/>
    <w:rsid w:val="00F1219B"/>
    <w:rsid w:val="00F14A1B"/>
    <w:rsid w:val="00F15C95"/>
    <w:rsid w:val="00F1600A"/>
    <w:rsid w:val="00F16237"/>
    <w:rsid w:val="00F16AD5"/>
    <w:rsid w:val="00F22985"/>
    <w:rsid w:val="00F23730"/>
    <w:rsid w:val="00F241AB"/>
    <w:rsid w:val="00F24530"/>
    <w:rsid w:val="00F25D62"/>
    <w:rsid w:val="00F2613B"/>
    <w:rsid w:val="00F31382"/>
    <w:rsid w:val="00F31E7D"/>
    <w:rsid w:val="00F3512F"/>
    <w:rsid w:val="00F35829"/>
    <w:rsid w:val="00F40814"/>
    <w:rsid w:val="00F42868"/>
    <w:rsid w:val="00F42CBA"/>
    <w:rsid w:val="00F44DA8"/>
    <w:rsid w:val="00F465A7"/>
    <w:rsid w:val="00F50B7C"/>
    <w:rsid w:val="00F51FB5"/>
    <w:rsid w:val="00F5202D"/>
    <w:rsid w:val="00F52CF6"/>
    <w:rsid w:val="00F53DA3"/>
    <w:rsid w:val="00F53EEF"/>
    <w:rsid w:val="00F54035"/>
    <w:rsid w:val="00F54496"/>
    <w:rsid w:val="00F54914"/>
    <w:rsid w:val="00F55ECD"/>
    <w:rsid w:val="00F56367"/>
    <w:rsid w:val="00F61097"/>
    <w:rsid w:val="00F611CA"/>
    <w:rsid w:val="00F62B02"/>
    <w:rsid w:val="00F63309"/>
    <w:rsid w:val="00F63660"/>
    <w:rsid w:val="00F64758"/>
    <w:rsid w:val="00F70984"/>
    <w:rsid w:val="00F70DFD"/>
    <w:rsid w:val="00F718D4"/>
    <w:rsid w:val="00F73BAE"/>
    <w:rsid w:val="00F73FCD"/>
    <w:rsid w:val="00F74345"/>
    <w:rsid w:val="00F74441"/>
    <w:rsid w:val="00F749A9"/>
    <w:rsid w:val="00F74D9C"/>
    <w:rsid w:val="00F769AE"/>
    <w:rsid w:val="00F77F30"/>
    <w:rsid w:val="00F80BB6"/>
    <w:rsid w:val="00F80D6E"/>
    <w:rsid w:val="00F8243D"/>
    <w:rsid w:val="00F82589"/>
    <w:rsid w:val="00F82B19"/>
    <w:rsid w:val="00F82C8D"/>
    <w:rsid w:val="00F82F2B"/>
    <w:rsid w:val="00F83B7D"/>
    <w:rsid w:val="00F840E0"/>
    <w:rsid w:val="00F8523A"/>
    <w:rsid w:val="00F861B7"/>
    <w:rsid w:val="00F90AA7"/>
    <w:rsid w:val="00F90E41"/>
    <w:rsid w:val="00F9212D"/>
    <w:rsid w:val="00F92A40"/>
    <w:rsid w:val="00F94830"/>
    <w:rsid w:val="00F96A2C"/>
    <w:rsid w:val="00FA0658"/>
    <w:rsid w:val="00FA2F95"/>
    <w:rsid w:val="00FA301A"/>
    <w:rsid w:val="00FA39D2"/>
    <w:rsid w:val="00FA406A"/>
    <w:rsid w:val="00FA4702"/>
    <w:rsid w:val="00FA47EA"/>
    <w:rsid w:val="00FA4D86"/>
    <w:rsid w:val="00FA5659"/>
    <w:rsid w:val="00FA5A9F"/>
    <w:rsid w:val="00FA5CB6"/>
    <w:rsid w:val="00FB5DC9"/>
    <w:rsid w:val="00FB6772"/>
    <w:rsid w:val="00FB6DE0"/>
    <w:rsid w:val="00FB6E07"/>
    <w:rsid w:val="00FC0501"/>
    <w:rsid w:val="00FC1656"/>
    <w:rsid w:val="00FC3554"/>
    <w:rsid w:val="00FC47EE"/>
    <w:rsid w:val="00FC4C30"/>
    <w:rsid w:val="00FC5B00"/>
    <w:rsid w:val="00FC5E92"/>
    <w:rsid w:val="00FC66AC"/>
    <w:rsid w:val="00FD1590"/>
    <w:rsid w:val="00FD18F4"/>
    <w:rsid w:val="00FD233C"/>
    <w:rsid w:val="00FD5F60"/>
    <w:rsid w:val="00FD6239"/>
    <w:rsid w:val="00FD74B4"/>
    <w:rsid w:val="00FD76A8"/>
    <w:rsid w:val="00FE0993"/>
    <w:rsid w:val="00FE1376"/>
    <w:rsid w:val="00FE1C80"/>
    <w:rsid w:val="00FE433E"/>
    <w:rsid w:val="00FE49C3"/>
    <w:rsid w:val="00FE7708"/>
    <w:rsid w:val="00FE79CA"/>
    <w:rsid w:val="00FF049E"/>
    <w:rsid w:val="00FF51B1"/>
    <w:rsid w:val="00FF5C46"/>
    <w:rsid w:val="00FF6FCE"/>
    <w:rsid w:val="00FF7518"/>
    <w:rsid w:val="00FF7FD8"/>
    <w:rsid w:val="038F0A59"/>
    <w:rsid w:val="05742AC8"/>
    <w:rsid w:val="06352F05"/>
    <w:rsid w:val="063E7D85"/>
    <w:rsid w:val="070875E0"/>
    <w:rsid w:val="07293586"/>
    <w:rsid w:val="07295285"/>
    <w:rsid w:val="07770C56"/>
    <w:rsid w:val="092217DD"/>
    <w:rsid w:val="093A7294"/>
    <w:rsid w:val="0BD27BF6"/>
    <w:rsid w:val="0E110D06"/>
    <w:rsid w:val="0F13775A"/>
    <w:rsid w:val="0F9A112B"/>
    <w:rsid w:val="106D2F64"/>
    <w:rsid w:val="10B63710"/>
    <w:rsid w:val="111C2F7A"/>
    <w:rsid w:val="113013DE"/>
    <w:rsid w:val="122B06C2"/>
    <w:rsid w:val="13951726"/>
    <w:rsid w:val="14396509"/>
    <w:rsid w:val="1447165C"/>
    <w:rsid w:val="14957C2A"/>
    <w:rsid w:val="16F10FA9"/>
    <w:rsid w:val="17735226"/>
    <w:rsid w:val="1A1C66C0"/>
    <w:rsid w:val="1A42393B"/>
    <w:rsid w:val="1B046F80"/>
    <w:rsid w:val="1B3267B5"/>
    <w:rsid w:val="1BC25DC8"/>
    <w:rsid w:val="1C5E7925"/>
    <w:rsid w:val="1C887FC8"/>
    <w:rsid w:val="1D5F6196"/>
    <w:rsid w:val="1D6132A5"/>
    <w:rsid w:val="1D8E56D5"/>
    <w:rsid w:val="1E7A43DA"/>
    <w:rsid w:val="1EB277FE"/>
    <w:rsid w:val="1FC77071"/>
    <w:rsid w:val="1FE7539E"/>
    <w:rsid w:val="20963CB8"/>
    <w:rsid w:val="20B07FB6"/>
    <w:rsid w:val="213B74B1"/>
    <w:rsid w:val="215A2310"/>
    <w:rsid w:val="21DE318A"/>
    <w:rsid w:val="21EF5B80"/>
    <w:rsid w:val="22576990"/>
    <w:rsid w:val="229C4EAB"/>
    <w:rsid w:val="252D53FE"/>
    <w:rsid w:val="25EC2D81"/>
    <w:rsid w:val="264528BD"/>
    <w:rsid w:val="27B131E1"/>
    <w:rsid w:val="27D15DD1"/>
    <w:rsid w:val="28A76295"/>
    <w:rsid w:val="29206EB8"/>
    <w:rsid w:val="29E325E0"/>
    <w:rsid w:val="2A452503"/>
    <w:rsid w:val="2B8B283E"/>
    <w:rsid w:val="2BA936A8"/>
    <w:rsid w:val="2C315A5A"/>
    <w:rsid w:val="2D9E56F5"/>
    <w:rsid w:val="2E667F96"/>
    <w:rsid w:val="2E8226AB"/>
    <w:rsid w:val="2F832C79"/>
    <w:rsid w:val="2FEF2D58"/>
    <w:rsid w:val="30580BC9"/>
    <w:rsid w:val="311E2ED7"/>
    <w:rsid w:val="315C449C"/>
    <w:rsid w:val="31B82709"/>
    <w:rsid w:val="32400B34"/>
    <w:rsid w:val="329E6876"/>
    <w:rsid w:val="33D934D4"/>
    <w:rsid w:val="33FE2F6A"/>
    <w:rsid w:val="36074A7F"/>
    <w:rsid w:val="36923549"/>
    <w:rsid w:val="36B75FBF"/>
    <w:rsid w:val="36FB4891"/>
    <w:rsid w:val="38F12CD3"/>
    <w:rsid w:val="38F94775"/>
    <w:rsid w:val="392971ED"/>
    <w:rsid w:val="3B3763D1"/>
    <w:rsid w:val="3CDA245A"/>
    <w:rsid w:val="3CEE0A37"/>
    <w:rsid w:val="3F660E74"/>
    <w:rsid w:val="407A6407"/>
    <w:rsid w:val="423A3BCC"/>
    <w:rsid w:val="42542091"/>
    <w:rsid w:val="433A6FE6"/>
    <w:rsid w:val="4350713C"/>
    <w:rsid w:val="436653E0"/>
    <w:rsid w:val="44CD14E0"/>
    <w:rsid w:val="458946E9"/>
    <w:rsid w:val="46D955A7"/>
    <w:rsid w:val="47133957"/>
    <w:rsid w:val="4779329E"/>
    <w:rsid w:val="47A07E0C"/>
    <w:rsid w:val="4870272E"/>
    <w:rsid w:val="487C6DD3"/>
    <w:rsid w:val="49DC7715"/>
    <w:rsid w:val="4A023139"/>
    <w:rsid w:val="4A7B576F"/>
    <w:rsid w:val="4C4A0649"/>
    <w:rsid w:val="4CE470D3"/>
    <w:rsid w:val="4DEC4FB0"/>
    <w:rsid w:val="4E075D8A"/>
    <w:rsid w:val="4FC62A8C"/>
    <w:rsid w:val="4FE20F0D"/>
    <w:rsid w:val="50504C4B"/>
    <w:rsid w:val="509C6E7C"/>
    <w:rsid w:val="5162104E"/>
    <w:rsid w:val="53A039CC"/>
    <w:rsid w:val="53A1505A"/>
    <w:rsid w:val="54063E08"/>
    <w:rsid w:val="543437E8"/>
    <w:rsid w:val="559B174B"/>
    <w:rsid w:val="55CE0CF4"/>
    <w:rsid w:val="56B22A9C"/>
    <w:rsid w:val="57B72A76"/>
    <w:rsid w:val="59874AA8"/>
    <w:rsid w:val="5A3C747D"/>
    <w:rsid w:val="5ABE2233"/>
    <w:rsid w:val="5B276D18"/>
    <w:rsid w:val="5BDF5D95"/>
    <w:rsid w:val="5DF87A0F"/>
    <w:rsid w:val="5F1A2B43"/>
    <w:rsid w:val="5FB837BB"/>
    <w:rsid w:val="62364782"/>
    <w:rsid w:val="63D40BE9"/>
    <w:rsid w:val="63E0211F"/>
    <w:rsid w:val="65373578"/>
    <w:rsid w:val="673F2C7A"/>
    <w:rsid w:val="681F6961"/>
    <w:rsid w:val="68610A2F"/>
    <w:rsid w:val="68622EBE"/>
    <w:rsid w:val="68805514"/>
    <w:rsid w:val="694E2071"/>
    <w:rsid w:val="697A3B33"/>
    <w:rsid w:val="699E2456"/>
    <w:rsid w:val="6B322639"/>
    <w:rsid w:val="6C636C38"/>
    <w:rsid w:val="6D28709B"/>
    <w:rsid w:val="6DB34098"/>
    <w:rsid w:val="6DB545B6"/>
    <w:rsid w:val="6E4375A0"/>
    <w:rsid w:val="6E514CED"/>
    <w:rsid w:val="6E79491A"/>
    <w:rsid w:val="6EB563D5"/>
    <w:rsid w:val="6F225983"/>
    <w:rsid w:val="6F2B5282"/>
    <w:rsid w:val="6FFC5590"/>
    <w:rsid w:val="70301DA3"/>
    <w:rsid w:val="706D1DD0"/>
    <w:rsid w:val="70856B87"/>
    <w:rsid w:val="70D527EE"/>
    <w:rsid w:val="71141580"/>
    <w:rsid w:val="715B5300"/>
    <w:rsid w:val="715F4BD7"/>
    <w:rsid w:val="71D27F8A"/>
    <w:rsid w:val="71F744C6"/>
    <w:rsid w:val="71F960CF"/>
    <w:rsid w:val="731F5D5E"/>
    <w:rsid w:val="741E793C"/>
    <w:rsid w:val="758D75E2"/>
    <w:rsid w:val="77762421"/>
    <w:rsid w:val="780F09F4"/>
    <w:rsid w:val="789C4F47"/>
    <w:rsid w:val="78A90480"/>
    <w:rsid w:val="79811327"/>
    <w:rsid w:val="7A364017"/>
    <w:rsid w:val="7A8265E1"/>
    <w:rsid w:val="7B686D42"/>
    <w:rsid w:val="7B841746"/>
    <w:rsid w:val="7D0239FF"/>
    <w:rsid w:val="7D5E40CD"/>
    <w:rsid w:val="7D693BED"/>
    <w:rsid w:val="7FE47E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ocked="1"/>
    <w:lsdException w:qFormat="1" w:unhideWhenUsed="0" w:uiPriority="0" w:semiHidden="0" w:name="heading 3" w:locked="1"/>
    <w:lsdException w:qFormat="1" w:unhideWhenUsed="0" w:uiPriority="0" w:semiHidden="0" w:name="heading 4" w:locked="1"/>
    <w:lsdException w:qFormat="1" w:unhideWhenUsed="0" w:uiPriority="0" w:semiHidden="0" w:name="heading 5" w:locked="1"/>
    <w:lsdException w:qFormat="1" w:unhideWhenUsed="0" w:uiPriority="0" w:semiHidden="0" w:name="heading 6" w:locked="1"/>
    <w:lsdException w:qFormat="1" w:unhideWhenUsed="0" w:uiPriority="0" w:semiHidden="0" w:name="heading 7" w:locked="1"/>
    <w:lsdException w:qFormat="1" w:unhideWhenUsed="0" w:uiPriority="0" w:semiHidden="0" w:name="heading 8" w:locked="1"/>
    <w:lsdException w:qFormat="1" w:unhideWhenUsed="0" w:uiPriority="0" w:semiHidden="0" w:name="heading 9" w:locked="1"/>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ocked="1"/>
    <w:lsdException w:qFormat="1" w:unhideWhenUsed="0" w:uiPriority="0" w:semiHidden="0" w:name="toc 2" w:locked="1"/>
    <w:lsdException w:qFormat="1"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nhideWhenUsed="0" w:uiPriority="0" w:semiHidden="0" w:name="caption" w:locked="1"/>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qFormat="1"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ocked="1"/>
    <w:lsdException w:unhideWhenUsed="0" w:uiPriority="0" w:semiHidden="0" w:name="Closing"/>
    <w:lsdException w:unhideWhenUsed="0" w:uiPriority="0" w:semiHidden="0" w:name="Signature"/>
    <w:lsdException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ocked="1"/>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ocked="1"/>
    <w:lsdException w:qFormat="1" w:unhideWhenUsed="0" w:uiPriority="0" w:semiHidden="0" w:name="Emphasis" w:locked="1"/>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iPriority="0" w:name="HTML Variable"/>
    <w:lsdException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qFormat="1" w:uiPriority="99" w:semiHidden="0"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52"/>
    <w:qFormat/>
    <w:uiPriority w:val="0"/>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4">
    <w:name w:val="heading 2"/>
    <w:basedOn w:val="1"/>
    <w:next w:val="1"/>
    <w:link w:val="53"/>
    <w:qFormat/>
    <w:locked/>
    <w:uiPriority w:val="0"/>
    <w:pPr>
      <w:keepNext/>
      <w:keepLines/>
      <w:spacing w:before="260" w:after="260" w:line="416" w:lineRule="auto"/>
      <w:outlineLvl w:val="1"/>
    </w:pPr>
    <w:rPr>
      <w:rFonts w:ascii="Arial" w:hAnsi="Arial" w:eastAsia="黑体"/>
      <w:b/>
      <w:bCs/>
      <w:sz w:val="32"/>
      <w:szCs w:val="32"/>
    </w:rPr>
  </w:style>
  <w:style w:type="paragraph" w:styleId="5">
    <w:name w:val="heading 3"/>
    <w:basedOn w:val="1"/>
    <w:next w:val="1"/>
    <w:link w:val="54"/>
    <w:qFormat/>
    <w:locked/>
    <w:uiPriority w:val="0"/>
    <w:pPr>
      <w:keepNext/>
      <w:keepLines/>
      <w:spacing w:before="260" w:after="260" w:line="416" w:lineRule="auto"/>
      <w:outlineLvl w:val="2"/>
    </w:pPr>
    <w:rPr>
      <w:rFonts w:ascii="Calibri" w:hAnsi="Calibri"/>
      <w:b/>
      <w:bCs/>
      <w:sz w:val="32"/>
      <w:szCs w:val="32"/>
    </w:rPr>
  </w:style>
  <w:style w:type="paragraph" w:styleId="6">
    <w:name w:val="heading 4"/>
    <w:basedOn w:val="1"/>
    <w:next w:val="1"/>
    <w:link w:val="55"/>
    <w:qFormat/>
    <w:locked/>
    <w:uiPriority w:val="0"/>
    <w:pPr>
      <w:keepNext/>
      <w:keepLines/>
      <w:spacing w:before="280" w:after="290" w:line="376" w:lineRule="auto"/>
      <w:outlineLvl w:val="3"/>
    </w:pPr>
    <w:rPr>
      <w:rFonts w:ascii="等线 Light" w:hAnsi="等线 Light" w:eastAsia="等线 Light"/>
      <w:b/>
      <w:bCs/>
      <w:sz w:val="28"/>
      <w:szCs w:val="28"/>
    </w:rPr>
  </w:style>
  <w:style w:type="paragraph" w:styleId="7">
    <w:name w:val="heading 5"/>
    <w:basedOn w:val="1"/>
    <w:next w:val="1"/>
    <w:link w:val="56"/>
    <w:qFormat/>
    <w:locked/>
    <w:uiPriority w:val="0"/>
    <w:pPr>
      <w:keepNext/>
      <w:keepLines/>
      <w:spacing w:before="280" w:after="290" w:line="376" w:lineRule="auto"/>
      <w:outlineLvl w:val="4"/>
    </w:pPr>
    <w:rPr>
      <w:rFonts w:ascii="Calibri" w:hAnsi="Calibri"/>
      <w:b/>
      <w:bCs/>
      <w:sz w:val="28"/>
      <w:szCs w:val="28"/>
    </w:rPr>
  </w:style>
  <w:style w:type="paragraph" w:styleId="8">
    <w:name w:val="heading 6"/>
    <w:basedOn w:val="1"/>
    <w:next w:val="1"/>
    <w:link w:val="57"/>
    <w:qFormat/>
    <w:locked/>
    <w:uiPriority w:val="0"/>
    <w:pPr>
      <w:keepNext/>
      <w:keepLines/>
      <w:spacing w:before="240" w:after="64" w:line="320" w:lineRule="auto"/>
      <w:outlineLvl w:val="5"/>
    </w:pPr>
    <w:rPr>
      <w:rFonts w:ascii="Arial" w:hAnsi="Arial" w:eastAsia="黑体"/>
      <w:b/>
      <w:bCs/>
      <w:sz w:val="24"/>
    </w:rPr>
  </w:style>
  <w:style w:type="paragraph" w:styleId="9">
    <w:name w:val="heading 7"/>
    <w:basedOn w:val="1"/>
    <w:next w:val="1"/>
    <w:link w:val="58"/>
    <w:qFormat/>
    <w:locked/>
    <w:uiPriority w:val="0"/>
    <w:pPr>
      <w:keepNext/>
      <w:keepLines/>
      <w:spacing w:before="240" w:after="64" w:line="320" w:lineRule="auto"/>
      <w:outlineLvl w:val="6"/>
    </w:pPr>
    <w:rPr>
      <w:rFonts w:ascii="Calibri" w:hAnsi="Calibri"/>
      <w:b/>
      <w:bCs/>
      <w:sz w:val="24"/>
    </w:rPr>
  </w:style>
  <w:style w:type="paragraph" w:styleId="10">
    <w:name w:val="heading 8"/>
    <w:basedOn w:val="1"/>
    <w:next w:val="1"/>
    <w:link w:val="59"/>
    <w:qFormat/>
    <w:locked/>
    <w:uiPriority w:val="0"/>
    <w:pPr>
      <w:keepNext/>
      <w:keepLines/>
      <w:spacing w:before="240" w:after="64" w:line="320" w:lineRule="auto"/>
      <w:outlineLvl w:val="7"/>
    </w:pPr>
    <w:rPr>
      <w:rFonts w:ascii="Arial" w:hAnsi="Arial" w:eastAsia="黑体"/>
      <w:sz w:val="24"/>
    </w:rPr>
  </w:style>
  <w:style w:type="paragraph" w:styleId="11">
    <w:name w:val="heading 9"/>
    <w:basedOn w:val="1"/>
    <w:next w:val="1"/>
    <w:link w:val="60"/>
    <w:qFormat/>
    <w:locked/>
    <w:uiPriority w:val="0"/>
    <w:pPr>
      <w:keepNext/>
      <w:keepLines/>
      <w:spacing w:before="240" w:after="64" w:line="320" w:lineRule="auto"/>
      <w:outlineLvl w:val="8"/>
    </w:pPr>
    <w:rPr>
      <w:rFonts w:ascii="Arial" w:hAnsi="Arial" w:eastAsia="黑体"/>
      <w:szCs w:val="21"/>
    </w:rPr>
  </w:style>
  <w:style w:type="character" w:default="1" w:styleId="44">
    <w:name w:val="Default Paragraph Font"/>
    <w:semiHidden/>
    <w:unhideWhenUsed/>
    <w:uiPriority w:val="1"/>
  </w:style>
  <w:style w:type="table" w:default="1" w:styleId="42">
    <w:name w:val="Normal Table"/>
    <w:semiHidden/>
    <w:unhideWhenUsed/>
    <w:uiPriority w:val="99"/>
    <w:tblPr>
      <w:tblCellMar>
        <w:top w:w="0" w:type="dxa"/>
        <w:left w:w="108" w:type="dxa"/>
        <w:bottom w:w="0" w:type="dxa"/>
        <w:right w:w="108" w:type="dxa"/>
      </w:tblCellMar>
    </w:tblPr>
  </w:style>
  <w:style w:type="paragraph" w:styleId="2">
    <w:name w:val="macro"/>
    <w:link w:val="51"/>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eastAsia="宋体" w:cs="Courier New"/>
      <w:kern w:val="2"/>
      <w:sz w:val="24"/>
      <w:szCs w:val="24"/>
      <w:lang w:val="en-US" w:eastAsia="zh-CN" w:bidi="ar-SA"/>
    </w:rPr>
  </w:style>
  <w:style w:type="paragraph" w:styleId="12">
    <w:name w:val="Note Heading"/>
    <w:basedOn w:val="1"/>
    <w:next w:val="1"/>
    <w:link w:val="61"/>
    <w:qFormat/>
    <w:uiPriority w:val="0"/>
    <w:pPr>
      <w:jc w:val="center"/>
    </w:pPr>
    <w:rPr>
      <w:rFonts w:ascii="Calibri" w:hAnsi="Calibri"/>
    </w:rPr>
  </w:style>
  <w:style w:type="paragraph" w:styleId="13">
    <w:name w:val="Normal Indent"/>
    <w:basedOn w:val="1"/>
    <w:next w:val="6"/>
    <w:link w:val="62"/>
    <w:qFormat/>
    <w:uiPriority w:val="0"/>
    <w:pPr>
      <w:spacing w:line="240" w:lineRule="atLeast"/>
      <w:ind w:firstLine="420"/>
    </w:pPr>
    <w:rPr>
      <w:rFonts w:ascii="Calibri" w:hAnsi="Calibri"/>
      <w:kern w:val="0"/>
      <w:sz w:val="28"/>
      <w:szCs w:val="20"/>
    </w:rPr>
  </w:style>
  <w:style w:type="paragraph" w:styleId="14">
    <w:name w:val="caption"/>
    <w:basedOn w:val="1"/>
    <w:next w:val="1"/>
    <w:qFormat/>
    <w:locked/>
    <w:uiPriority w:val="0"/>
    <w:rPr>
      <w:rFonts w:ascii="Arial" w:hAnsi="Arial" w:eastAsia="黑体" w:cs="Arial"/>
      <w:sz w:val="20"/>
      <w:szCs w:val="20"/>
    </w:rPr>
  </w:style>
  <w:style w:type="paragraph" w:styleId="15">
    <w:name w:val="Document Map"/>
    <w:basedOn w:val="1"/>
    <w:link w:val="63"/>
    <w:qFormat/>
    <w:uiPriority w:val="0"/>
    <w:pPr>
      <w:shd w:val="clear" w:color="auto" w:fill="000080"/>
    </w:pPr>
    <w:rPr>
      <w:rFonts w:ascii="Calibri" w:hAnsi="Calibri"/>
    </w:rPr>
  </w:style>
  <w:style w:type="paragraph" w:styleId="16">
    <w:name w:val="annotation text"/>
    <w:basedOn w:val="1"/>
    <w:link w:val="64"/>
    <w:qFormat/>
    <w:uiPriority w:val="0"/>
    <w:pPr>
      <w:jc w:val="left"/>
    </w:pPr>
    <w:rPr>
      <w:kern w:val="0"/>
      <w:sz w:val="20"/>
    </w:rPr>
  </w:style>
  <w:style w:type="paragraph" w:styleId="17">
    <w:name w:val="Salutation"/>
    <w:basedOn w:val="1"/>
    <w:next w:val="1"/>
    <w:link w:val="65"/>
    <w:qFormat/>
    <w:uiPriority w:val="0"/>
    <w:rPr>
      <w:rFonts w:ascii="Calibri" w:hAnsi="Calibri"/>
    </w:rPr>
  </w:style>
  <w:style w:type="paragraph" w:styleId="18">
    <w:name w:val="Body Text 3"/>
    <w:basedOn w:val="1"/>
    <w:link w:val="66"/>
    <w:qFormat/>
    <w:uiPriority w:val="0"/>
    <w:pPr>
      <w:spacing w:line="440" w:lineRule="exact"/>
    </w:pPr>
    <w:rPr>
      <w:rFonts w:ascii="宋体" w:hAnsi="宋体"/>
      <w:sz w:val="28"/>
    </w:rPr>
  </w:style>
  <w:style w:type="paragraph" w:styleId="19">
    <w:name w:val="Body Text"/>
    <w:basedOn w:val="1"/>
    <w:link w:val="67"/>
    <w:qFormat/>
    <w:uiPriority w:val="0"/>
    <w:pPr>
      <w:widowControl/>
      <w:snapToGrid w:val="0"/>
      <w:spacing w:before="60" w:after="160" w:line="259" w:lineRule="auto"/>
      <w:ind w:right="113"/>
    </w:pPr>
    <w:rPr>
      <w:kern w:val="0"/>
      <w:sz w:val="18"/>
      <w:szCs w:val="18"/>
    </w:rPr>
  </w:style>
  <w:style w:type="paragraph" w:styleId="20">
    <w:name w:val="Body Text Indent"/>
    <w:basedOn w:val="1"/>
    <w:link w:val="68"/>
    <w:qFormat/>
    <w:uiPriority w:val="0"/>
    <w:pPr>
      <w:spacing w:after="120"/>
      <w:ind w:left="420" w:leftChars="200"/>
    </w:pPr>
  </w:style>
  <w:style w:type="paragraph" w:styleId="21">
    <w:name w:val="List 2"/>
    <w:basedOn w:val="1"/>
    <w:qFormat/>
    <w:uiPriority w:val="0"/>
    <w:pPr>
      <w:ind w:left="840" w:hanging="420"/>
    </w:pPr>
    <w:rPr>
      <w:rFonts w:ascii="Calibri" w:hAnsi="Calibri"/>
      <w:sz w:val="26"/>
    </w:rPr>
  </w:style>
  <w:style w:type="paragraph" w:styleId="22">
    <w:name w:val="toc 3"/>
    <w:basedOn w:val="1"/>
    <w:next w:val="1"/>
    <w:qFormat/>
    <w:locked/>
    <w:uiPriority w:val="0"/>
    <w:pPr>
      <w:widowControl/>
      <w:tabs>
        <w:tab w:val="left" w:pos="1200"/>
        <w:tab w:val="right" w:leader="dot" w:pos="8493"/>
      </w:tabs>
      <w:overflowPunct w:val="0"/>
      <w:autoSpaceDE w:val="0"/>
      <w:autoSpaceDN w:val="0"/>
      <w:adjustRightInd w:val="0"/>
      <w:spacing w:line="360" w:lineRule="auto"/>
      <w:ind w:left="403"/>
      <w:jc w:val="left"/>
      <w:textAlignment w:val="baseline"/>
    </w:pPr>
    <w:rPr>
      <w:rFonts w:ascii="Calibri" w:hAnsi="Calibri"/>
      <w:kern w:val="0"/>
      <w:sz w:val="24"/>
    </w:rPr>
  </w:style>
  <w:style w:type="paragraph" w:styleId="23">
    <w:name w:val="Plain Text"/>
    <w:basedOn w:val="1"/>
    <w:link w:val="69"/>
    <w:qFormat/>
    <w:uiPriority w:val="0"/>
    <w:pPr>
      <w:widowControl/>
      <w:spacing w:before="100" w:beforeAutospacing="1" w:after="100" w:afterAutospacing="1"/>
      <w:jc w:val="left"/>
    </w:pPr>
    <w:rPr>
      <w:rFonts w:ascii="宋体" w:hAnsi="宋体"/>
      <w:kern w:val="0"/>
      <w:sz w:val="24"/>
    </w:rPr>
  </w:style>
  <w:style w:type="paragraph" w:styleId="24">
    <w:name w:val="Date"/>
    <w:basedOn w:val="1"/>
    <w:next w:val="1"/>
    <w:link w:val="70"/>
    <w:qFormat/>
    <w:uiPriority w:val="0"/>
    <w:pPr>
      <w:ind w:left="100" w:leftChars="2500"/>
    </w:pPr>
    <w:rPr>
      <w:kern w:val="0"/>
      <w:sz w:val="20"/>
    </w:rPr>
  </w:style>
  <w:style w:type="paragraph" w:styleId="25">
    <w:name w:val="Body Text Indent 2"/>
    <w:basedOn w:val="1"/>
    <w:link w:val="71"/>
    <w:qFormat/>
    <w:uiPriority w:val="0"/>
    <w:pPr>
      <w:spacing w:after="120" w:line="480" w:lineRule="auto"/>
      <w:ind w:left="420" w:leftChars="200"/>
    </w:pPr>
  </w:style>
  <w:style w:type="paragraph" w:styleId="26">
    <w:name w:val="Balloon Text"/>
    <w:basedOn w:val="1"/>
    <w:link w:val="72"/>
    <w:semiHidden/>
    <w:qFormat/>
    <w:uiPriority w:val="0"/>
    <w:rPr>
      <w:sz w:val="18"/>
      <w:szCs w:val="18"/>
    </w:rPr>
  </w:style>
  <w:style w:type="paragraph" w:styleId="27">
    <w:name w:val="footer"/>
    <w:basedOn w:val="1"/>
    <w:link w:val="73"/>
    <w:qFormat/>
    <w:uiPriority w:val="0"/>
    <w:pPr>
      <w:tabs>
        <w:tab w:val="center" w:pos="4153"/>
        <w:tab w:val="right" w:pos="8306"/>
      </w:tabs>
      <w:snapToGrid w:val="0"/>
      <w:jc w:val="left"/>
    </w:pPr>
    <w:rPr>
      <w:sz w:val="18"/>
      <w:szCs w:val="18"/>
    </w:rPr>
  </w:style>
  <w:style w:type="paragraph" w:styleId="28">
    <w:name w:val="header"/>
    <w:basedOn w:val="1"/>
    <w:link w:val="74"/>
    <w:qFormat/>
    <w:uiPriority w:val="99"/>
    <w:pPr>
      <w:pBdr>
        <w:bottom w:val="single" w:color="auto" w:sz="6" w:space="1"/>
      </w:pBdr>
      <w:tabs>
        <w:tab w:val="center" w:pos="4153"/>
        <w:tab w:val="right" w:pos="8306"/>
      </w:tabs>
      <w:snapToGrid w:val="0"/>
      <w:jc w:val="center"/>
    </w:pPr>
    <w:rPr>
      <w:sz w:val="18"/>
      <w:szCs w:val="18"/>
    </w:rPr>
  </w:style>
  <w:style w:type="paragraph" w:styleId="29">
    <w:name w:val="toc 1"/>
    <w:basedOn w:val="1"/>
    <w:next w:val="1"/>
    <w:qFormat/>
    <w:locked/>
    <w:uiPriority w:val="0"/>
    <w:pPr>
      <w:adjustRightInd w:val="0"/>
      <w:snapToGrid w:val="0"/>
      <w:spacing w:line="240" w:lineRule="atLeast"/>
      <w:textAlignment w:val="baseline"/>
    </w:pPr>
    <w:rPr>
      <w:rFonts w:ascii="宋体" w:hAnsi="宋体"/>
      <w:kern w:val="0"/>
      <w:szCs w:val="20"/>
    </w:rPr>
  </w:style>
  <w:style w:type="paragraph" w:styleId="30">
    <w:name w:val="Subtitle"/>
    <w:basedOn w:val="1"/>
    <w:next w:val="1"/>
    <w:link w:val="75"/>
    <w:qFormat/>
    <w:locked/>
    <w:uiPriority w:val="0"/>
    <w:pPr>
      <w:jc w:val="center"/>
    </w:pPr>
    <w:rPr>
      <w:rFonts w:ascii="Calibri" w:hAnsi="Calibri"/>
      <w:bCs/>
      <w:kern w:val="28"/>
      <w:sz w:val="20"/>
      <w:szCs w:val="32"/>
    </w:rPr>
  </w:style>
  <w:style w:type="paragraph" w:styleId="31">
    <w:name w:val="List"/>
    <w:basedOn w:val="1"/>
    <w:qFormat/>
    <w:uiPriority w:val="0"/>
    <w:pPr>
      <w:ind w:left="420" w:hanging="420"/>
    </w:pPr>
    <w:rPr>
      <w:sz w:val="28"/>
      <w:szCs w:val="20"/>
    </w:rPr>
  </w:style>
  <w:style w:type="paragraph" w:styleId="32">
    <w:name w:val="Body Text Indent 3"/>
    <w:basedOn w:val="1"/>
    <w:link w:val="76"/>
    <w:qFormat/>
    <w:uiPriority w:val="0"/>
    <w:pPr>
      <w:ind w:firstLine="646"/>
    </w:pPr>
    <w:rPr>
      <w:rFonts w:ascii="仿宋_GB2312" w:hAnsi="Calibri" w:eastAsia="仿宋_GB2312"/>
      <w:sz w:val="28"/>
    </w:rPr>
  </w:style>
  <w:style w:type="paragraph" w:styleId="33">
    <w:name w:val="toc 2"/>
    <w:basedOn w:val="1"/>
    <w:next w:val="1"/>
    <w:qFormat/>
    <w:locked/>
    <w:uiPriority w:val="0"/>
    <w:pPr>
      <w:ind w:left="420" w:leftChars="200"/>
    </w:pPr>
    <w:rPr>
      <w:rFonts w:ascii="Calibri" w:hAnsi="Calibri"/>
    </w:rPr>
  </w:style>
  <w:style w:type="paragraph" w:styleId="34">
    <w:name w:val="Body Text 2"/>
    <w:basedOn w:val="1"/>
    <w:link w:val="77"/>
    <w:qFormat/>
    <w:uiPriority w:val="0"/>
    <w:pPr>
      <w:spacing w:after="120" w:line="480" w:lineRule="auto"/>
    </w:pPr>
    <w:rPr>
      <w:rFonts w:ascii="Calibri" w:hAnsi="Calibri"/>
    </w:rPr>
  </w:style>
  <w:style w:type="paragraph" w:styleId="35">
    <w:name w:val="HTML Preformatted"/>
    <w:basedOn w:val="1"/>
    <w:link w:val="78"/>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36">
    <w:name w:val="Normal (Web)"/>
    <w:basedOn w:val="1"/>
    <w:link w:val="79"/>
    <w:qFormat/>
    <w:uiPriority w:val="99"/>
    <w:pPr>
      <w:widowControl/>
      <w:spacing w:before="100" w:beforeAutospacing="1" w:after="100" w:afterAutospacing="1"/>
      <w:jc w:val="left"/>
    </w:pPr>
    <w:rPr>
      <w:rFonts w:ascii="宋体" w:hAnsi="宋体"/>
      <w:kern w:val="0"/>
      <w:sz w:val="24"/>
    </w:rPr>
  </w:style>
  <w:style w:type="paragraph" w:styleId="37">
    <w:name w:val="index 1"/>
    <w:basedOn w:val="1"/>
    <w:next w:val="1"/>
    <w:qFormat/>
    <w:uiPriority w:val="0"/>
    <w:pPr>
      <w:adjustRightInd w:val="0"/>
      <w:spacing w:line="240" w:lineRule="atLeast"/>
      <w:jc w:val="center"/>
      <w:textAlignment w:val="baseline"/>
    </w:pPr>
    <w:rPr>
      <w:rFonts w:ascii="宋体" w:hAnsi="宋体"/>
      <w:kern w:val="0"/>
      <w:szCs w:val="20"/>
    </w:rPr>
  </w:style>
  <w:style w:type="paragraph" w:styleId="38">
    <w:name w:val="Title"/>
    <w:basedOn w:val="1"/>
    <w:next w:val="1"/>
    <w:link w:val="80"/>
    <w:qFormat/>
    <w:locked/>
    <w:uiPriority w:val="0"/>
    <w:pPr>
      <w:spacing w:line="360" w:lineRule="auto"/>
      <w:jc w:val="center"/>
    </w:pPr>
    <w:rPr>
      <w:rFonts w:ascii="Calibri" w:hAnsi="Calibri"/>
      <w:b/>
      <w:bCs/>
      <w:kern w:val="0"/>
      <w:sz w:val="20"/>
      <w:szCs w:val="32"/>
    </w:rPr>
  </w:style>
  <w:style w:type="paragraph" w:styleId="39">
    <w:name w:val="annotation subject"/>
    <w:basedOn w:val="16"/>
    <w:next w:val="16"/>
    <w:link w:val="81"/>
    <w:qFormat/>
    <w:uiPriority w:val="0"/>
    <w:rPr>
      <w:b/>
      <w:bCs/>
    </w:rPr>
  </w:style>
  <w:style w:type="paragraph" w:styleId="40">
    <w:name w:val="Body Text First Indent"/>
    <w:basedOn w:val="19"/>
    <w:link w:val="82"/>
    <w:qFormat/>
    <w:uiPriority w:val="0"/>
    <w:pPr>
      <w:widowControl w:val="0"/>
      <w:snapToGrid/>
      <w:spacing w:before="0" w:after="120" w:line="240" w:lineRule="auto"/>
      <w:ind w:right="0" w:firstLine="420" w:firstLineChars="100"/>
    </w:pPr>
    <w:rPr>
      <w:rFonts w:hAnsi="Calibri"/>
      <w:kern w:val="2"/>
      <w:sz w:val="21"/>
      <w:szCs w:val="24"/>
    </w:rPr>
  </w:style>
  <w:style w:type="paragraph" w:styleId="41">
    <w:name w:val="Body Text First Indent 2"/>
    <w:basedOn w:val="20"/>
    <w:link w:val="83"/>
    <w:qFormat/>
    <w:uiPriority w:val="0"/>
    <w:pPr>
      <w:ind w:firstLine="420" w:firstLineChars="200"/>
    </w:pPr>
    <w:rPr>
      <w:rFonts w:ascii="Calibri" w:hAnsi="Calibri"/>
    </w:rPr>
  </w:style>
  <w:style w:type="table" w:styleId="43">
    <w:name w:val="Table Grid"/>
    <w:basedOn w:val="4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5">
    <w:name w:val="Strong"/>
    <w:qFormat/>
    <w:locked/>
    <w:uiPriority w:val="0"/>
    <w:rPr>
      <w:b/>
      <w:bCs/>
    </w:rPr>
  </w:style>
  <w:style w:type="character" w:styleId="46">
    <w:name w:val="page number"/>
    <w:qFormat/>
    <w:uiPriority w:val="0"/>
  </w:style>
  <w:style w:type="character" w:styleId="47">
    <w:name w:val="FollowedHyperlink"/>
    <w:qFormat/>
    <w:uiPriority w:val="0"/>
    <w:rPr>
      <w:color w:val="800080"/>
      <w:u w:val="single"/>
    </w:rPr>
  </w:style>
  <w:style w:type="character" w:styleId="48">
    <w:name w:val="Emphasis"/>
    <w:qFormat/>
    <w:locked/>
    <w:uiPriority w:val="0"/>
    <w:rPr>
      <w:color w:val="C60A00"/>
    </w:rPr>
  </w:style>
  <w:style w:type="character" w:styleId="49">
    <w:name w:val="Hyperlink"/>
    <w:qFormat/>
    <w:uiPriority w:val="0"/>
    <w:rPr>
      <w:color w:val="3333FF"/>
      <w:u w:val="single"/>
    </w:rPr>
  </w:style>
  <w:style w:type="character" w:styleId="50">
    <w:name w:val="annotation reference"/>
    <w:qFormat/>
    <w:uiPriority w:val="0"/>
    <w:rPr>
      <w:sz w:val="21"/>
    </w:rPr>
  </w:style>
  <w:style w:type="character" w:customStyle="1" w:styleId="51">
    <w:name w:val="宏文本 字符"/>
    <w:link w:val="2"/>
    <w:qFormat/>
    <w:uiPriority w:val="0"/>
    <w:rPr>
      <w:rFonts w:ascii="Courier New" w:hAnsi="Courier New" w:cs="Courier New"/>
      <w:kern w:val="2"/>
      <w:sz w:val="24"/>
      <w:szCs w:val="24"/>
    </w:rPr>
  </w:style>
  <w:style w:type="character" w:customStyle="1" w:styleId="52">
    <w:name w:val="标题 1 字符"/>
    <w:link w:val="3"/>
    <w:qFormat/>
    <w:uiPriority w:val="0"/>
    <w:rPr>
      <w:rFonts w:eastAsia="黑体"/>
      <w:b/>
      <w:bCs/>
      <w:color w:val="000000"/>
      <w:kern w:val="44"/>
      <w:sz w:val="30"/>
      <w:szCs w:val="30"/>
    </w:rPr>
  </w:style>
  <w:style w:type="character" w:customStyle="1" w:styleId="53">
    <w:name w:val="标题 2 字符"/>
    <w:link w:val="4"/>
    <w:qFormat/>
    <w:uiPriority w:val="0"/>
    <w:rPr>
      <w:rFonts w:ascii="Arial" w:hAnsi="Arial" w:eastAsia="黑体"/>
      <w:b/>
      <w:bCs/>
      <w:kern w:val="2"/>
      <w:sz w:val="32"/>
      <w:szCs w:val="32"/>
    </w:rPr>
  </w:style>
  <w:style w:type="character" w:customStyle="1" w:styleId="54">
    <w:name w:val="标题 3 字符"/>
    <w:link w:val="5"/>
    <w:qFormat/>
    <w:uiPriority w:val="0"/>
    <w:rPr>
      <w:rFonts w:ascii="Calibri" w:hAnsi="Calibri"/>
      <w:b/>
      <w:bCs/>
      <w:kern w:val="2"/>
      <w:sz w:val="32"/>
      <w:szCs w:val="32"/>
    </w:rPr>
  </w:style>
  <w:style w:type="character" w:customStyle="1" w:styleId="55">
    <w:name w:val="标题 4 字符"/>
    <w:link w:val="6"/>
    <w:qFormat/>
    <w:uiPriority w:val="0"/>
    <w:rPr>
      <w:rFonts w:ascii="等线 Light" w:hAnsi="等线 Light" w:eastAsia="等线 Light" w:cs="Times New Roman"/>
      <w:b/>
      <w:bCs/>
      <w:kern w:val="2"/>
      <w:sz w:val="28"/>
      <w:szCs w:val="28"/>
    </w:rPr>
  </w:style>
  <w:style w:type="character" w:customStyle="1" w:styleId="56">
    <w:name w:val="标题 5 字符"/>
    <w:link w:val="7"/>
    <w:qFormat/>
    <w:uiPriority w:val="0"/>
    <w:rPr>
      <w:rFonts w:ascii="Calibri" w:hAnsi="Calibri"/>
      <w:b/>
      <w:bCs/>
      <w:kern w:val="2"/>
      <w:sz w:val="28"/>
      <w:szCs w:val="28"/>
    </w:rPr>
  </w:style>
  <w:style w:type="character" w:customStyle="1" w:styleId="57">
    <w:name w:val="标题 6 字符"/>
    <w:link w:val="8"/>
    <w:qFormat/>
    <w:uiPriority w:val="0"/>
    <w:rPr>
      <w:rFonts w:ascii="Arial" w:hAnsi="Arial" w:eastAsia="黑体"/>
      <w:b/>
      <w:bCs/>
      <w:kern w:val="2"/>
      <w:sz w:val="24"/>
      <w:szCs w:val="24"/>
    </w:rPr>
  </w:style>
  <w:style w:type="character" w:customStyle="1" w:styleId="58">
    <w:name w:val="标题 7 字符"/>
    <w:link w:val="9"/>
    <w:qFormat/>
    <w:uiPriority w:val="0"/>
    <w:rPr>
      <w:rFonts w:ascii="Calibri" w:hAnsi="Calibri"/>
      <w:b/>
      <w:bCs/>
      <w:kern w:val="2"/>
      <w:sz w:val="24"/>
      <w:szCs w:val="24"/>
    </w:rPr>
  </w:style>
  <w:style w:type="character" w:customStyle="1" w:styleId="59">
    <w:name w:val="标题 8 字符"/>
    <w:link w:val="10"/>
    <w:qFormat/>
    <w:uiPriority w:val="0"/>
    <w:rPr>
      <w:rFonts w:ascii="Arial" w:hAnsi="Arial" w:eastAsia="黑体"/>
      <w:kern w:val="2"/>
      <w:sz w:val="24"/>
      <w:szCs w:val="24"/>
    </w:rPr>
  </w:style>
  <w:style w:type="character" w:customStyle="1" w:styleId="60">
    <w:name w:val="标题 9 字符"/>
    <w:link w:val="11"/>
    <w:qFormat/>
    <w:uiPriority w:val="0"/>
    <w:rPr>
      <w:rFonts w:ascii="Arial" w:hAnsi="Arial" w:eastAsia="黑体"/>
      <w:kern w:val="2"/>
      <w:sz w:val="21"/>
      <w:szCs w:val="21"/>
    </w:rPr>
  </w:style>
  <w:style w:type="character" w:customStyle="1" w:styleId="61">
    <w:name w:val="注释标题 字符"/>
    <w:link w:val="12"/>
    <w:qFormat/>
    <w:uiPriority w:val="0"/>
    <w:rPr>
      <w:rFonts w:ascii="Calibri" w:hAnsi="Calibri"/>
      <w:kern w:val="2"/>
      <w:sz w:val="21"/>
      <w:szCs w:val="24"/>
    </w:rPr>
  </w:style>
  <w:style w:type="character" w:customStyle="1" w:styleId="62">
    <w:name w:val="正文缩进 字符"/>
    <w:link w:val="13"/>
    <w:qFormat/>
    <w:uiPriority w:val="0"/>
    <w:rPr>
      <w:rFonts w:ascii="Calibri" w:hAnsi="Calibri"/>
      <w:sz w:val="28"/>
    </w:rPr>
  </w:style>
  <w:style w:type="character" w:customStyle="1" w:styleId="63">
    <w:name w:val="文档结构图 字符"/>
    <w:link w:val="15"/>
    <w:qFormat/>
    <w:uiPriority w:val="0"/>
    <w:rPr>
      <w:rFonts w:ascii="Calibri" w:hAnsi="Calibri"/>
      <w:kern w:val="2"/>
      <w:sz w:val="21"/>
      <w:szCs w:val="24"/>
      <w:shd w:val="clear" w:color="auto" w:fill="000080"/>
    </w:rPr>
  </w:style>
  <w:style w:type="character" w:customStyle="1" w:styleId="64">
    <w:name w:val="批注文字 字符"/>
    <w:link w:val="16"/>
    <w:qFormat/>
    <w:locked/>
    <w:uiPriority w:val="0"/>
    <w:rPr>
      <w:rFonts w:ascii="Times New Roman" w:hAnsi="Times New Roman" w:eastAsia="宋体"/>
      <w:sz w:val="24"/>
    </w:rPr>
  </w:style>
  <w:style w:type="character" w:customStyle="1" w:styleId="65">
    <w:name w:val="称呼 字符"/>
    <w:link w:val="17"/>
    <w:qFormat/>
    <w:uiPriority w:val="0"/>
    <w:rPr>
      <w:rFonts w:ascii="Calibri" w:hAnsi="Calibri"/>
      <w:kern w:val="2"/>
      <w:sz w:val="21"/>
      <w:szCs w:val="24"/>
    </w:rPr>
  </w:style>
  <w:style w:type="character" w:customStyle="1" w:styleId="66">
    <w:name w:val="正文文本 3 字符"/>
    <w:link w:val="18"/>
    <w:qFormat/>
    <w:uiPriority w:val="0"/>
    <w:rPr>
      <w:rFonts w:ascii="宋体" w:hAnsi="宋体"/>
      <w:kern w:val="2"/>
      <w:sz w:val="28"/>
      <w:szCs w:val="24"/>
    </w:rPr>
  </w:style>
  <w:style w:type="character" w:customStyle="1" w:styleId="67">
    <w:name w:val="正文文本 字符"/>
    <w:link w:val="19"/>
    <w:qFormat/>
    <w:locked/>
    <w:uiPriority w:val="0"/>
    <w:rPr>
      <w:sz w:val="18"/>
    </w:rPr>
  </w:style>
  <w:style w:type="character" w:customStyle="1" w:styleId="68">
    <w:name w:val="正文文本缩进 字符"/>
    <w:link w:val="20"/>
    <w:qFormat/>
    <w:locked/>
    <w:uiPriority w:val="0"/>
    <w:rPr>
      <w:rFonts w:ascii="Times New Roman" w:hAnsi="Times New Roman" w:eastAsia="宋体" w:cs="Times New Roman"/>
      <w:sz w:val="24"/>
      <w:szCs w:val="24"/>
    </w:rPr>
  </w:style>
  <w:style w:type="character" w:customStyle="1" w:styleId="69">
    <w:name w:val="纯文本 字符"/>
    <w:link w:val="23"/>
    <w:qFormat/>
    <w:uiPriority w:val="0"/>
    <w:rPr>
      <w:rFonts w:ascii="宋体" w:hAnsi="宋体"/>
      <w:sz w:val="24"/>
      <w:szCs w:val="24"/>
    </w:rPr>
  </w:style>
  <w:style w:type="character" w:customStyle="1" w:styleId="70">
    <w:name w:val="日期 字符1"/>
    <w:link w:val="24"/>
    <w:qFormat/>
    <w:locked/>
    <w:uiPriority w:val="0"/>
    <w:rPr>
      <w:rFonts w:ascii="Times New Roman" w:hAnsi="Times New Roman" w:eastAsia="宋体"/>
      <w:sz w:val="24"/>
    </w:rPr>
  </w:style>
  <w:style w:type="character" w:customStyle="1" w:styleId="71">
    <w:name w:val="正文文本缩进 2 字符"/>
    <w:link w:val="25"/>
    <w:qFormat/>
    <w:uiPriority w:val="0"/>
    <w:rPr>
      <w:kern w:val="2"/>
      <w:sz w:val="21"/>
      <w:szCs w:val="24"/>
    </w:rPr>
  </w:style>
  <w:style w:type="character" w:customStyle="1" w:styleId="72">
    <w:name w:val="批注框文本 字符"/>
    <w:link w:val="26"/>
    <w:qFormat/>
    <w:locked/>
    <w:uiPriority w:val="0"/>
    <w:rPr>
      <w:rFonts w:ascii="Times New Roman" w:hAnsi="Times New Roman" w:eastAsia="宋体" w:cs="Times New Roman"/>
      <w:sz w:val="18"/>
      <w:szCs w:val="18"/>
    </w:rPr>
  </w:style>
  <w:style w:type="character" w:customStyle="1" w:styleId="73">
    <w:name w:val="页脚 字符"/>
    <w:link w:val="27"/>
    <w:qFormat/>
    <w:locked/>
    <w:uiPriority w:val="0"/>
    <w:rPr>
      <w:rFonts w:cs="Times New Roman"/>
      <w:sz w:val="18"/>
      <w:szCs w:val="18"/>
    </w:rPr>
  </w:style>
  <w:style w:type="character" w:customStyle="1" w:styleId="74">
    <w:name w:val="页眉 字符"/>
    <w:link w:val="28"/>
    <w:qFormat/>
    <w:locked/>
    <w:uiPriority w:val="99"/>
    <w:rPr>
      <w:rFonts w:cs="Times New Roman"/>
      <w:sz w:val="18"/>
      <w:szCs w:val="18"/>
    </w:rPr>
  </w:style>
  <w:style w:type="character" w:customStyle="1" w:styleId="75">
    <w:name w:val="副标题 字符"/>
    <w:link w:val="30"/>
    <w:qFormat/>
    <w:uiPriority w:val="0"/>
    <w:rPr>
      <w:rFonts w:ascii="Calibri" w:hAnsi="Calibri"/>
      <w:bCs/>
      <w:kern w:val="28"/>
      <w:szCs w:val="32"/>
    </w:rPr>
  </w:style>
  <w:style w:type="character" w:customStyle="1" w:styleId="76">
    <w:name w:val="正文文本缩进 3 字符"/>
    <w:link w:val="32"/>
    <w:qFormat/>
    <w:uiPriority w:val="0"/>
    <w:rPr>
      <w:rFonts w:ascii="仿宋_GB2312" w:hAnsi="Calibri" w:eastAsia="仿宋_GB2312"/>
      <w:kern w:val="2"/>
      <w:sz w:val="28"/>
      <w:szCs w:val="24"/>
    </w:rPr>
  </w:style>
  <w:style w:type="character" w:customStyle="1" w:styleId="77">
    <w:name w:val="正文文本 2 字符"/>
    <w:link w:val="34"/>
    <w:qFormat/>
    <w:uiPriority w:val="0"/>
    <w:rPr>
      <w:rFonts w:ascii="Calibri" w:hAnsi="Calibri"/>
      <w:kern w:val="2"/>
      <w:sz w:val="21"/>
      <w:szCs w:val="24"/>
    </w:rPr>
  </w:style>
  <w:style w:type="character" w:customStyle="1" w:styleId="78">
    <w:name w:val="HTML 预设格式 字符"/>
    <w:link w:val="35"/>
    <w:uiPriority w:val="0"/>
    <w:rPr>
      <w:rFonts w:ascii="宋体" w:hAnsi="宋体" w:cs="宋体"/>
      <w:sz w:val="24"/>
      <w:szCs w:val="24"/>
    </w:rPr>
  </w:style>
  <w:style w:type="character" w:customStyle="1" w:styleId="79">
    <w:name w:val="普通(网站) 字符"/>
    <w:link w:val="36"/>
    <w:qFormat/>
    <w:locked/>
    <w:uiPriority w:val="0"/>
    <w:rPr>
      <w:rFonts w:ascii="宋体" w:hAnsi="宋体" w:eastAsia="宋体"/>
      <w:sz w:val="24"/>
    </w:rPr>
  </w:style>
  <w:style w:type="character" w:customStyle="1" w:styleId="80">
    <w:name w:val="标题 字符"/>
    <w:link w:val="38"/>
    <w:uiPriority w:val="0"/>
    <w:rPr>
      <w:rFonts w:ascii="Calibri" w:hAnsi="Calibri"/>
      <w:b/>
      <w:bCs/>
      <w:szCs w:val="32"/>
    </w:rPr>
  </w:style>
  <w:style w:type="character" w:customStyle="1" w:styleId="81">
    <w:name w:val="批注主题 字符"/>
    <w:link w:val="39"/>
    <w:qFormat/>
    <w:locked/>
    <w:uiPriority w:val="0"/>
    <w:rPr>
      <w:rFonts w:ascii="Times New Roman" w:hAnsi="Times New Roman" w:eastAsia="宋体" w:cs="Times New Roman"/>
      <w:b/>
      <w:bCs/>
      <w:kern w:val="2"/>
      <w:sz w:val="24"/>
      <w:szCs w:val="24"/>
    </w:rPr>
  </w:style>
  <w:style w:type="character" w:customStyle="1" w:styleId="82">
    <w:name w:val="正文首行缩进 字符"/>
    <w:link w:val="40"/>
    <w:qFormat/>
    <w:uiPriority w:val="0"/>
    <w:rPr>
      <w:rFonts w:hAnsi="Calibri"/>
      <w:kern w:val="2"/>
      <w:sz w:val="21"/>
      <w:szCs w:val="24"/>
    </w:rPr>
  </w:style>
  <w:style w:type="character" w:customStyle="1" w:styleId="83">
    <w:name w:val="正文首行缩进 2 字符"/>
    <w:link w:val="41"/>
    <w:qFormat/>
    <w:uiPriority w:val="0"/>
    <w:rPr>
      <w:rFonts w:ascii="Calibri" w:hAnsi="Calibri" w:eastAsia="宋体" w:cs="Times New Roman"/>
      <w:kern w:val="2"/>
      <w:sz w:val="21"/>
      <w:szCs w:val="24"/>
    </w:rPr>
  </w:style>
  <w:style w:type="character" w:customStyle="1" w:styleId="84">
    <w:name w:val="表格1 Char"/>
    <w:link w:val="85"/>
    <w:qFormat/>
    <w:uiPriority w:val="0"/>
    <w:rPr>
      <w:rFonts w:ascii="宋体" w:hAnsi="Calibri"/>
      <w:sz w:val="24"/>
    </w:rPr>
  </w:style>
  <w:style w:type="paragraph" w:customStyle="1" w:styleId="85">
    <w:name w:val="表格1"/>
    <w:basedOn w:val="1"/>
    <w:link w:val="84"/>
    <w:qFormat/>
    <w:uiPriority w:val="0"/>
    <w:pPr>
      <w:adjustRightInd w:val="0"/>
      <w:jc w:val="center"/>
      <w:textAlignment w:val="baseline"/>
    </w:pPr>
    <w:rPr>
      <w:rFonts w:ascii="宋体" w:hAnsi="Calibri"/>
      <w:kern w:val="0"/>
      <w:sz w:val="24"/>
      <w:szCs w:val="20"/>
    </w:rPr>
  </w:style>
  <w:style w:type="character" w:customStyle="1" w:styleId="86">
    <w:name w:val="表头样式1 Char Char"/>
    <w:qFormat/>
    <w:uiPriority w:val="0"/>
    <w:rPr>
      <w:rFonts w:hint="default" w:ascii="Times New Roman" w:hAnsi="Times New Roman" w:eastAsia="黑体" w:cs="Times New Roman"/>
      <w:b/>
      <w:sz w:val="20"/>
    </w:rPr>
  </w:style>
  <w:style w:type="character" w:customStyle="1" w:styleId="87">
    <w:name w:val="样式 标题ljm + 首行缩进:  2 字符 Char Char"/>
    <w:qFormat/>
    <w:uiPriority w:val="0"/>
    <w:rPr>
      <w:rFonts w:hint="default" w:ascii="Times New Roman" w:hAnsi="Times New Roman" w:cs="Times New Roman"/>
      <w:b/>
    </w:rPr>
  </w:style>
  <w:style w:type="character" w:customStyle="1" w:styleId="88">
    <w:name w:val="样式 表（或图）标题 样式 宋体 五号 居中 SL CON + 非加粗 Char Char"/>
    <w:qFormat/>
    <w:uiPriority w:val="0"/>
    <w:rPr>
      <w:b/>
      <w:sz w:val="21"/>
    </w:rPr>
  </w:style>
  <w:style w:type="character" w:customStyle="1" w:styleId="89">
    <w:name w:val="表格样式 Char"/>
    <w:link w:val="90"/>
    <w:qFormat/>
    <w:uiPriority w:val="0"/>
    <w:rPr>
      <w:kern w:val="2"/>
      <w:sz w:val="21"/>
      <w:szCs w:val="24"/>
    </w:rPr>
  </w:style>
  <w:style w:type="paragraph" w:customStyle="1" w:styleId="90">
    <w:name w:val="表格样式"/>
    <w:basedOn w:val="1"/>
    <w:link w:val="89"/>
    <w:qFormat/>
    <w:uiPriority w:val="0"/>
    <w:pPr>
      <w:spacing w:line="320" w:lineRule="exact"/>
      <w:contextualSpacing/>
      <w:jc w:val="center"/>
    </w:pPr>
  </w:style>
  <w:style w:type="character" w:customStyle="1" w:styleId="91">
    <w:name w:val="title8"/>
    <w:qFormat/>
    <w:uiPriority w:val="0"/>
  </w:style>
  <w:style w:type="character" w:customStyle="1" w:styleId="92">
    <w:name w:val="03表格文字 Char"/>
    <w:link w:val="93"/>
    <w:qFormat/>
    <w:uiPriority w:val="0"/>
    <w:rPr>
      <w:kern w:val="2"/>
      <w:sz w:val="22"/>
      <w:szCs w:val="22"/>
    </w:rPr>
  </w:style>
  <w:style w:type="paragraph" w:customStyle="1" w:styleId="93">
    <w:name w:val="03表格文字"/>
    <w:basedOn w:val="1"/>
    <w:link w:val="92"/>
    <w:qFormat/>
    <w:uiPriority w:val="0"/>
    <w:pPr>
      <w:adjustRightInd w:val="0"/>
      <w:snapToGrid w:val="0"/>
      <w:spacing w:line="360" w:lineRule="exact"/>
      <w:jc w:val="center"/>
    </w:pPr>
    <w:rPr>
      <w:sz w:val="22"/>
      <w:szCs w:val="22"/>
    </w:rPr>
  </w:style>
  <w:style w:type="character" w:customStyle="1" w:styleId="94">
    <w:name w:val="题注 Char"/>
    <w:qFormat/>
    <w:uiPriority w:val="0"/>
    <w:rPr>
      <w:rFonts w:hint="default" w:ascii="Arial" w:hAnsi="Arial" w:eastAsia="黑体" w:cs="Arial"/>
    </w:rPr>
  </w:style>
  <w:style w:type="character" w:customStyle="1" w:styleId="95">
    <w:name w:val="07报告文本 Char"/>
    <w:link w:val="96"/>
    <w:qFormat/>
    <w:uiPriority w:val="0"/>
    <w:rPr>
      <w:kern w:val="2"/>
      <w:sz w:val="24"/>
      <w:szCs w:val="28"/>
    </w:rPr>
  </w:style>
  <w:style w:type="paragraph" w:customStyle="1" w:styleId="96">
    <w:name w:val="07报告文本"/>
    <w:basedOn w:val="1"/>
    <w:link w:val="95"/>
    <w:qFormat/>
    <w:uiPriority w:val="0"/>
    <w:pPr>
      <w:spacing w:line="460" w:lineRule="exact"/>
      <w:ind w:firstLine="200" w:firstLineChars="200"/>
    </w:pPr>
    <w:rPr>
      <w:sz w:val="24"/>
      <w:szCs w:val="28"/>
    </w:rPr>
  </w:style>
  <w:style w:type="character" w:customStyle="1" w:styleId="97">
    <w:name w:val="01表格 Char"/>
    <w:qFormat/>
    <w:uiPriority w:val="0"/>
    <w:rPr>
      <w:rFonts w:hint="default" w:ascii="Arial" w:hAnsi="Arial" w:eastAsia="黑体" w:cs="Arial"/>
      <w:b/>
      <w:sz w:val="21"/>
    </w:rPr>
  </w:style>
  <w:style w:type="character" w:customStyle="1" w:styleId="98">
    <w:name w:val="表内字 Char Char"/>
    <w:link w:val="99"/>
    <w:qFormat/>
    <w:uiPriority w:val="0"/>
    <w:rPr>
      <w:kern w:val="2"/>
      <w:sz w:val="22"/>
      <w:szCs w:val="21"/>
    </w:rPr>
  </w:style>
  <w:style w:type="paragraph" w:customStyle="1" w:styleId="99">
    <w:name w:val="表内字"/>
    <w:basedOn w:val="100"/>
    <w:link w:val="98"/>
    <w:qFormat/>
    <w:uiPriority w:val="0"/>
    <w:pPr>
      <w:adjustRightInd/>
      <w:snapToGrid/>
      <w:spacing w:beforeLines="0" w:afterLines="0" w:line="240" w:lineRule="auto"/>
    </w:pPr>
    <w:rPr>
      <w:rFonts w:ascii="Times New Roman"/>
      <w:kern w:val="2"/>
      <w:sz w:val="22"/>
    </w:rPr>
  </w:style>
  <w:style w:type="paragraph" w:customStyle="1" w:styleId="100">
    <w:name w:val="表格"/>
    <w:basedOn w:val="1"/>
    <w:next w:val="1"/>
    <w:link w:val="101"/>
    <w:qFormat/>
    <w:uiPriority w:val="0"/>
    <w:pPr>
      <w:adjustRightInd w:val="0"/>
      <w:snapToGrid w:val="0"/>
      <w:spacing w:beforeLines="10" w:afterLines="10" w:line="259" w:lineRule="auto"/>
      <w:jc w:val="center"/>
    </w:pPr>
    <w:rPr>
      <w:rFonts w:ascii="宋体"/>
      <w:kern w:val="0"/>
      <w:sz w:val="20"/>
      <w:szCs w:val="21"/>
    </w:rPr>
  </w:style>
  <w:style w:type="character" w:customStyle="1" w:styleId="101">
    <w:name w:val="表格 Char"/>
    <w:link w:val="100"/>
    <w:qFormat/>
    <w:locked/>
    <w:uiPriority w:val="0"/>
    <w:rPr>
      <w:rFonts w:ascii="宋体"/>
      <w:sz w:val="21"/>
    </w:rPr>
  </w:style>
  <w:style w:type="character" w:customStyle="1" w:styleId="102">
    <w:name w:val="表内文字 样式 五号 居中 行距: 单倍行距 SL CON Char"/>
    <w:qFormat/>
    <w:uiPriority w:val="0"/>
    <w:rPr>
      <w:sz w:val="21"/>
    </w:rPr>
  </w:style>
  <w:style w:type="character" w:customStyle="1" w:styleId="103">
    <w:name w:val="正文缩进 Char2"/>
    <w:qFormat/>
    <w:uiPriority w:val="0"/>
    <w:rPr>
      <w:rFonts w:hint="default" w:ascii="Times New Roman" w:hAnsi="Times New Roman" w:cs="Times New Roman"/>
    </w:rPr>
  </w:style>
  <w:style w:type="character" w:customStyle="1" w:styleId="104">
    <w:name w:val="批注文字 字符1"/>
    <w:semiHidden/>
    <w:qFormat/>
    <w:uiPriority w:val="0"/>
    <w:rPr>
      <w:rFonts w:ascii="Times New Roman" w:hAnsi="Times New Roman" w:eastAsia="宋体" w:cs="Times New Roman"/>
      <w:sz w:val="24"/>
      <w:szCs w:val="24"/>
    </w:rPr>
  </w:style>
  <w:style w:type="character" w:customStyle="1" w:styleId="105">
    <w:name w:val="表头样式1 Char"/>
    <w:qFormat/>
    <w:uiPriority w:val="0"/>
    <w:rPr>
      <w:rFonts w:hint="default" w:ascii="Times New Roman" w:hAnsi="Times New Roman" w:eastAsia="黑体" w:cs="Times New Roman"/>
      <w:b/>
    </w:rPr>
  </w:style>
  <w:style w:type="character" w:customStyle="1" w:styleId="106">
    <w:name w:val="font21"/>
    <w:qFormat/>
    <w:uiPriority w:val="0"/>
    <w:rPr>
      <w:rFonts w:hint="default" w:ascii="Times New Roman" w:hAnsi="Times New Roman" w:cs="Times New Roman"/>
      <w:b/>
      <w:color w:val="000000"/>
      <w:sz w:val="24"/>
      <w:szCs w:val="24"/>
      <w:u w:val="none"/>
      <w:vertAlign w:val="superscript"/>
    </w:rPr>
  </w:style>
  <w:style w:type="character" w:customStyle="1" w:styleId="107">
    <w:name w:val="我的正文 Char"/>
    <w:qFormat/>
    <w:uiPriority w:val="0"/>
    <w:rPr>
      <w:rFonts w:hint="eastAsia" w:ascii="宋体" w:hAnsi="宋体" w:eastAsia="宋体" w:cs="宋体"/>
      <w:color w:val="000000"/>
      <w:kern w:val="2"/>
      <w:sz w:val="24"/>
    </w:rPr>
  </w:style>
  <w:style w:type="character" w:customStyle="1" w:styleId="108">
    <w:name w:val="正文文本缩进 2 Char1"/>
    <w:qFormat/>
    <w:uiPriority w:val="0"/>
    <w:rPr>
      <w:sz w:val="24"/>
    </w:rPr>
  </w:style>
  <w:style w:type="character" w:customStyle="1" w:styleId="109">
    <w:name w:val="图题 表题 Char"/>
    <w:qFormat/>
    <w:uiPriority w:val="0"/>
    <w:rPr>
      <w:rFonts w:hint="default" w:ascii="Times New Roman" w:hAnsi="Times New Roman" w:cs="Times New Roman"/>
      <w:b/>
      <w:kern w:val="2"/>
      <w:sz w:val="21"/>
    </w:rPr>
  </w:style>
  <w:style w:type="character" w:customStyle="1" w:styleId="110">
    <w:name w:val="表格表格 Char"/>
    <w:link w:val="111"/>
    <w:qFormat/>
    <w:uiPriority w:val="0"/>
    <w:rPr>
      <w:rFonts w:cs="宋体"/>
      <w:color w:val="000000"/>
      <w:sz w:val="21"/>
      <w:szCs w:val="21"/>
    </w:rPr>
  </w:style>
  <w:style w:type="paragraph" w:customStyle="1" w:styleId="111">
    <w:name w:val="表格表格"/>
    <w:basedOn w:val="1"/>
    <w:link w:val="110"/>
    <w:qFormat/>
    <w:uiPriority w:val="0"/>
    <w:pPr>
      <w:jc w:val="left"/>
    </w:pPr>
    <w:rPr>
      <w:rFonts w:cs="宋体"/>
      <w:color w:val="000000"/>
      <w:kern w:val="0"/>
      <w:szCs w:val="21"/>
    </w:rPr>
  </w:style>
  <w:style w:type="character" w:customStyle="1" w:styleId="112">
    <w:name w:val="日期 Char"/>
    <w:qFormat/>
    <w:uiPriority w:val="0"/>
    <w:rPr>
      <w:rFonts w:hint="eastAsia" w:ascii="宋体" w:hAnsi="Courier New" w:eastAsia="宋体" w:cs="宋体"/>
      <w:sz w:val="28"/>
    </w:rPr>
  </w:style>
  <w:style w:type="character" w:customStyle="1" w:styleId="113">
    <w:name w:val="样式9 Char"/>
    <w:qFormat/>
    <w:uiPriority w:val="0"/>
    <w:rPr>
      <w:rFonts w:hint="default" w:ascii="Times New Roman" w:hAnsi="Times New Roman" w:cs="Times New Roman"/>
      <w:sz w:val="26"/>
    </w:rPr>
  </w:style>
  <w:style w:type="character" w:customStyle="1" w:styleId="114">
    <w:name w:val="Heading 2 Char"/>
    <w:qFormat/>
    <w:uiPriority w:val="0"/>
    <w:rPr>
      <w:rFonts w:hint="default" w:ascii="Cambria" w:hAnsi="Cambria" w:eastAsia="宋体" w:cs="Times New Roman"/>
      <w:b/>
      <w:kern w:val="2"/>
      <w:sz w:val="32"/>
      <w:szCs w:val="32"/>
    </w:rPr>
  </w:style>
  <w:style w:type="character" w:customStyle="1" w:styleId="115">
    <w:name w:val="新格式表 Char"/>
    <w:link w:val="116"/>
    <w:qFormat/>
    <w:uiPriority w:val="0"/>
    <w:rPr>
      <w:snapToGrid w:val="0"/>
      <w:color w:val="000000"/>
      <w:kern w:val="2"/>
      <w:sz w:val="21"/>
      <w:szCs w:val="21"/>
      <w:lang w:val="en-GB"/>
    </w:rPr>
  </w:style>
  <w:style w:type="paragraph" w:customStyle="1" w:styleId="116">
    <w:name w:val="新格式表"/>
    <w:basedOn w:val="1"/>
    <w:link w:val="115"/>
    <w:qFormat/>
    <w:uiPriority w:val="0"/>
    <w:pPr>
      <w:jc w:val="center"/>
    </w:pPr>
    <w:rPr>
      <w:color w:val="000000"/>
      <w:szCs w:val="21"/>
      <w:lang w:val="en-GB"/>
    </w:rPr>
  </w:style>
  <w:style w:type="character" w:customStyle="1" w:styleId="117">
    <w:name w:val="02图 Char"/>
    <w:qFormat/>
    <w:uiPriority w:val="0"/>
    <w:rPr>
      <w:rFonts w:hint="default" w:ascii="Arial" w:hAnsi="Arial" w:eastAsia="黑体" w:cs="Arial"/>
      <w:b/>
    </w:rPr>
  </w:style>
  <w:style w:type="character" w:customStyle="1" w:styleId="118">
    <w:name w:val="Char1 Char Char Char Char Char"/>
    <w:qFormat/>
    <w:uiPriority w:val="0"/>
    <w:rPr>
      <w:rFonts w:eastAsia="宋体"/>
      <w:kern w:val="2"/>
      <w:sz w:val="21"/>
      <w:szCs w:val="24"/>
      <w:lang w:val="en-US" w:eastAsia="zh-CN" w:bidi="ar-SA"/>
    </w:rPr>
  </w:style>
  <w:style w:type="character" w:customStyle="1" w:styleId="119">
    <w:name w:val="表名-中煤 Char"/>
    <w:link w:val="120"/>
    <w:qFormat/>
    <w:uiPriority w:val="0"/>
    <w:rPr>
      <w:color w:val="000000"/>
      <w:sz w:val="26"/>
      <w:szCs w:val="21"/>
      <w:lang w:val="zh-CN"/>
    </w:rPr>
  </w:style>
  <w:style w:type="paragraph" w:customStyle="1" w:styleId="120">
    <w:name w:val="表名-中煤"/>
    <w:basedOn w:val="1"/>
    <w:link w:val="119"/>
    <w:qFormat/>
    <w:uiPriority w:val="0"/>
    <w:pPr>
      <w:autoSpaceDE w:val="0"/>
      <w:autoSpaceDN w:val="0"/>
      <w:adjustRightInd w:val="0"/>
      <w:snapToGrid w:val="0"/>
      <w:jc w:val="center"/>
    </w:pPr>
    <w:rPr>
      <w:color w:val="000000"/>
      <w:kern w:val="0"/>
      <w:sz w:val="26"/>
      <w:szCs w:val="21"/>
      <w:lang w:val="zh-CN"/>
    </w:rPr>
  </w:style>
  <w:style w:type="character" w:customStyle="1" w:styleId="121">
    <w:name w:val="h31"/>
    <w:qFormat/>
    <w:uiPriority w:val="0"/>
    <w:rPr>
      <w:sz w:val="21"/>
      <w:szCs w:val="21"/>
    </w:rPr>
  </w:style>
  <w:style w:type="character" w:customStyle="1" w:styleId="122">
    <w:name w:val="环评证文 Char"/>
    <w:link w:val="123"/>
    <w:qFormat/>
    <w:uiPriority w:val="0"/>
    <w:rPr>
      <w:rFonts w:hAnsi="宋体"/>
      <w:color w:val="000000"/>
      <w:sz w:val="24"/>
    </w:rPr>
  </w:style>
  <w:style w:type="paragraph" w:customStyle="1" w:styleId="123">
    <w:name w:val="环评证文"/>
    <w:basedOn w:val="1"/>
    <w:link w:val="122"/>
    <w:qFormat/>
    <w:uiPriority w:val="0"/>
    <w:pPr>
      <w:widowControl/>
      <w:spacing w:line="440" w:lineRule="exact"/>
      <w:ind w:firstLine="480"/>
      <w:jc w:val="left"/>
    </w:pPr>
    <w:rPr>
      <w:rFonts w:hAnsi="宋体"/>
      <w:color w:val="000000"/>
      <w:kern w:val="0"/>
      <w:sz w:val="24"/>
      <w:szCs w:val="20"/>
    </w:rPr>
  </w:style>
  <w:style w:type="character" w:customStyle="1" w:styleId="124">
    <w:name w:val="纯文本 Char"/>
    <w:qFormat/>
    <w:uiPriority w:val="0"/>
    <w:rPr>
      <w:rFonts w:ascii="宋体" w:hAnsi="宋体" w:eastAsia="宋体"/>
      <w:sz w:val="24"/>
      <w:szCs w:val="24"/>
      <w:lang w:val="en-US" w:eastAsia="zh-CN" w:bidi="ar-SA"/>
    </w:rPr>
  </w:style>
  <w:style w:type="character" w:customStyle="1" w:styleId="125">
    <w:name w:val="正文（首行缩进2字） Char"/>
    <w:link w:val="126"/>
    <w:qFormat/>
    <w:uiPriority w:val="0"/>
    <w:rPr>
      <w:rFonts w:ascii="宋体" w:hAnsi="宋体"/>
      <w:kern w:val="2"/>
      <w:sz w:val="24"/>
      <w:szCs w:val="24"/>
    </w:rPr>
  </w:style>
  <w:style w:type="paragraph" w:customStyle="1" w:styleId="126">
    <w:name w:val="正文（首行缩进2字）"/>
    <w:basedOn w:val="1"/>
    <w:link w:val="125"/>
    <w:qFormat/>
    <w:uiPriority w:val="0"/>
    <w:rPr>
      <w:rFonts w:ascii="宋体" w:hAnsi="宋体"/>
      <w:sz w:val="24"/>
    </w:rPr>
  </w:style>
  <w:style w:type="character" w:customStyle="1" w:styleId="127">
    <w:name w:val="style4"/>
    <w:qFormat/>
    <w:uiPriority w:val="0"/>
  </w:style>
  <w:style w:type="character" w:customStyle="1" w:styleId="128">
    <w:name w:val="font11"/>
    <w:qFormat/>
    <w:uiPriority w:val="0"/>
    <w:rPr>
      <w:rFonts w:hint="eastAsia" w:ascii="宋体" w:hAnsi="宋体" w:eastAsia="宋体" w:cs="宋体"/>
      <w:b/>
      <w:color w:val="000000"/>
      <w:sz w:val="24"/>
      <w:szCs w:val="24"/>
      <w:u w:val="none"/>
    </w:rPr>
  </w:style>
  <w:style w:type="character" w:customStyle="1" w:styleId="129">
    <w:name w:val="cn"/>
    <w:qFormat/>
    <w:uiPriority w:val="0"/>
  </w:style>
  <w:style w:type="character" w:customStyle="1" w:styleId="130">
    <w:name w:val="Char Char7"/>
    <w:qFormat/>
    <w:uiPriority w:val="0"/>
    <w:rPr>
      <w:rFonts w:ascii="宋体" w:hAnsi="宋体" w:eastAsia="黑体"/>
      <w:bCs/>
      <w:color w:val="FF0000"/>
      <w:kern w:val="2"/>
      <w:sz w:val="28"/>
      <w:szCs w:val="28"/>
    </w:rPr>
  </w:style>
  <w:style w:type="character" w:customStyle="1" w:styleId="131">
    <w:name w:val="纯文本 Char2"/>
    <w:qFormat/>
    <w:uiPriority w:val="0"/>
    <w:rPr>
      <w:rFonts w:hint="eastAsia" w:ascii="宋体" w:hAnsi="Courier New" w:eastAsia="宋体" w:cs="宋体"/>
      <w:kern w:val="2"/>
      <w:sz w:val="21"/>
      <w:lang w:val="en-US" w:eastAsia="zh-CN"/>
    </w:rPr>
  </w:style>
  <w:style w:type="character" w:customStyle="1" w:styleId="132">
    <w:name w:val="表格文字五号 Char"/>
    <w:link w:val="133"/>
    <w:qFormat/>
    <w:locked/>
    <w:uiPriority w:val="0"/>
    <w:rPr>
      <w:sz w:val="21"/>
    </w:rPr>
  </w:style>
  <w:style w:type="paragraph" w:customStyle="1" w:styleId="133">
    <w:name w:val="表格文字五号"/>
    <w:basedOn w:val="1"/>
    <w:next w:val="1"/>
    <w:link w:val="132"/>
    <w:qFormat/>
    <w:uiPriority w:val="0"/>
    <w:pPr>
      <w:adjustRightInd w:val="0"/>
      <w:jc w:val="center"/>
    </w:pPr>
    <w:rPr>
      <w:kern w:val="0"/>
      <w:szCs w:val="20"/>
    </w:rPr>
  </w:style>
  <w:style w:type="character" w:customStyle="1" w:styleId="134">
    <w:name w:val="常用表格样式 Char1"/>
    <w:qFormat/>
    <w:uiPriority w:val="0"/>
    <w:rPr>
      <w:rFonts w:hint="eastAsia" w:ascii="宋体" w:hAnsi="新宋体" w:eastAsia="仿宋_GB2312" w:cs="宋体"/>
      <w:spacing w:val="2"/>
      <w:sz w:val="24"/>
    </w:rPr>
  </w:style>
  <w:style w:type="character" w:customStyle="1" w:styleId="135">
    <w:name w:val="样式 表（或图）标题 样式 宋体 五号 居中 SL CON + 非加粗 Char"/>
    <w:qFormat/>
    <w:uiPriority w:val="0"/>
    <w:rPr>
      <w:rFonts w:hint="eastAsia" w:ascii="宋体" w:hAnsi="宋体" w:eastAsia="宋体" w:cs="宋体"/>
      <w:b/>
    </w:rPr>
  </w:style>
  <w:style w:type="character" w:customStyle="1" w:styleId="136">
    <w:name w:val="Date Char1"/>
    <w:qFormat/>
    <w:uiPriority w:val="0"/>
    <w:rPr>
      <w:rFonts w:hint="default" w:ascii="Times New Roman" w:hAnsi="Times New Roman" w:cs="Times New Roman"/>
      <w:kern w:val="2"/>
      <w:sz w:val="21"/>
      <w:szCs w:val="24"/>
    </w:rPr>
  </w:style>
  <w:style w:type="character" w:customStyle="1" w:styleId="137">
    <w:name w:val="表头 Char1"/>
    <w:qFormat/>
    <w:uiPriority w:val="0"/>
    <w:rPr>
      <w:rFonts w:hint="default" w:ascii="Times New Roman" w:hAnsi="Times New Roman" w:cs="Times New Roman"/>
      <w:spacing w:val="2"/>
    </w:rPr>
  </w:style>
  <w:style w:type="character" w:customStyle="1" w:styleId="138">
    <w:name w:val="样式9 Char Char"/>
    <w:link w:val="139"/>
    <w:qFormat/>
    <w:uiPriority w:val="0"/>
    <w:rPr>
      <w:sz w:val="26"/>
      <w:szCs w:val="26"/>
    </w:rPr>
  </w:style>
  <w:style w:type="paragraph" w:customStyle="1" w:styleId="139">
    <w:name w:val="样式9"/>
    <w:basedOn w:val="1"/>
    <w:link w:val="138"/>
    <w:qFormat/>
    <w:uiPriority w:val="0"/>
    <w:pPr>
      <w:snapToGrid w:val="0"/>
      <w:spacing w:line="480" w:lineRule="atLeast"/>
      <w:ind w:firstLine="200" w:firstLineChars="200"/>
    </w:pPr>
    <w:rPr>
      <w:kern w:val="0"/>
      <w:sz w:val="26"/>
      <w:szCs w:val="26"/>
    </w:rPr>
  </w:style>
  <w:style w:type="character" w:customStyle="1" w:styleId="140">
    <w:name w:val="Body Text Indent 2 Char1"/>
    <w:uiPriority w:val="0"/>
    <w:rPr>
      <w:rFonts w:hint="default" w:ascii="Times New Roman" w:hAnsi="Times New Roman" w:cs="Times New Roman"/>
      <w:kern w:val="2"/>
      <w:sz w:val="21"/>
      <w:szCs w:val="24"/>
    </w:rPr>
  </w:style>
  <w:style w:type="character" w:customStyle="1" w:styleId="141">
    <w:name w:val="正文缩进 Char"/>
    <w:uiPriority w:val="0"/>
    <w:rPr>
      <w:rFonts w:eastAsia="宋体"/>
      <w:kern w:val="2"/>
      <w:sz w:val="21"/>
      <w:szCs w:val="24"/>
      <w:lang w:val="en-US" w:eastAsia="zh-CN" w:bidi="ar-SA"/>
    </w:rPr>
  </w:style>
  <w:style w:type="character" w:customStyle="1" w:styleId="142">
    <w:name w:val="报告 Char Char"/>
    <w:link w:val="143"/>
    <w:uiPriority w:val="0"/>
    <w:rPr>
      <w:rFonts w:ascii="TimesNewRoman" w:hAnsi="TimesNewRoman"/>
      <w:sz w:val="24"/>
    </w:rPr>
  </w:style>
  <w:style w:type="paragraph" w:customStyle="1" w:styleId="143">
    <w:name w:val="报告"/>
    <w:basedOn w:val="1"/>
    <w:link w:val="142"/>
    <w:qFormat/>
    <w:uiPriority w:val="0"/>
    <w:pPr>
      <w:adjustRightInd w:val="0"/>
      <w:spacing w:line="360" w:lineRule="auto"/>
      <w:ind w:firstLine="505"/>
      <w:textAlignment w:val="center"/>
    </w:pPr>
    <w:rPr>
      <w:rFonts w:ascii="TimesNewRoman" w:hAnsi="TimesNewRoman"/>
      <w:kern w:val="0"/>
      <w:sz w:val="24"/>
      <w:szCs w:val="20"/>
    </w:rPr>
  </w:style>
  <w:style w:type="character" w:customStyle="1" w:styleId="144">
    <w:name w:val="样式 宋体 小四 行距: 1.5 倍行距 Char"/>
    <w:uiPriority w:val="0"/>
    <w:rPr>
      <w:rFonts w:hint="eastAsia" w:ascii="宋体" w:hAnsi="宋体" w:eastAsia="宋体" w:cs="宋体"/>
      <w:sz w:val="24"/>
    </w:rPr>
  </w:style>
  <w:style w:type="character" w:customStyle="1" w:styleId="145">
    <w:name w:val="我的报告正文 Char"/>
    <w:uiPriority w:val="0"/>
    <w:rPr>
      <w:rFonts w:hint="default" w:ascii="Times New Roman" w:hAnsi="Times New Roman" w:cs="Times New Roman"/>
      <w:sz w:val="24"/>
    </w:rPr>
  </w:style>
  <w:style w:type="character" w:customStyle="1" w:styleId="146">
    <w:name w:val="text1"/>
    <w:uiPriority w:val="0"/>
    <w:rPr>
      <w:rFonts w:hint="eastAsia" w:ascii="宋体" w:hAnsi="宋体" w:eastAsia="宋体"/>
      <w:color w:val="999999"/>
      <w:sz w:val="18"/>
      <w:szCs w:val="18"/>
      <w:u w:val="none"/>
    </w:rPr>
  </w:style>
  <w:style w:type="character" w:customStyle="1" w:styleId="147">
    <w:name w:val="Plain Text Char1"/>
    <w:qFormat/>
    <w:uiPriority w:val="0"/>
    <w:rPr>
      <w:rFonts w:hint="eastAsia" w:ascii="宋体" w:hAnsi="Courier New" w:eastAsia="宋体" w:cs="Courier New"/>
      <w:kern w:val="2"/>
      <w:sz w:val="21"/>
      <w:szCs w:val="21"/>
    </w:rPr>
  </w:style>
  <w:style w:type="character" w:customStyle="1" w:styleId="148">
    <w:name w:val="Style1 Char"/>
    <w:link w:val="149"/>
    <w:qFormat/>
    <w:uiPriority w:val="0"/>
    <w:rPr>
      <w:sz w:val="24"/>
    </w:rPr>
  </w:style>
  <w:style w:type="paragraph" w:customStyle="1" w:styleId="149">
    <w:name w:val="Style1"/>
    <w:basedOn w:val="1"/>
    <w:link w:val="148"/>
    <w:uiPriority w:val="0"/>
    <w:pPr>
      <w:widowControl/>
      <w:spacing w:line="360" w:lineRule="auto"/>
      <w:ind w:firstLine="200" w:firstLineChars="200"/>
      <w:jc w:val="left"/>
    </w:pPr>
    <w:rPr>
      <w:kern w:val="0"/>
      <w:sz w:val="24"/>
      <w:szCs w:val="20"/>
    </w:rPr>
  </w:style>
  <w:style w:type="character" w:customStyle="1" w:styleId="150">
    <w:name w:val="排版正文 Char Char"/>
    <w:uiPriority w:val="0"/>
    <w:rPr>
      <w:rFonts w:hint="default" w:ascii="Times New Roman" w:hAnsi="Times New Roman" w:eastAsia="宋体" w:cs="Times New Roman"/>
      <w:kern w:val="0"/>
      <w:sz w:val="26"/>
    </w:rPr>
  </w:style>
  <w:style w:type="character" w:customStyle="1" w:styleId="151">
    <w:name w:val="zhengwen Char1"/>
    <w:link w:val="152"/>
    <w:uiPriority w:val="0"/>
    <w:rPr>
      <w:rFonts w:ascii="Arial" w:hAnsi="Arial" w:cs="Arial"/>
      <w:sz w:val="24"/>
    </w:rPr>
  </w:style>
  <w:style w:type="paragraph" w:customStyle="1" w:styleId="152">
    <w:name w:val="zhengwen"/>
    <w:basedOn w:val="1"/>
    <w:link w:val="151"/>
    <w:qFormat/>
    <w:uiPriority w:val="0"/>
    <w:pPr>
      <w:spacing w:line="360" w:lineRule="auto"/>
      <w:ind w:firstLine="200" w:firstLineChars="200"/>
    </w:pPr>
    <w:rPr>
      <w:rFonts w:ascii="Arial" w:hAnsi="Arial" w:cs="Arial"/>
      <w:kern w:val="0"/>
      <w:sz w:val="24"/>
      <w:szCs w:val="20"/>
    </w:rPr>
  </w:style>
  <w:style w:type="character" w:customStyle="1" w:styleId="153">
    <w:name w:val="标题 3 SL CON Char"/>
    <w:uiPriority w:val="0"/>
    <w:rPr>
      <w:rFonts w:hint="default" w:ascii="Times New Roman" w:hAnsi="Times New Roman" w:eastAsia="黑体" w:cs="Times New Roman"/>
      <w:sz w:val="24"/>
    </w:rPr>
  </w:style>
  <w:style w:type="character" w:customStyle="1" w:styleId="154">
    <w:name w:val="样式6 Char"/>
    <w:link w:val="155"/>
    <w:uiPriority w:val="0"/>
    <w:rPr>
      <w:rFonts w:ascii="宋体" w:hAnsi="宋体"/>
      <w:kern w:val="2"/>
      <w:sz w:val="24"/>
      <w:szCs w:val="24"/>
    </w:rPr>
  </w:style>
  <w:style w:type="paragraph" w:customStyle="1" w:styleId="155">
    <w:name w:val="样式6"/>
    <w:basedOn w:val="18"/>
    <w:link w:val="154"/>
    <w:qFormat/>
    <w:uiPriority w:val="0"/>
    <w:pPr>
      <w:spacing w:line="500" w:lineRule="exact"/>
      <w:ind w:firstLine="480"/>
    </w:pPr>
    <w:rPr>
      <w:sz w:val="24"/>
    </w:rPr>
  </w:style>
  <w:style w:type="character" w:customStyle="1" w:styleId="156">
    <w:name w:val="样式 正文 首行缩进:  2 字符 SL CON + 首行缩进:  2 字符 Char"/>
    <w:qFormat/>
    <w:uiPriority w:val="0"/>
    <w:rPr>
      <w:rFonts w:hint="eastAsia" w:ascii="宋体" w:hAnsi="宋体" w:eastAsia="宋体" w:cs="宋体"/>
      <w:sz w:val="24"/>
    </w:rPr>
  </w:style>
  <w:style w:type="character" w:customStyle="1" w:styleId="157">
    <w:name w:val="count4"/>
    <w:qFormat/>
    <w:uiPriority w:val="0"/>
  </w:style>
  <w:style w:type="character" w:customStyle="1" w:styleId="158">
    <w:name w:val="纯文本 Char Char Char Char2"/>
    <w:qFormat/>
    <w:uiPriority w:val="0"/>
    <w:rPr>
      <w:rFonts w:ascii="宋体" w:hAnsi="Courier New" w:eastAsia="宋体"/>
      <w:kern w:val="2"/>
      <w:sz w:val="21"/>
      <w:lang w:val="en-US" w:eastAsia="zh-CN" w:bidi="ar-SA"/>
    </w:rPr>
  </w:style>
  <w:style w:type="character" w:customStyle="1" w:styleId="159">
    <w:name w:val="标题1"/>
    <w:qFormat/>
    <w:uiPriority w:val="0"/>
    <w:rPr>
      <w:rFonts w:hint="default" w:ascii="Times New Roman" w:hAnsi="Times New Roman" w:cs="Times New Roman"/>
    </w:rPr>
  </w:style>
  <w:style w:type="character" w:customStyle="1" w:styleId="160">
    <w:name w:val="Bullet - Sub Char"/>
    <w:link w:val="161"/>
    <w:uiPriority w:val="0"/>
    <w:rPr>
      <w:spacing w:val="-3"/>
      <w:kern w:val="2"/>
      <w:sz w:val="22"/>
      <w:szCs w:val="22"/>
      <w:lang w:eastAsia="en-US"/>
    </w:rPr>
  </w:style>
  <w:style w:type="paragraph" w:customStyle="1" w:styleId="161">
    <w:name w:val="Bullet - Sub"/>
    <w:basedOn w:val="1"/>
    <w:link w:val="160"/>
    <w:uiPriority w:val="0"/>
    <w:pPr>
      <w:widowControl/>
      <w:tabs>
        <w:tab w:val="left" w:pos="1440"/>
      </w:tabs>
      <w:spacing w:before="120" w:after="60" w:line="280" w:lineRule="atLeast"/>
      <w:ind w:left="1440" w:hanging="360"/>
      <w:jc w:val="left"/>
    </w:pPr>
    <w:rPr>
      <w:spacing w:val="-3"/>
      <w:sz w:val="22"/>
      <w:szCs w:val="22"/>
      <w:lang w:eastAsia="en-US"/>
    </w:rPr>
  </w:style>
  <w:style w:type="character" w:customStyle="1" w:styleId="162">
    <w:name w:val="apple-converted-space"/>
    <w:qFormat/>
    <w:uiPriority w:val="0"/>
    <w:rPr>
      <w:rFonts w:hint="default" w:ascii="Times New Roman" w:hAnsi="Times New Roman" w:cs="Times New Roman"/>
    </w:rPr>
  </w:style>
  <w:style w:type="character" w:customStyle="1" w:styleId="163">
    <w:name w:val="highlight1"/>
    <w:uiPriority w:val="0"/>
    <w:rPr>
      <w:sz w:val="21"/>
      <w:szCs w:val="21"/>
    </w:rPr>
  </w:style>
  <w:style w:type="character" w:customStyle="1" w:styleId="164">
    <w:name w:val="font01"/>
    <w:uiPriority w:val="0"/>
    <w:rPr>
      <w:rFonts w:hint="eastAsia" w:ascii="宋体" w:hAnsi="宋体" w:eastAsia="宋体" w:cs="宋体"/>
      <w:color w:val="000000"/>
      <w:sz w:val="24"/>
      <w:szCs w:val="24"/>
      <w:u w:val="none"/>
    </w:rPr>
  </w:style>
  <w:style w:type="character" w:customStyle="1" w:styleId="165">
    <w:name w:val="CJ 文本111 Char Char"/>
    <w:qFormat/>
    <w:uiPriority w:val="0"/>
    <w:rPr>
      <w:rFonts w:hint="default" w:ascii="Times New Roman" w:hAnsi="Times New Roman" w:cs="Times New Roman"/>
      <w:sz w:val="24"/>
    </w:rPr>
  </w:style>
  <w:style w:type="character" w:customStyle="1" w:styleId="166">
    <w:name w:val="环评表格文字 Char"/>
    <w:link w:val="167"/>
    <w:locked/>
    <w:uiPriority w:val="0"/>
    <w:rPr>
      <w:rFonts w:ascii="宋体" w:hAnsi="宋体"/>
      <w:kern w:val="2"/>
      <w:sz w:val="21"/>
      <w:szCs w:val="24"/>
    </w:rPr>
  </w:style>
  <w:style w:type="paragraph" w:customStyle="1" w:styleId="167">
    <w:name w:val="环评表格文字"/>
    <w:basedOn w:val="1"/>
    <w:next w:val="1"/>
    <w:link w:val="166"/>
    <w:uiPriority w:val="0"/>
    <w:rPr>
      <w:rFonts w:ascii="宋体" w:hAnsi="宋体"/>
    </w:rPr>
  </w:style>
  <w:style w:type="character" w:customStyle="1" w:styleId="168">
    <w:name w:val="样式3 Char Char"/>
    <w:uiPriority w:val="0"/>
    <w:rPr>
      <w:rFonts w:hint="eastAsia" w:ascii="宋体" w:hAnsi="宋体" w:eastAsia="宋体" w:cs="宋体"/>
      <w:b/>
      <w:sz w:val="24"/>
    </w:rPr>
  </w:style>
  <w:style w:type="character" w:customStyle="1" w:styleId="169">
    <w:name w:val="已访问的超链接1"/>
    <w:uiPriority w:val="0"/>
    <w:rPr>
      <w:color w:val="606420"/>
      <w:u w:val="single"/>
    </w:rPr>
  </w:style>
  <w:style w:type="character" w:customStyle="1" w:styleId="170">
    <w:name w:val="样式 正文 首行缩进:  2 字符 SL CON + 首行缩进:  2 字符 Char Char Char Char"/>
    <w:qFormat/>
    <w:uiPriority w:val="0"/>
    <w:rPr>
      <w:kern w:val="2"/>
      <w:sz w:val="21"/>
    </w:rPr>
  </w:style>
  <w:style w:type="character" w:customStyle="1" w:styleId="171">
    <w:name w:val="普通(网站) Char"/>
    <w:qFormat/>
    <w:locked/>
    <w:uiPriority w:val="0"/>
    <w:rPr>
      <w:rFonts w:ascii="宋体" w:hAnsi="宋体" w:eastAsia="宋体"/>
      <w:sz w:val="24"/>
    </w:rPr>
  </w:style>
  <w:style w:type="character" w:customStyle="1" w:styleId="172">
    <w:name w:val="Char1 Char Char"/>
    <w:qFormat/>
    <w:uiPriority w:val="0"/>
    <w:rPr>
      <w:rFonts w:eastAsia="宋体"/>
      <w:kern w:val="2"/>
      <w:sz w:val="21"/>
      <w:szCs w:val="24"/>
      <w:lang w:val="en-US" w:eastAsia="zh-CN" w:bidi="ar-SA"/>
    </w:rPr>
  </w:style>
  <w:style w:type="character" w:customStyle="1" w:styleId="173">
    <w:name w:val="样式 样式 正文 首行缩进:  2 字符 SL CON + 首行缩进:  2 字符 + 宋体 Char Char"/>
    <w:qFormat/>
    <w:uiPriority w:val="0"/>
    <w:rPr>
      <w:sz w:val="21"/>
    </w:rPr>
  </w:style>
  <w:style w:type="character" w:customStyle="1" w:styleId="174">
    <w:name w:val="表内文字 Char Char"/>
    <w:qFormat/>
    <w:uiPriority w:val="0"/>
  </w:style>
  <w:style w:type="character" w:customStyle="1" w:styleId="175">
    <w:name w:val="报告表正文 Char Char"/>
    <w:link w:val="176"/>
    <w:qFormat/>
    <w:uiPriority w:val="0"/>
    <w:rPr>
      <w:sz w:val="24"/>
    </w:rPr>
  </w:style>
  <w:style w:type="paragraph" w:customStyle="1" w:styleId="176">
    <w:name w:val="报告表正文"/>
    <w:basedOn w:val="1"/>
    <w:link w:val="175"/>
    <w:qFormat/>
    <w:uiPriority w:val="0"/>
    <w:pPr>
      <w:adjustRightInd w:val="0"/>
      <w:spacing w:line="312" w:lineRule="auto"/>
      <w:ind w:left="113" w:right="113" w:firstLine="482"/>
      <w:jc w:val="left"/>
      <w:textAlignment w:val="baseline"/>
    </w:pPr>
    <w:rPr>
      <w:kern w:val="0"/>
      <w:sz w:val="24"/>
      <w:szCs w:val="20"/>
    </w:rPr>
  </w:style>
  <w:style w:type="character" w:customStyle="1" w:styleId="177">
    <w:name w:val="表内文字3 Char Char"/>
    <w:qFormat/>
    <w:uiPriority w:val="0"/>
    <w:rPr>
      <w:sz w:val="21"/>
    </w:rPr>
  </w:style>
  <w:style w:type="character" w:customStyle="1" w:styleId="178">
    <w:name w:val="排版正文 Char"/>
    <w:qFormat/>
    <w:uiPriority w:val="0"/>
    <w:rPr>
      <w:rFonts w:hint="default" w:ascii="Times New Roman" w:hAnsi="Times New Roman" w:cs="Times New Roman"/>
      <w:sz w:val="26"/>
    </w:rPr>
  </w:style>
  <w:style w:type="character" w:customStyle="1" w:styleId="179">
    <w:name w:val="样式2 Char Char Char"/>
    <w:link w:val="180"/>
    <w:qFormat/>
    <w:uiPriority w:val="0"/>
    <w:rPr>
      <w:rFonts w:ascii="黑体" w:hAnsi="宋体" w:eastAsia="黑体"/>
      <w:b/>
      <w:kern w:val="2"/>
      <w:sz w:val="24"/>
      <w:szCs w:val="24"/>
    </w:rPr>
  </w:style>
  <w:style w:type="paragraph" w:customStyle="1" w:styleId="180">
    <w:name w:val="样式2 Char Char"/>
    <w:basedOn w:val="1"/>
    <w:link w:val="179"/>
    <w:qFormat/>
    <w:uiPriority w:val="0"/>
    <w:pPr>
      <w:keepNext/>
      <w:keepLines/>
      <w:adjustRightInd w:val="0"/>
      <w:snapToGrid w:val="0"/>
      <w:spacing w:line="360" w:lineRule="auto"/>
      <w:ind w:right="210" w:rightChars="100"/>
      <w:jc w:val="left"/>
      <w:outlineLvl w:val="1"/>
    </w:pPr>
    <w:rPr>
      <w:rFonts w:ascii="黑体" w:hAnsi="宋体" w:eastAsia="黑体"/>
      <w:b/>
      <w:sz w:val="24"/>
    </w:rPr>
  </w:style>
  <w:style w:type="character" w:customStyle="1" w:styleId="181">
    <w:name w:val="标题 2 Char"/>
    <w:qFormat/>
    <w:uiPriority w:val="0"/>
    <w:rPr>
      <w:rFonts w:hint="default" w:ascii="Cambria" w:hAnsi="Cambria" w:eastAsia="Cambria" w:cs="Cambria"/>
      <w:b/>
      <w:sz w:val="32"/>
      <w:szCs w:val="32"/>
    </w:rPr>
  </w:style>
  <w:style w:type="character" w:customStyle="1" w:styleId="182">
    <w:name w:val="表文字 Char1"/>
    <w:qFormat/>
    <w:uiPriority w:val="0"/>
    <w:rPr>
      <w:rFonts w:ascii="Times New Roman" w:hAnsi="Times New Roman"/>
      <w:sz w:val="24"/>
    </w:rPr>
  </w:style>
  <w:style w:type="character" w:customStyle="1" w:styleId="183">
    <w:name w:val="样式 样式 正文 首行缩进:  2 字符 SL CON + 首行缩进:  2 字符 + 宋体 Char Char Char"/>
    <w:qFormat/>
    <w:uiPriority w:val="0"/>
    <w:rPr>
      <w:kern w:val="2"/>
      <w:sz w:val="24"/>
      <w:szCs w:val="21"/>
    </w:rPr>
  </w:style>
  <w:style w:type="character" w:customStyle="1" w:styleId="184">
    <w:name w:val="digest1"/>
    <w:qFormat/>
    <w:uiPriority w:val="0"/>
    <w:rPr>
      <w:color w:val="3A4343"/>
      <w:sz w:val="20"/>
      <w:szCs w:val="20"/>
    </w:rPr>
  </w:style>
  <w:style w:type="character" w:customStyle="1" w:styleId="185">
    <w:name w:val="fontstyle01"/>
    <w:qFormat/>
    <w:uiPriority w:val="0"/>
    <w:rPr>
      <w:rFonts w:hint="default" w:ascii="仿宋" w:hAnsi="仿宋"/>
      <w:color w:val="000000"/>
      <w:sz w:val="28"/>
      <w:szCs w:val="28"/>
    </w:rPr>
  </w:style>
  <w:style w:type="character" w:customStyle="1" w:styleId="186">
    <w:name w:val="表内文字 Char"/>
    <w:qFormat/>
    <w:uiPriority w:val="0"/>
    <w:rPr>
      <w:rFonts w:hint="eastAsia" w:ascii="宋体" w:hAnsi="宋体" w:eastAsia="宋体" w:cs="宋体"/>
      <w:kern w:val="2"/>
      <w:sz w:val="21"/>
      <w:lang w:val="en-US" w:eastAsia="zh-CN"/>
    </w:rPr>
  </w:style>
  <w:style w:type="character" w:customStyle="1" w:styleId="187">
    <w:name w:val="纯文本 Char1"/>
    <w:qFormat/>
    <w:uiPriority w:val="0"/>
    <w:rPr>
      <w:rFonts w:hint="eastAsia" w:ascii="宋体" w:hAnsi="Courier New" w:eastAsia="宋体" w:cs="宋体"/>
    </w:rPr>
  </w:style>
  <w:style w:type="character" w:customStyle="1" w:styleId="188">
    <w:name w:val="图题表题 Char"/>
    <w:qFormat/>
    <w:uiPriority w:val="0"/>
    <w:rPr>
      <w:b/>
      <w:kern w:val="2"/>
      <w:sz w:val="21"/>
    </w:rPr>
  </w:style>
  <w:style w:type="character" w:customStyle="1" w:styleId="189">
    <w:name w:val="图名 Char"/>
    <w:link w:val="190"/>
    <w:qFormat/>
    <w:locked/>
    <w:uiPriority w:val="0"/>
    <w:rPr>
      <w:rFonts w:ascii="Wingdings" w:hAnsi="Wingdings" w:eastAsia="Courier New" w:cs="Wingdings"/>
      <w:b/>
      <w:bCs/>
      <w:sz w:val="24"/>
      <w:szCs w:val="24"/>
    </w:rPr>
  </w:style>
  <w:style w:type="paragraph" w:customStyle="1" w:styleId="190">
    <w:name w:val="图名"/>
    <w:basedOn w:val="1"/>
    <w:link w:val="189"/>
    <w:qFormat/>
    <w:uiPriority w:val="0"/>
    <w:pPr>
      <w:tabs>
        <w:tab w:val="left" w:pos="4064"/>
      </w:tabs>
      <w:adjustRightInd w:val="0"/>
      <w:spacing w:before="120"/>
      <w:jc w:val="center"/>
    </w:pPr>
    <w:rPr>
      <w:rFonts w:ascii="Wingdings" w:hAnsi="Wingdings" w:eastAsia="Courier New" w:cs="Wingdings"/>
      <w:b/>
      <w:bCs/>
      <w:kern w:val="0"/>
      <w:sz w:val="24"/>
    </w:rPr>
  </w:style>
  <w:style w:type="character" w:customStyle="1" w:styleId="191">
    <w:name w:val="样式 标题ljm + 首行缩进:  2 字符 Char"/>
    <w:qFormat/>
    <w:uiPriority w:val="0"/>
    <w:rPr>
      <w:rFonts w:hint="default" w:ascii="Times New Roman" w:hAnsi="Times New Roman" w:eastAsia="宋体" w:cs="Times New Roman"/>
      <w:b/>
      <w:sz w:val="20"/>
    </w:rPr>
  </w:style>
  <w:style w:type="character" w:customStyle="1" w:styleId="192">
    <w:name w:val="Char Char11"/>
    <w:qFormat/>
    <w:uiPriority w:val="0"/>
    <w:rPr>
      <w:rFonts w:eastAsia="宋体"/>
      <w:b/>
      <w:bCs/>
      <w:kern w:val="44"/>
      <w:sz w:val="24"/>
      <w:szCs w:val="44"/>
      <w:lang w:val="en-US" w:eastAsia="zh-CN" w:bidi="ar-SA"/>
    </w:rPr>
  </w:style>
  <w:style w:type="character" w:customStyle="1" w:styleId="193">
    <w:name w:val="表头 Char"/>
    <w:link w:val="194"/>
    <w:qFormat/>
    <w:uiPriority w:val="0"/>
    <w:rPr>
      <w:rFonts w:ascii="Calibri" w:hAnsi="Calibri" w:eastAsia="黑体"/>
      <w:spacing w:val="10"/>
      <w:kern w:val="2"/>
      <w:sz w:val="28"/>
    </w:rPr>
  </w:style>
  <w:style w:type="paragraph" w:customStyle="1" w:styleId="194">
    <w:name w:val="表头"/>
    <w:basedOn w:val="1"/>
    <w:link w:val="193"/>
    <w:qFormat/>
    <w:uiPriority w:val="0"/>
    <w:pPr>
      <w:spacing w:before="156" w:beforeLines="50" w:after="156" w:afterLines="50" w:line="500" w:lineRule="exact"/>
      <w:jc w:val="center"/>
    </w:pPr>
    <w:rPr>
      <w:rFonts w:ascii="Calibri" w:hAnsi="Calibri" w:eastAsia="黑体"/>
      <w:spacing w:val="10"/>
      <w:sz w:val="28"/>
      <w:szCs w:val="20"/>
    </w:rPr>
  </w:style>
  <w:style w:type="character" w:customStyle="1" w:styleId="195">
    <w:name w:val="报告正文 Char Char"/>
    <w:link w:val="196"/>
    <w:qFormat/>
    <w:uiPriority w:val="0"/>
    <w:rPr>
      <w:kern w:val="2"/>
      <w:sz w:val="24"/>
      <w:szCs w:val="24"/>
    </w:rPr>
  </w:style>
  <w:style w:type="paragraph" w:customStyle="1" w:styleId="196">
    <w:name w:val="报告正文"/>
    <w:basedOn w:val="1"/>
    <w:link w:val="195"/>
    <w:qFormat/>
    <w:uiPriority w:val="0"/>
    <w:pPr>
      <w:spacing w:line="360" w:lineRule="auto"/>
      <w:ind w:firstLine="200" w:firstLineChars="200"/>
      <w:jc w:val="left"/>
    </w:pPr>
    <w:rPr>
      <w:sz w:val="24"/>
    </w:rPr>
  </w:style>
  <w:style w:type="character" w:customStyle="1" w:styleId="197">
    <w:name w:val="图题表题 Char Char"/>
    <w:qFormat/>
    <w:uiPriority w:val="0"/>
    <w:rPr>
      <w:rFonts w:hint="default" w:ascii="Times New Roman" w:hAnsi="Times New Roman" w:cs="Times New Roman"/>
      <w:b/>
    </w:rPr>
  </w:style>
  <w:style w:type="character" w:customStyle="1" w:styleId="198">
    <w:name w:val="报告书正文 Char Char"/>
    <w:qFormat/>
    <w:uiPriority w:val="0"/>
    <w:rPr>
      <w:rFonts w:ascii="Arial" w:hAnsi="宋体" w:eastAsia="宋体" w:cs="Arial"/>
      <w:bCs/>
      <w:snapToGrid/>
      <w:sz w:val="24"/>
      <w:szCs w:val="24"/>
      <w:lang w:val="zh-CN" w:eastAsia="zh-CN" w:bidi="ar-SA"/>
    </w:rPr>
  </w:style>
  <w:style w:type="character" w:customStyle="1" w:styleId="199">
    <w:name w:val="样式5 Char Char"/>
    <w:link w:val="200"/>
    <w:qFormat/>
    <w:uiPriority w:val="0"/>
    <w:rPr>
      <w:sz w:val="24"/>
    </w:rPr>
  </w:style>
  <w:style w:type="paragraph" w:customStyle="1" w:styleId="200">
    <w:name w:val="样式5 Char"/>
    <w:basedOn w:val="25"/>
    <w:next w:val="1"/>
    <w:link w:val="199"/>
    <w:qFormat/>
    <w:uiPriority w:val="0"/>
    <w:pPr>
      <w:adjustRightInd w:val="0"/>
      <w:snapToGrid w:val="0"/>
      <w:spacing w:after="0" w:line="500" w:lineRule="exact"/>
      <w:ind w:left="0" w:leftChars="0" w:firstLine="200" w:firstLineChars="200"/>
    </w:pPr>
    <w:rPr>
      <w:kern w:val="0"/>
      <w:sz w:val="24"/>
      <w:szCs w:val="20"/>
    </w:rPr>
  </w:style>
  <w:style w:type="character" w:customStyle="1" w:styleId="201">
    <w:name w:val="表中文字 Char"/>
    <w:link w:val="202"/>
    <w:qFormat/>
    <w:uiPriority w:val="0"/>
    <w:rPr>
      <w:kern w:val="2"/>
      <w:sz w:val="21"/>
      <w:szCs w:val="24"/>
    </w:rPr>
  </w:style>
  <w:style w:type="paragraph" w:customStyle="1" w:styleId="202">
    <w:name w:val="表中文字"/>
    <w:basedOn w:val="1"/>
    <w:link w:val="201"/>
    <w:qFormat/>
    <w:uiPriority w:val="0"/>
    <w:pPr>
      <w:adjustRightInd w:val="0"/>
      <w:snapToGrid w:val="0"/>
      <w:spacing w:line="400" w:lineRule="exact"/>
      <w:jc w:val="center"/>
    </w:pPr>
  </w:style>
  <w:style w:type="character" w:customStyle="1" w:styleId="203">
    <w:name w:val="样式 样式 正文 首行缩进:  2 字符 SL CON + 首行缩进:  2 字符 + 宋体 Char"/>
    <w:qFormat/>
    <w:uiPriority w:val="0"/>
    <w:rPr>
      <w:kern w:val="2"/>
      <w:sz w:val="21"/>
    </w:rPr>
  </w:style>
  <w:style w:type="character" w:customStyle="1" w:styleId="204">
    <w:name w:val="宋体 小四 Char Char"/>
    <w:link w:val="205"/>
    <w:qFormat/>
    <w:uiPriority w:val="0"/>
    <w:rPr>
      <w:rFonts w:hAnsi="宋体"/>
      <w:kern w:val="2"/>
      <w:sz w:val="24"/>
      <w:szCs w:val="24"/>
    </w:rPr>
  </w:style>
  <w:style w:type="paragraph" w:customStyle="1" w:styleId="205">
    <w:name w:val="宋体 小四"/>
    <w:basedOn w:val="1"/>
    <w:link w:val="204"/>
    <w:qFormat/>
    <w:uiPriority w:val="0"/>
    <w:pPr>
      <w:spacing w:line="360" w:lineRule="auto"/>
      <w:ind w:firstLine="200" w:firstLineChars="200"/>
    </w:pPr>
    <w:rPr>
      <w:rFonts w:hAnsi="宋体"/>
      <w:sz w:val="24"/>
    </w:rPr>
  </w:style>
  <w:style w:type="character" w:customStyle="1" w:styleId="206">
    <w:name w:val="日期 字符"/>
    <w:qFormat/>
    <w:uiPriority w:val="0"/>
    <w:rPr>
      <w:rFonts w:ascii="Times New Roman" w:hAnsi="Times New Roman" w:eastAsia="宋体" w:cs="Times New Roman"/>
      <w:sz w:val="24"/>
      <w:szCs w:val="24"/>
    </w:rPr>
  </w:style>
  <w:style w:type="character" w:customStyle="1" w:styleId="207">
    <w:name w:val="fontstyle11"/>
    <w:qFormat/>
    <w:uiPriority w:val="0"/>
    <w:rPr>
      <w:rFonts w:hint="eastAsia" w:ascii="宋体" w:hAnsi="宋体" w:eastAsia="宋体"/>
      <w:color w:val="000000"/>
      <w:sz w:val="22"/>
      <w:szCs w:val="22"/>
    </w:rPr>
  </w:style>
  <w:style w:type="character" w:customStyle="1" w:styleId="208">
    <w:name w:val="样式 正文 首行缩进:  2 字符 SL CON + 首行缩进:  2 字符 Char Char"/>
    <w:link w:val="209"/>
    <w:qFormat/>
    <w:uiPriority w:val="0"/>
    <w:rPr>
      <w:kern w:val="2"/>
      <w:sz w:val="24"/>
      <w:szCs w:val="21"/>
    </w:rPr>
  </w:style>
  <w:style w:type="paragraph" w:customStyle="1" w:styleId="209">
    <w:name w:val="样式 正文 首行缩进:  2 字符 SL CON + 首行缩进:  2 字符"/>
    <w:basedOn w:val="1"/>
    <w:link w:val="208"/>
    <w:qFormat/>
    <w:uiPriority w:val="0"/>
    <w:pPr>
      <w:widowControl/>
      <w:tabs>
        <w:tab w:val="left" w:pos="377"/>
      </w:tabs>
      <w:spacing w:line="360" w:lineRule="auto"/>
      <w:ind w:firstLine="480" w:firstLineChars="200"/>
    </w:pPr>
    <w:rPr>
      <w:sz w:val="24"/>
      <w:szCs w:val="21"/>
    </w:rPr>
  </w:style>
  <w:style w:type="character" w:customStyle="1" w:styleId="210">
    <w:name w:val="表头排版 Char"/>
    <w:qFormat/>
    <w:uiPriority w:val="0"/>
    <w:rPr>
      <w:rFonts w:hint="default" w:ascii="Times New Roman" w:hAnsi="Times New Roman" w:cs="Times New Roman"/>
      <w:sz w:val="21"/>
    </w:rPr>
  </w:style>
  <w:style w:type="character" w:customStyle="1" w:styleId="211">
    <w:name w:val="表 Char"/>
    <w:qFormat/>
    <w:uiPriority w:val="0"/>
    <w:rPr>
      <w:rFonts w:hint="default" w:ascii="Times New Roman" w:hAnsi="Times New Roman" w:cs="Times New Roman"/>
      <w:sz w:val="26"/>
    </w:rPr>
  </w:style>
  <w:style w:type="character" w:customStyle="1" w:styleId="212">
    <w:name w:val="样式18 Char"/>
    <w:link w:val="213"/>
    <w:qFormat/>
    <w:uiPriority w:val="0"/>
    <w:rPr>
      <w:rFonts w:ascii="Calibri" w:hAnsi="Calibri"/>
      <w:sz w:val="26"/>
      <w:szCs w:val="26"/>
    </w:rPr>
  </w:style>
  <w:style w:type="paragraph" w:customStyle="1" w:styleId="213">
    <w:name w:val="样式18"/>
    <w:basedOn w:val="1"/>
    <w:link w:val="212"/>
    <w:qFormat/>
    <w:uiPriority w:val="0"/>
    <w:pPr>
      <w:widowControl/>
      <w:adjustRightInd w:val="0"/>
      <w:snapToGrid w:val="0"/>
      <w:spacing w:line="460" w:lineRule="exact"/>
      <w:ind w:firstLine="567" w:firstLineChars="218"/>
      <w:jc w:val="left"/>
    </w:pPr>
    <w:rPr>
      <w:rFonts w:ascii="Calibri" w:hAnsi="Calibri"/>
      <w:kern w:val="0"/>
      <w:sz w:val="26"/>
      <w:szCs w:val="26"/>
    </w:rPr>
  </w:style>
  <w:style w:type="character" w:customStyle="1" w:styleId="214">
    <w:name w:val="1号标题 Char Char"/>
    <w:link w:val="215"/>
    <w:qFormat/>
    <w:uiPriority w:val="0"/>
    <w:rPr>
      <w:color w:val="000000"/>
    </w:rPr>
  </w:style>
  <w:style w:type="paragraph" w:customStyle="1" w:styleId="215">
    <w:name w:val="1号标题"/>
    <w:basedOn w:val="196"/>
    <w:link w:val="214"/>
    <w:qFormat/>
    <w:uiPriority w:val="0"/>
    <w:pPr>
      <w:numPr>
        <w:ilvl w:val="0"/>
        <w:numId w:val="1"/>
      </w:numPr>
      <w:ind w:firstLine="182" w:firstLineChars="182"/>
    </w:pPr>
    <w:rPr>
      <w:color w:val="000000"/>
      <w:kern w:val="0"/>
      <w:sz w:val="20"/>
      <w:szCs w:val="20"/>
    </w:rPr>
  </w:style>
  <w:style w:type="character" w:customStyle="1" w:styleId="216">
    <w:name w:val="报告书正文 Char"/>
    <w:link w:val="217"/>
    <w:qFormat/>
    <w:uiPriority w:val="0"/>
    <w:rPr>
      <w:rFonts w:ascii="黑体" w:eastAsia="黑体"/>
      <w:kern w:val="2"/>
      <w:sz w:val="28"/>
      <w:szCs w:val="28"/>
    </w:rPr>
  </w:style>
  <w:style w:type="paragraph" w:customStyle="1" w:styleId="217">
    <w:name w:val="报告书正文"/>
    <w:basedOn w:val="25"/>
    <w:link w:val="216"/>
    <w:qFormat/>
    <w:uiPriority w:val="0"/>
    <w:pPr>
      <w:adjustRightInd w:val="0"/>
      <w:spacing w:after="0" w:line="360" w:lineRule="auto"/>
      <w:ind w:left="0" w:leftChars="0" w:firstLine="560" w:firstLineChars="200"/>
      <w:jc w:val="center"/>
    </w:pPr>
    <w:rPr>
      <w:rFonts w:ascii="黑体" w:eastAsia="黑体"/>
      <w:sz w:val="28"/>
      <w:szCs w:val="28"/>
    </w:rPr>
  </w:style>
  <w:style w:type="character" w:customStyle="1" w:styleId="218">
    <w:name w:val="titletext1"/>
    <w:qFormat/>
    <w:uiPriority w:val="0"/>
    <w:rPr>
      <w:color w:val="000000"/>
      <w:sz w:val="21"/>
      <w:szCs w:val="21"/>
    </w:rPr>
  </w:style>
  <w:style w:type="character" w:customStyle="1" w:styleId="219">
    <w:name w:val="样式7 Char"/>
    <w:qFormat/>
    <w:uiPriority w:val="0"/>
    <w:rPr>
      <w:rFonts w:hint="default" w:ascii="Times New Roman" w:hAnsi="Times New Roman" w:cs="Times New Roman"/>
      <w:sz w:val="26"/>
    </w:rPr>
  </w:style>
  <w:style w:type="character" w:customStyle="1" w:styleId="220">
    <w:name w:val="Char1 Char1"/>
    <w:link w:val="221"/>
    <w:qFormat/>
    <w:uiPriority w:val="0"/>
    <w:rPr>
      <w:kern w:val="2"/>
      <w:sz w:val="21"/>
      <w:szCs w:val="24"/>
    </w:rPr>
  </w:style>
  <w:style w:type="paragraph" w:customStyle="1" w:styleId="221">
    <w:name w:val="Char1"/>
    <w:basedOn w:val="1"/>
    <w:link w:val="220"/>
    <w:qFormat/>
    <w:uiPriority w:val="0"/>
  </w:style>
  <w:style w:type="character" w:customStyle="1" w:styleId="222">
    <w:name w:val="正文文本 字符1"/>
    <w:qFormat/>
    <w:uiPriority w:val="0"/>
    <w:rPr>
      <w:rFonts w:ascii="Times New Roman" w:hAnsi="Times New Roman" w:eastAsia="宋体" w:cs="Times New Roman"/>
      <w:sz w:val="24"/>
      <w:szCs w:val="24"/>
    </w:rPr>
  </w:style>
  <w:style w:type="paragraph" w:customStyle="1" w:styleId="223">
    <w:name w:val="Char Char Char Char"/>
    <w:basedOn w:val="1"/>
    <w:qFormat/>
    <w:uiPriority w:val="0"/>
    <w:rPr>
      <w:rFonts w:ascii="Calibri" w:hAnsi="Calibri"/>
    </w:rPr>
  </w:style>
  <w:style w:type="paragraph" w:customStyle="1" w:styleId="224">
    <w:name w:val="表格文字-中煤"/>
    <w:basedOn w:val="1"/>
    <w:next w:val="1"/>
    <w:qFormat/>
    <w:uiPriority w:val="0"/>
    <w:pPr>
      <w:widowControl/>
      <w:autoSpaceDE w:val="0"/>
      <w:autoSpaceDN w:val="0"/>
      <w:adjustRightInd w:val="0"/>
      <w:snapToGrid w:val="0"/>
      <w:jc w:val="center"/>
    </w:pPr>
    <w:rPr>
      <w:rFonts w:eastAsia="Times New Roman"/>
      <w:kern w:val="0"/>
      <w:sz w:val="22"/>
      <w:szCs w:val="21"/>
      <w:lang w:val="zh-CN"/>
    </w:rPr>
  </w:style>
  <w:style w:type="paragraph" w:customStyle="1" w:styleId="225">
    <w:name w:val="表格文字"/>
    <w:qFormat/>
    <w:uiPriority w:val="0"/>
    <w:pPr>
      <w:widowControl w:val="0"/>
      <w:autoSpaceDE w:val="0"/>
      <w:autoSpaceDN w:val="0"/>
      <w:adjustRightInd w:val="0"/>
      <w:textAlignment w:val="baseline"/>
    </w:pPr>
    <w:rPr>
      <w:rFonts w:ascii="宋体" w:hAnsi="Calibri" w:eastAsia="宋体" w:cs="Times New Roman"/>
      <w:color w:val="000000"/>
      <w:sz w:val="24"/>
      <w:lang w:val="en-US" w:eastAsia="zh-CN" w:bidi="ar-SA"/>
    </w:rPr>
  </w:style>
  <w:style w:type="paragraph" w:customStyle="1" w:styleId="226">
    <w:name w:val="Char1 Char Char Char"/>
    <w:basedOn w:val="1"/>
    <w:qFormat/>
    <w:uiPriority w:val="0"/>
    <w:rPr>
      <w:rFonts w:ascii="Calibri" w:hAnsi="Calibri"/>
    </w:rPr>
  </w:style>
  <w:style w:type="paragraph" w:customStyle="1" w:styleId="227">
    <w:name w:val="中文报告书样式"/>
    <w:basedOn w:val="1"/>
    <w:qFormat/>
    <w:uiPriority w:val="0"/>
    <w:pPr>
      <w:adjustRightInd w:val="0"/>
      <w:spacing w:line="480" w:lineRule="atLeast"/>
      <w:ind w:firstLine="482"/>
      <w:textAlignment w:val="baseline"/>
    </w:pPr>
    <w:rPr>
      <w:rFonts w:ascii="Calibri" w:hAnsi="Calibri"/>
      <w:kern w:val="24"/>
      <w:sz w:val="24"/>
      <w:szCs w:val="20"/>
    </w:rPr>
  </w:style>
  <w:style w:type="paragraph" w:customStyle="1" w:styleId="228">
    <w:name w:val="正文A"/>
    <w:basedOn w:val="1"/>
    <w:qFormat/>
    <w:uiPriority w:val="0"/>
    <w:pPr>
      <w:spacing w:line="540" w:lineRule="exact"/>
    </w:pPr>
    <w:rPr>
      <w:rFonts w:ascii="Calibri" w:hAnsi="Calibri" w:cs="宋体"/>
      <w:sz w:val="24"/>
      <w:szCs w:val="20"/>
    </w:rPr>
  </w:style>
  <w:style w:type="paragraph" w:customStyle="1" w:styleId="229">
    <w:name w:val="CM2"/>
    <w:basedOn w:val="1"/>
    <w:next w:val="1"/>
    <w:qFormat/>
    <w:uiPriority w:val="0"/>
    <w:pPr>
      <w:autoSpaceDE w:val="0"/>
      <w:autoSpaceDN w:val="0"/>
      <w:adjustRightInd w:val="0"/>
      <w:spacing w:line="573" w:lineRule="atLeast"/>
      <w:jc w:val="left"/>
    </w:pPr>
    <w:rPr>
      <w:rFonts w:ascii="黑体" w:hAnsi="Calibri" w:eastAsia="黑体"/>
      <w:kern w:val="0"/>
      <w:sz w:val="20"/>
    </w:rPr>
  </w:style>
  <w:style w:type="paragraph" w:customStyle="1" w:styleId="230">
    <w:name w:val="列出段落1"/>
    <w:basedOn w:val="1"/>
    <w:qFormat/>
    <w:uiPriority w:val="0"/>
    <w:pPr>
      <w:ind w:firstLine="420" w:firstLineChars="200"/>
      <w:jc w:val="left"/>
    </w:pPr>
    <w:rPr>
      <w:rFonts w:ascii="宋体" w:hAnsi="宋体" w:cs="宋体"/>
      <w:color w:val="000000"/>
      <w:kern w:val="0"/>
      <w:sz w:val="24"/>
    </w:rPr>
  </w:style>
  <w:style w:type="paragraph" w:customStyle="1" w:styleId="231">
    <w:name w:val="表标题"/>
    <w:basedOn w:val="1"/>
    <w:uiPriority w:val="0"/>
    <w:pPr>
      <w:jc w:val="center"/>
    </w:pPr>
    <w:rPr>
      <w:rFonts w:ascii="宋体" w:hAnsi="宋体"/>
      <w:kern w:val="0"/>
      <w:sz w:val="24"/>
      <w:szCs w:val="20"/>
    </w:rPr>
  </w:style>
  <w:style w:type="paragraph" w:customStyle="1" w:styleId="232">
    <w:name w:val="wislin正文"/>
    <w:basedOn w:val="1"/>
    <w:qFormat/>
    <w:uiPriority w:val="0"/>
    <w:pPr>
      <w:spacing w:line="300" w:lineRule="auto"/>
      <w:ind w:firstLine="454"/>
    </w:pPr>
    <w:rPr>
      <w:rFonts w:ascii="Calibri" w:hAnsi="Calibri"/>
      <w:sz w:val="24"/>
    </w:rPr>
  </w:style>
  <w:style w:type="paragraph" w:customStyle="1" w:styleId="233">
    <w:name w:val="正文 首行缩进:  2 字符 SL CON"/>
    <w:basedOn w:val="1"/>
    <w:qFormat/>
    <w:uiPriority w:val="0"/>
    <w:pPr>
      <w:widowControl/>
      <w:tabs>
        <w:tab w:val="left" w:pos="377"/>
      </w:tabs>
      <w:spacing w:line="360" w:lineRule="auto"/>
      <w:ind w:firstLine="200" w:firstLineChars="200"/>
    </w:pPr>
    <w:rPr>
      <w:rFonts w:ascii="宋体" w:hAnsi="Calibri" w:cs="宋体"/>
      <w:kern w:val="0"/>
      <w:sz w:val="24"/>
    </w:rPr>
  </w:style>
  <w:style w:type="paragraph" w:customStyle="1" w:styleId="234">
    <w:name w:val="环评正文"/>
    <w:basedOn w:val="3"/>
    <w:uiPriority w:val="0"/>
    <w:pPr>
      <w:keepNext w:val="0"/>
      <w:tabs>
        <w:tab w:val="left" w:pos="662"/>
      </w:tabs>
      <w:overflowPunct/>
      <w:snapToGrid/>
      <w:spacing w:before="0" w:after="0" w:line="240" w:lineRule="auto"/>
      <w:ind w:left="0" w:firstLine="578"/>
      <w:outlineLvl w:val="9"/>
    </w:pPr>
    <w:rPr>
      <w:rFonts w:ascii="Calibri" w:hAnsi="Calibri" w:eastAsia="宋体"/>
      <w:b w:val="0"/>
      <w:bCs w:val="0"/>
      <w:color w:val="auto"/>
      <w:kern w:val="2"/>
      <w:sz w:val="28"/>
      <w:szCs w:val="24"/>
    </w:rPr>
  </w:style>
  <w:style w:type="paragraph" w:customStyle="1" w:styleId="235">
    <w:name w:val="正文表标题"/>
    <w:next w:val="236"/>
    <w:qFormat/>
    <w:uiPriority w:val="0"/>
    <w:pPr>
      <w:tabs>
        <w:tab w:val="left" w:pos="857"/>
      </w:tabs>
      <w:ind w:left="857" w:hanging="420"/>
      <w:jc w:val="center"/>
    </w:pPr>
    <w:rPr>
      <w:rFonts w:ascii="黑体" w:hAnsi="Times New Roman" w:eastAsia="黑体" w:cs="Times New Roman"/>
      <w:sz w:val="21"/>
      <w:lang w:val="en-US" w:eastAsia="zh-CN" w:bidi="ar-SA"/>
    </w:rPr>
  </w:style>
  <w:style w:type="paragraph" w:customStyle="1" w:styleId="236">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237">
    <w:name w:val="01表格"/>
    <w:basedOn w:val="14"/>
    <w:qFormat/>
    <w:uiPriority w:val="0"/>
    <w:pPr>
      <w:keepNext/>
      <w:widowControl/>
      <w:jc w:val="center"/>
    </w:pPr>
    <w:rPr>
      <w:b/>
    </w:rPr>
  </w:style>
  <w:style w:type="paragraph" w:customStyle="1" w:styleId="238">
    <w:name w:val="样式3"/>
    <w:basedOn w:val="1"/>
    <w:qFormat/>
    <w:uiPriority w:val="0"/>
    <w:pPr>
      <w:spacing w:line="440" w:lineRule="exact"/>
      <w:jc w:val="center"/>
    </w:pPr>
    <w:rPr>
      <w:rFonts w:ascii="宋体" w:hAnsi="宋体"/>
      <w:sz w:val="24"/>
      <w:szCs w:val="20"/>
    </w:rPr>
  </w:style>
  <w:style w:type="paragraph" w:customStyle="1" w:styleId="239">
    <w:name w:val="封面正文"/>
    <w:uiPriority w:val="0"/>
    <w:pPr>
      <w:jc w:val="both"/>
    </w:pPr>
    <w:rPr>
      <w:rFonts w:ascii="Calibri" w:hAnsi="Calibri" w:eastAsia="宋体" w:cs="Times New Roman"/>
      <w:lang w:val="en-US" w:eastAsia="zh-CN" w:bidi="ar-SA"/>
    </w:rPr>
  </w:style>
  <w:style w:type="paragraph" w:customStyle="1" w:styleId="240">
    <w:name w:val="正文缩进2"/>
    <w:basedOn w:val="1"/>
    <w:qFormat/>
    <w:uiPriority w:val="0"/>
    <w:pPr>
      <w:ind w:firstLine="420"/>
    </w:pPr>
    <w:rPr>
      <w:rFonts w:ascii="Calibri" w:hAnsi="Calibri"/>
      <w:kern w:val="0"/>
      <w:sz w:val="26"/>
      <w:szCs w:val="20"/>
    </w:rPr>
  </w:style>
  <w:style w:type="paragraph" w:customStyle="1" w:styleId="241">
    <w:name w:val="表头样式1"/>
    <w:basedOn w:val="1"/>
    <w:qFormat/>
    <w:uiPriority w:val="0"/>
    <w:pPr>
      <w:jc w:val="center"/>
    </w:pPr>
    <w:rPr>
      <w:rFonts w:ascii="Calibri" w:hAnsi="Calibri" w:eastAsia="黑体"/>
      <w:b/>
      <w:kern w:val="0"/>
      <w:sz w:val="24"/>
      <w:szCs w:val="20"/>
    </w:rPr>
  </w:style>
  <w:style w:type="paragraph" w:customStyle="1" w:styleId="242">
    <w:name w:val="表内文字"/>
    <w:basedOn w:val="1"/>
    <w:qFormat/>
    <w:uiPriority w:val="0"/>
    <w:pPr>
      <w:spacing w:line="0" w:lineRule="atLeast"/>
      <w:jc w:val="center"/>
    </w:pPr>
    <w:rPr>
      <w:rFonts w:ascii="Calibri" w:hAnsi="Calibri"/>
      <w:kern w:val="0"/>
      <w:sz w:val="20"/>
      <w:szCs w:val="20"/>
    </w:rPr>
  </w:style>
  <w:style w:type="paragraph" w:customStyle="1" w:styleId="243">
    <w:name w:val="环龙公司文本正文"/>
    <w:qFormat/>
    <w:uiPriority w:val="0"/>
    <w:pPr>
      <w:widowControl w:val="0"/>
      <w:spacing w:line="360" w:lineRule="auto"/>
      <w:ind w:firstLine="200" w:firstLineChars="200"/>
      <w:jc w:val="both"/>
    </w:pPr>
    <w:rPr>
      <w:rFonts w:ascii="Calibri" w:hAnsi="Calibri" w:eastAsia="宋体" w:cs="Times New Roman"/>
      <w:kern w:val="2"/>
      <w:sz w:val="24"/>
      <w:szCs w:val="24"/>
      <w:lang w:val="en-US" w:eastAsia="zh-CN" w:bidi="ar-SA"/>
    </w:rPr>
  </w:style>
  <w:style w:type="paragraph" w:customStyle="1" w:styleId="244">
    <w:name w:val="样式 样式 正文 首行缩进:  2 字符 SL CON + 首行缩进:  2 字符 + 宋体"/>
    <w:basedOn w:val="209"/>
    <w:qFormat/>
    <w:uiPriority w:val="0"/>
    <w:rPr>
      <w:rFonts w:ascii="Calibri" w:hAnsi="Calibri" w:cs="宋体"/>
      <w:kern w:val="0"/>
    </w:rPr>
  </w:style>
  <w:style w:type="paragraph" w:customStyle="1" w:styleId="245">
    <w:name w:val="报告表 正文"/>
    <w:basedOn w:val="1"/>
    <w:qFormat/>
    <w:uiPriority w:val="0"/>
    <w:pPr>
      <w:adjustRightInd w:val="0"/>
      <w:snapToGrid w:val="0"/>
      <w:spacing w:line="480" w:lineRule="exact"/>
      <w:ind w:firstLine="200" w:firstLineChars="200"/>
    </w:pPr>
    <w:rPr>
      <w:rFonts w:eastAsia="Times New Roman"/>
      <w:sz w:val="24"/>
    </w:rPr>
  </w:style>
  <w:style w:type="paragraph" w:customStyle="1" w:styleId="246">
    <w:name w:val="Char"/>
    <w:basedOn w:val="1"/>
    <w:uiPriority w:val="0"/>
    <w:rPr>
      <w:rFonts w:ascii="Calibri" w:hAnsi="Calibri"/>
    </w:rPr>
  </w:style>
  <w:style w:type="paragraph" w:customStyle="1" w:styleId="247">
    <w:name w:val="Char Char Char Char Char Char2"/>
    <w:basedOn w:val="1"/>
    <w:next w:val="2"/>
    <w:uiPriority w:val="0"/>
    <w:rPr>
      <w:rFonts w:ascii="Calibri" w:hAnsi="Calibri"/>
      <w:sz w:val="28"/>
      <w:szCs w:val="28"/>
    </w:rPr>
  </w:style>
  <w:style w:type="paragraph" w:customStyle="1" w:styleId="248">
    <w:name w:val="Bullet"/>
    <w:basedOn w:val="1"/>
    <w:qFormat/>
    <w:uiPriority w:val="0"/>
    <w:pPr>
      <w:widowControl/>
      <w:tabs>
        <w:tab w:val="left" w:pos="360"/>
      </w:tabs>
      <w:spacing w:before="180" w:after="60"/>
      <w:ind w:left="360" w:hanging="360"/>
      <w:jc w:val="left"/>
    </w:pPr>
    <w:rPr>
      <w:kern w:val="0"/>
      <w:sz w:val="22"/>
      <w:szCs w:val="20"/>
    </w:rPr>
  </w:style>
  <w:style w:type="paragraph" w:customStyle="1" w:styleId="249">
    <w:name w:val="Table Paragraph"/>
    <w:basedOn w:val="1"/>
    <w:qFormat/>
    <w:uiPriority w:val="1"/>
    <w:rPr>
      <w:rFonts w:ascii="Arial" w:hAnsi="Arial" w:eastAsia="Arial" w:cs="Arial"/>
      <w:lang w:val="zh-CN" w:bidi="zh-CN"/>
    </w:rPr>
  </w:style>
  <w:style w:type="paragraph" w:customStyle="1" w:styleId="250">
    <w:name w:val="简单回函地址"/>
    <w:basedOn w:val="1"/>
    <w:qFormat/>
    <w:uiPriority w:val="0"/>
    <w:rPr>
      <w:rFonts w:ascii="Calibri" w:hAnsi="Calibri"/>
      <w:sz w:val="24"/>
      <w:szCs w:val="20"/>
    </w:rPr>
  </w:style>
  <w:style w:type="paragraph" w:customStyle="1" w:styleId="251">
    <w:name w:val="0环评正文"/>
    <w:basedOn w:val="1"/>
    <w:qFormat/>
    <w:uiPriority w:val="0"/>
    <w:pPr>
      <w:spacing w:line="360" w:lineRule="auto"/>
      <w:ind w:firstLine="200" w:firstLineChars="200"/>
    </w:pPr>
    <w:rPr>
      <w:sz w:val="24"/>
      <w:szCs w:val="22"/>
    </w:rPr>
  </w:style>
  <w:style w:type="paragraph" w:customStyle="1" w:styleId="252">
    <w:name w:val="图题表题"/>
    <w:basedOn w:val="1"/>
    <w:qFormat/>
    <w:uiPriority w:val="0"/>
    <w:pPr>
      <w:spacing w:line="360" w:lineRule="auto"/>
      <w:jc w:val="center"/>
    </w:pPr>
    <w:rPr>
      <w:rFonts w:ascii="Calibri" w:hAnsi="Calibri"/>
      <w:b/>
      <w:bCs/>
      <w:kern w:val="0"/>
      <w:sz w:val="20"/>
      <w:szCs w:val="20"/>
    </w:rPr>
  </w:style>
  <w:style w:type="paragraph" w:customStyle="1" w:styleId="253">
    <w:name w:val="大标题（表外部的）"/>
    <w:basedOn w:val="1"/>
    <w:qFormat/>
    <w:uiPriority w:val="0"/>
    <w:pPr>
      <w:keepNext/>
      <w:keepLines/>
    </w:pPr>
    <w:rPr>
      <w:rFonts w:ascii="宋体" w:hAnsi="宋体" w:eastAsia="黑体"/>
      <w:b/>
      <w:sz w:val="30"/>
    </w:rPr>
  </w:style>
  <w:style w:type="paragraph" w:customStyle="1" w:styleId="254">
    <w:name w:val="普通(网站)2"/>
    <w:basedOn w:val="1"/>
    <w:uiPriority w:val="0"/>
    <w:pPr>
      <w:widowControl/>
      <w:spacing w:before="100" w:beforeAutospacing="1" w:after="100" w:afterAutospacing="1"/>
      <w:jc w:val="left"/>
    </w:pPr>
    <w:rPr>
      <w:rFonts w:ascii="宋体" w:hAnsi="宋体"/>
      <w:sz w:val="24"/>
      <w:szCs w:val="20"/>
    </w:rPr>
  </w:style>
  <w:style w:type="paragraph" w:customStyle="1" w:styleId="255">
    <w:name w:val="表文"/>
    <w:basedOn w:val="19"/>
    <w:next w:val="13"/>
    <w:qFormat/>
    <w:uiPriority w:val="0"/>
    <w:pPr>
      <w:widowControl w:val="0"/>
      <w:snapToGrid/>
      <w:spacing w:before="0" w:after="0" w:line="360" w:lineRule="auto"/>
      <w:ind w:right="0"/>
      <w:jc w:val="center"/>
    </w:pPr>
    <w:rPr>
      <w:rFonts w:hAnsi="Calibri" w:eastAsia="仿宋_GB2312"/>
      <w:kern w:val="2"/>
      <w:sz w:val="24"/>
      <w:szCs w:val="20"/>
    </w:rPr>
  </w:style>
  <w:style w:type="paragraph" w:customStyle="1" w:styleId="256">
    <w:name w:val="正文缩进1"/>
    <w:basedOn w:val="1"/>
    <w:qFormat/>
    <w:uiPriority w:val="0"/>
    <w:pPr>
      <w:ind w:firstLine="420" w:firstLineChars="200"/>
    </w:pPr>
    <w:rPr>
      <w:rFonts w:ascii="Calibri" w:hAnsi="Calibri"/>
    </w:rPr>
  </w:style>
  <w:style w:type="paragraph" w:customStyle="1" w:styleId="257">
    <w:name w:val="Char4 Char Char Char Char Char Char1"/>
    <w:basedOn w:val="1"/>
    <w:qFormat/>
    <w:uiPriority w:val="0"/>
    <w:pPr>
      <w:spacing w:line="360" w:lineRule="auto"/>
      <w:ind w:firstLine="200" w:firstLineChars="200"/>
    </w:pPr>
    <w:rPr>
      <w:rFonts w:ascii="宋体" w:hAnsi="宋体" w:cs="宋体"/>
      <w:sz w:val="24"/>
    </w:rPr>
  </w:style>
  <w:style w:type="paragraph" w:customStyle="1" w:styleId="258">
    <w:name w:val="列表段落1"/>
    <w:basedOn w:val="1"/>
    <w:qFormat/>
    <w:uiPriority w:val="0"/>
    <w:pPr>
      <w:ind w:firstLine="420" w:firstLineChars="200"/>
    </w:pPr>
    <w:rPr>
      <w:rFonts w:ascii="Calibri" w:hAnsi="Calibri"/>
    </w:rPr>
  </w:style>
  <w:style w:type="paragraph" w:customStyle="1" w:styleId="259">
    <w:name w:val="Char Char Char Char Char Char Char Char Char Char Char Char Char"/>
    <w:basedOn w:val="1"/>
    <w:qFormat/>
    <w:uiPriority w:val="0"/>
    <w:rPr>
      <w:rFonts w:ascii="Calibri" w:hAnsi="Calibri"/>
    </w:rPr>
  </w:style>
  <w:style w:type="paragraph" w:customStyle="1" w:styleId="260">
    <w:name w:val="环表头"/>
    <w:next w:val="243"/>
    <w:qFormat/>
    <w:uiPriority w:val="0"/>
    <w:pPr>
      <w:jc w:val="center"/>
    </w:pPr>
    <w:rPr>
      <w:rFonts w:ascii="Calibri" w:hAnsi="Calibri" w:eastAsia="宋体" w:cs="Times New Roman"/>
      <w:kern w:val="2"/>
      <w:sz w:val="24"/>
      <w:szCs w:val="24"/>
      <w:lang w:val="en-US" w:eastAsia="zh-CN" w:bidi="ar-SA"/>
    </w:rPr>
  </w:style>
  <w:style w:type="paragraph" w:customStyle="1" w:styleId="261">
    <w:name w:val="pic-info"/>
    <w:basedOn w:val="1"/>
    <w:qFormat/>
    <w:uiPriority w:val="0"/>
    <w:pPr>
      <w:widowControl/>
      <w:spacing w:before="100" w:beforeAutospacing="1" w:after="100" w:afterAutospacing="1"/>
      <w:jc w:val="left"/>
    </w:pPr>
    <w:rPr>
      <w:rFonts w:ascii="宋体" w:hAnsi="宋体" w:cs="宋体"/>
      <w:kern w:val="0"/>
      <w:sz w:val="24"/>
    </w:rPr>
  </w:style>
  <w:style w:type="paragraph" w:customStyle="1" w:styleId="262">
    <w:name w:val="Plain Text1"/>
    <w:basedOn w:val="1"/>
    <w:qFormat/>
    <w:uiPriority w:val="0"/>
    <w:rPr>
      <w:rFonts w:ascii="宋体" w:hAnsi="Courier New"/>
      <w:kern w:val="0"/>
      <w:sz w:val="28"/>
    </w:rPr>
  </w:style>
  <w:style w:type="paragraph" w:customStyle="1" w:styleId="263">
    <w:name w:val="报告表 表名、表头、图名"/>
    <w:basedOn w:val="1"/>
    <w:qFormat/>
    <w:uiPriority w:val="0"/>
    <w:pPr>
      <w:adjustRightInd w:val="0"/>
      <w:snapToGrid w:val="0"/>
      <w:jc w:val="center"/>
    </w:pPr>
    <w:rPr>
      <w:rFonts w:eastAsia="Times New Roman"/>
      <w:b/>
      <w:szCs w:val="21"/>
    </w:rPr>
  </w:style>
  <w:style w:type="paragraph" w:customStyle="1" w:styleId="264">
    <w:name w:val="1表格"/>
    <w:basedOn w:val="1"/>
    <w:qFormat/>
    <w:uiPriority w:val="0"/>
    <w:pPr>
      <w:snapToGrid w:val="0"/>
      <w:spacing w:line="160" w:lineRule="atLeast"/>
      <w:jc w:val="center"/>
    </w:pPr>
    <w:rPr>
      <w:rFonts w:ascii="Calibri" w:hAnsi="Calibri" w:eastAsia="仿宋_GB2312"/>
      <w:szCs w:val="20"/>
    </w:rPr>
  </w:style>
  <w:style w:type="paragraph" w:customStyle="1" w:styleId="265">
    <w:name w:val="表格文字2"/>
    <w:basedOn w:val="1"/>
    <w:uiPriority w:val="0"/>
    <w:pPr>
      <w:adjustRightInd w:val="0"/>
      <w:spacing w:before="60"/>
      <w:jc w:val="center"/>
      <w:textAlignment w:val="baseline"/>
    </w:pPr>
    <w:rPr>
      <w:rFonts w:ascii="宋体" w:hAnsi="Calibri"/>
      <w:kern w:val="0"/>
      <w:sz w:val="24"/>
      <w:szCs w:val="20"/>
    </w:rPr>
  </w:style>
  <w:style w:type="paragraph" w:customStyle="1" w:styleId="266">
    <w:name w:val="正文格式"/>
    <w:basedOn w:val="1"/>
    <w:qFormat/>
    <w:uiPriority w:val="0"/>
    <w:pPr>
      <w:spacing w:line="360" w:lineRule="auto"/>
      <w:ind w:firstLine="480" w:firstLineChars="200"/>
    </w:pPr>
    <w:rPr>
      <w:rFonts w:ascii="Calibri" w:hAnsi="Calibri"/>
      <w:kern w:val="0"/>
      <w:sz w:val="24"/>
    </w:rPr>
  </w:style>
  <w:style w:type="paragraph" w:customStyle="1" w:styleId="267">
    <w:name w:val="zw1"/>
    <w:basedOn w:val="1"/>
    <w:qFormat/>
    <w:uiPriority w:val="0"/>
    <w:pPr>
      <w:ind w:firstLine="480"/>
    </w:pPr>
    <w:rPr>
      <w:rFonts w:ascii="Calibri" w:hAnsi="Calibri" w:eastAsia="仿宋_GB2312"/>
      <w:sz w:val="24"/>
    </w:rPr>
  </w:style>
  <w:style w:type="paragraph" w:customStyle="1" w:styleId="268">
    <w:name w:val="样式 样式16 + 首行缩进:  2 字符"/>
    <w:basedOn w:val="1"/>
    <w:uiPriority w:val="0"/>
    <w:pPr>
      <w:adjustRightInd w:val="0"/>
      <w:snapToGrid w:val="0"/>
      <w:spacing w:line="355" w:lineRule="auto"/>
      <w:ind w:firstLine="560" w:firstLineChars="200"/>
    </w:pPr>
    <w:rPr>
      <w:rFonts w:ascii="宋体" w:hAnsi="宋体" w:eastAsia="仿宋_GB2312" w:cs="宋体"/>
      <w:sz w:val="28"/>
      <w:szCs w:val="20"/>
    </w:rPr>
  </w:style>
  <w:style w:type="paragraph" w:customStyle="1" w:styleId="269">
    <w:name w:val="中文报告书"/>
    <w:basedOn w:val="1"/>
    <w:qFormat/>
    <w:uiPriority w:val="0"/>
    <w:pPr>
      <w:adjustRightInd w:val="0"/>
      <w:spacing w:after="80" w:line="420" w:lineRule="atLeast"/>
      <w:jc w:val="left"/>
      <w:textAlignment w:val="baseline"/>
    </w:pPr>
    <w:rPr>
      <w:rFonts w:ascii="Calibri" w:hAnsi="Calibri"/>
      <w:kern w:val="0"/>
      <w:sz w:val="24"/>
      <w:szCs w:val="20"/>
    </w:rPr>
  </w:style>
  <w:style w:type="paragraph" w:customStyle="1" w:styleId="270">
    <w:name w:val="Char26"/>
    <w:basedOn w:val="1"/>
    <w:qFormat/>
    <w:uiPriority w:val="99"/>
  </w:style>
  <w:style w:type="paragraph" w:customStyle="1" w:styleId="271">
    <w:name w:val="纯文本1"/>
    <w:basedOn w:val="1"/>
    <w:qFormat/>
    <w:uiPriority w:val="0"/>
    <w:rPr>
      <w:rFonts w:ascii="宋体" w:hAnsi="Courier New"/>
    </w:rPr>
  </w:style>
  <w:style w:type="paragraph" w:customStyle="1" w:styleId="272">
    <w:name w:val="Char Char1 Char Char Char Char Char Char Char Char Char"/>
    <w:basedOn w:val="1"/>
    <w:qFormat/>
    <w:uiPriority w:val="0"/>
    <w:rPr>
      <w:rFonts w:ascii="Calibri" w:hAnsi="Calibri"/>
    </w:rPr>
  </w:style>
  <w:style w:type="paragraph" w:customStyle="1" w:styleId="273">
    <w:name w:val="3"/>
    <w:basedOn w:val="1"/>
    <w:qFormat/>
    <w:uiPriority w:val="0"/>
    <w:rPr>
      <w:rFonts w:ascii="Calibri" w:hAnsi="Calibri"/>
    </w:rPr>
  </w:style>
  <w:style w:type="paragraph" w:customStyle="1" w:styleId="274">
    <w:name w:val="p19"/>
    <w:basedOn w:val="1"/>
    <w:qFormat/>
    <w:uiPriority w:val="0"/>
    <w:pPr>
      <w:widowControl/>
      <w:spacing w:after="120" w:line="480" w:lineRule="auto"/>
      <w:ind w:left="420"/>
    </w:pPr>
    <w:rPr>
      <w:rFonts w:ascii="Calibri" w:hAnsi="Calibri"/>
      <w:kern w:val="0"/>
      <w:szCs w:val="21"/>
    </w:rPr>
  </w:style>
  <w:style w:type="paragraph" w:customStyle="1" w:styleId="275">
    <w:name w:val="表格格式1-2"/>
    <w:basedOn w:val="1"/>
    <w:uiPriority w:val="0"/>
    <w:pPr>
      <w:jc w:val="center"/>
    </w:pPr>
    <w:rPr>
      <w:rFonts w:cs="宋体"/>
      <w:szCs w:val="21"/>
    </w:rPr>
  </w:style>
  <w:style w:type="paragraph" w:customStyle="1" w:styleId="276">
    <w:name w:val="zxz5"/>
    <w:next w:val="1"/>
    <w:qFormat/>
    <w:uiPriority w:val="0"/>
    <w:pPr>
      <w:tabs>
        <w:tab w:val="left" w:pos="0"/>
      </w:tabs>
      <w:jc w:val="center"/>
    </w:pPr>
    <w:rPr>
      <w:rFonts w:ascii="宋体" w:hAnsi="宋体" w:eastAsia="Times New Roman" w:cs="宋体"/>
      <w:bCs/>
      <w:kern w:val="2"/>
      <w:sz w:val="18"/>
      <w:szCs w:val="18"/>
      <w:lang w:val="en-US" w:eastAsia="zh-CN" w:bidi="ar-SA"/>
    </w:rPr>
  </w:style>
  <w:style w:type="paragraph" w:customStyle="1" w:styleId="277">
    <w:name w:val="默认段落字体 Para Char"/>
    <w:basedOn w:val="1"/>
    <w:qFormat/>
    <w:uiPriority w:val="0"/>
    <w:rPr>
      <w:rFonts w:ascii="Calibri" w:hAnsi="Calibri"/>
      <w:sz w:val="24"/>
    </w:rPr>
  </w:style>
  <w:style w:type="paragraph" w:customStyle="1" w:styleId="278">
    <w:name w:val="样式1"/>
    <w:basedOn w:val="1"/>
    <w:qFormat/>
    <w:uiPriority w:val="0"/>
    <w:pPr>
      <w:adjustRightInd w:val="0"/>
      <w:spacing w:line="288" w:lineRule="auto"/>
      <w:jc w:val="left"/>
    </w:pPr>
    <w:rPr>
      <w:rFonts w:hint="eastAsia" w:ascii="黑体" w:hAnsi="Calibri" w:eastAsia="黑体"/>
      <w:b/>
      <w:kern w:val="0"/>
      <w:sz w:val="32"/>
      <w:szCs w:val="20"/>
    </w:rPr>
  </w:style>
  <w:style w:type="paragraph" w:customStyle="1" w:styleId="279">
    <w:name w:val="list1"/>
    <w:basedOn w:val="1"/>
    <w:qFormat/>
    <w:uiPriority w:val="0"/>
    <w:pPr>
      <w:widowControl/>
      <w:pBdr>
        <w:right w:val="single" w:color="FFFFFF" w:sz="6" w:space="0"/>
      </w:pBdr>
      <w:spacing w:before="100" w:beforeAutospacing="1" w:after="100" w:afterAutospacing="1"/>
      <w:jc w:val="left"/>
    </w:pPr>
    <w:rPr>
      <w:rFonts w:ascii="宋体" w:hAnsi="宋体"/>
      <w:kern w:val="0"/>
      <w:sz w:val="24"/>
    </w:rPr>
  </w:style>
  <w:style w:type="paragraph" w:customStyle="1" w:styleId="280">
    <w:name w:val="纯文本2"/>
    <w:basedOn w:val="1"/>
    <w:qFormat/>
    <w:uiPriority w:val="0"/>
    <w:rPr>
      <w:rFonts w:ascii="宋体" w:hAnsi="Courier New"/>
      <w:kern w:val="0"/>
      <w:sz w:val="28"/>
      <w:szCs w:val="20"/>
    </w:rPr>
  </w:style>
  <w:style w:type="paragraph" w:customStyle="1" w:styleId="281">
    <w:name w:val="段落1"/>
    <w:basedOn w:val="1"/>
    <w:uiPriority w:val="0"/>
    <w:pPr>
      <w:spacing w:line="480" w:lineRule="exact"/>
      <w:ind w:firstLine="200" w:firstLineChars="200"/>
    </w:pPr>
    <w:rPr>
      <w:rFonts w:ascii="Calibri" w:hAnsi="Calibri" w:eastAsia="楷体_GB2312"/>
      <w:spacing w:val="6"/>
      <w:sz w:val="28"/>
    </w:rPr>
  </w:style>
  <w:style w:type="paragraph" w:customStyle="1" w:styleId="282">
    <w:name w:val="表文排版"/>
    <w:basedOn w:val="19"/>
    <w:qFormat/>
    <w:uiPriority w:val="0"/>
    <w:pPr>
      <w:widowControl w:val="0"/>
      <w:snapToGrid/>
      <w:spacing w:before="0" w:after="0" w:line="240" w:lineRule="auto"/>
      <w:ind w:right="0"/>
      <w:jc w:val="center"/>
    </w:pPr>
    <w:rPr>
      <w:rFonts w:hAnsi="Calibri" w:eastAsia="仿宋_GB2312"/>
      <w:b/>
      <w:bCs/>
      <w:kern w:val="2"/>
      <w:sz w:val="22"/>
      <w:szCs w:val="24"/>
    </w:rPr>
  </w:style>
  <w:style w:type="paragraph" w:customStyle="1" w:styleId="283">
    <w:name w:val="小标题（表内部的）"/>
    <w:basedOn w:val="1"/>
    <w:qFormat/>
    <w:uiPriority w:val="0"/>
    <w:pPr>
      <w:spacing w:line="360" w:lineRule="auto"/>
    </w:pPr>
    <w:rPr>
      <w:rFonts w:ascii="Calibri" w:hAnsi="Calibri" w:eastAsia="黑体"/>
      <w:b/>
      <w:bCs/>
      <w:sz w:val="24"/>
    </w:rPr>
  </w:style>
  <w:style w:type="paragraph" w:customStyle="1" w:styleId="284">
    <w:name w:val="p0"/>
    <w:basedOn w:val="1"/>
    <w:qFormat/>
    <w:uiPriority w:val="0"/>
    <w:pPr>
      <w:widowControl/>
    </w:pPr>
    <w:rPr>
      <w:rFonts w:ascii="Calibri" w:hAnsi="Calibri"/>
      <w:kern w:val="0"/>
      <w:szCs w:val="21"/>
    </w:rPr>
  </w:style>
  <w:style w:type="paragraph" w:customStyle="1" w:styleId="285">
    <w:name w:val="0环评标题2"/>
    <w:basedOn w:val="4"/>
    <w:qFormat/>
    <w:uiPriority w:val="0"/>
    <w:pPr>
      <w:spacing w:before="0" w:after="0" w:line="480" w:lineRule="exact"/>
      <w:ind w:firstLine="200" w:firstLineChars="200"/>
    </w:pPr>
    <w:rPr>
      <w:rFonts w:ascii="Cambria" w:hAnsi="Cambria" w:eastAsia="Times New Roman"/>
      <w:sz w:val="26"/>
    </w:rPr>
  </w:style>
  <w:style w:type="paragraph" w:customStyle="1" w:styleId="286">
    <w:name w:val="纯文本11"/>
    <w:basedOn w:val="1"/>
    <w:uiPriority w:val="0"/>
    <w:rPr>
      <w:rFonts w:ascii="Calibri" w:hAnsi="Courier New"/>
      <w:sz w:val="28"/>
      <w:szCs w:val="20"/>
    </w:rPr>
  </w:style>
  <w:style w:type="paragraph" w:customStyle="1" w:styleId="287">
    <w:name w:val="报告书表格"/>
    <w:basedOn w:val="1"/>
    <w:qFormat/>
    <w:uiPriority w:val="0"/>
    <w:pPr>
      <w:adjustRightInd w:val="0"/>
      <w:spacing w:before="60" w:after="60" w:line="240" w:lineRule="atLeast"/>
      <w:jc w:val="center"/>
    </w:pPr>
    <w:rPr>
      <w:rFonts w:ascii="Calibri" w:hAnsi="Calibri"/>
      <w:kern w:val="0"/>
      <w:szCs w:val="20"/>
    </w:rPr>
  </w:style>
  <w:style w:type="paragraph" w:customStyle="1" w:styleId="288">
    <w:name w:val="标题2"/>
    <w:basedOn w:val="13"/>
    <w:next w:val="5"/>
    <w:qFormat/>
    <w:uiPriority w:val="0"/>
    <w:pPr>
      <w:spacing w:line="480" w:lineRule="exact"/>
      <w:ind w:firstLine="482"/>
    </w:pPr>
    <w:rPr>
      <w:rFonts w:ascii="仿宋_GB2312" w:hAnsi="宋体" w:eastAsia="仿宋_GB2312"/>
      <w:b/>
      <w:bCs/>
      <w:color w:val="FF0000"/>
      <w:sz w:val="24"/>
    </w:rPr>
  </w:style>
  <w:style w:type="paragraph" w:customStyle="1" w:styleId="289">
    <w:name w:val="样式7"/>
    <w:basedOn w:val="1"/>
    <w:qFormat/>
    <w:uiPriority w:val="0"/>
    <w:pPr>
      <w:spacing w:line="480" w:lineRule="exact"/>
      <w:ind w:firstLine="200" w:firstLineChars="200"/>
    </w:pPr>
    <w:rPr>
      <w:rFonts w:ascii="宋体" w:hAnsi="宋体"/>
      <w:sz w:val="26"/>
      <w:szCs w:val="26"/>
    </w:rPr>
  </w:style>
  <w:style w:type="paragraph" w:customStyle="1" w:styleId="290">
    <w:name w:val="列表段落11"/>
    <w:basedOn w:val="1"/>
    <w:qFormat/>
    <w:uiPriority w:val="0"/>
    <w:pPr>
      <w:ind w:firstLine="420" w:firstLineChars="200"/>
    </w:pPr>
    <w:rPr>
      <w:rFonts w:ascii="Calibri" w:hAnsi="Calibri"/>
    </w:rPr>
  </w:style>
  <w:style w:type="paragraph" w:customStyle="1" w:styleId="291">
    <w:name w:val="小标题"/>
    <w:basedOn w:val="1"/>
    <w:qFormat/>
    <w:uiPriority w:val="0"/>
    <w:pPr>
      <w:tabs>
        <w:tab w:val="left" w:pos="630"/>
      </w:tabs>
      <w:adjustRightInd w:val="0"/>
      <w:spacing w:line="360" w:lineRule="auto"/>
      <w:ind w:firstLine="562" w:firstLineChars="200"/>
      <w:textAlignment w:val="baseline"/>
    </w:pPr>
    <w:rPr>
      <w:rFonts w:ascii="Calibri" w:hAnsi="Calibri" w:eastAsia="楷体_GB2312"/>
      <w:b/>
      <w:bCs/>
      <w:color w:val="000000"/>
      <w:kern w:val="0"/>
      <w:sz w:val="28"/>
      <w:szCs w:val="28"/>
    </w:rPr>
  </w:style>
  <w:style w:type="paragraph" w:customStyle="1" w:styleId="292">
    <w:name w:val="xl31"/>
    <w:basedOn w:val="1"/>
    <w:qFormat/>
    <w:uiPriority w:val="0"/>
    <w:pPr>
      <w:widowControl/>
      <w:spacing w:before="100" w:beforeAutospacing="1" w:after="100" w:afterAutospacing="1"/>
      <w:jc w:val="center"/>
    </w:pPr>
    <w:rPr>
      <w:rFonts w:ascii="Calibri" w:hAnsi="Calibri"/>
      <w:kern w:val="0"/>
      <w:sz w:val="24"/>
    </w:rPr>
  </w:style>
  <w:style w:type="paragraph" w:customStyle="1" w:styleId="293">
    <w:name w:val="表格式"/>
    <w:basedOn w:val="31"/>
    <w:qFormat/>
    <w:uiPriority w:val="0"/>
    <w:pPr>
      <w:spacing w:before="156" w:beforeLines="50" w:after="156" w:afterLines="50" w:line="240" w:lineRule="exact"/>
      <w:ind w:left="0" w:firstLine="0"/>
      <w:jc w:val="center"/>
    </w:pPr>
    <w:rPr>
      <w:sz w:val="21"/>
    </w:rPr>
  </w:style>
  <w:style w:type="paragraph" w:customStyle="1" w:styleId="294">
    <w:name w:val="样式 表（或图）标题 样式 宋体 五号 居中 SL CON + 非加粗"/>
    <w:basedOn w:val="295"/>
    <w:qFormat/>
    <w:uiPriority w:val="0"/>
    <w:pPr>
      <w:tabs>
        <w:tab w:val="left" w:pos="377"/>
      </w:tabs>
      <w:spacing w:before="0" w:beforeAutospacing="0" w:line="240" w:lineRule="auto"/>
    </w:pPr>
    <w:rPr>
      <w:rFonts w:ascii="Times New Roman" w:hAnsi="Times New Roman"/>
    </w:rPr>
  </w:style>
  <w:style w:type="paragraph" w:customStyle="1" w:styleId="295">
    <w:name w:val="表（或图）标题 样式 宋体 五号 居中 SL CON"/>
    <w:basedOn w:val="1"/>
    <w:qFormat/>
    <w:uiPriority w:val="0"/>
    <w:pPr>
      <w:widowControl/>
      <w:tabs>
        <w:tab w:val="left" w:pos="377"/>
      </w:tabs>
      <w:spacing w:before="100" w:beforeAutospacing="1" w:line="360" w:lineRule="auto"/>
      <w:jc w:val="center"/>
    </w:pPr>
    <w:rPr>
      <w:rFonts w:ascii="宋体" w:hAnsi="宋体" w:cs="宋体"/>
      <w:b/>
      <w:kern w:val="0"/>
      <w:szCs w:val="20"/>
    </w:rPr>
  </w:style>
  <w:style w:type="paragraph" w:customStyle="1" w:styleId="296">
    <w:name w:val="样式2"/>
    <w:basedOn w:val="1"/>
    <w:qFormat/>
    <w:uiPriority w:val="0"/>
    <w:pPr>
      <w:adjustRightInd w:val="0"/>
      <w:ind w:left="170"/>
      <w:jc w:val="left"/>
      <w:textAlignment w:val="baseline"/>
    </w:pPr>
    <w:rPr>
      <w:rFonts w:ascii="Calibri" w:hAnsi="Calibri"/>
      <w:b/>
      <w:kern w:val="0"/>
      <w:sz w:val="24"/>
      <w:szCs w:val="20"/>
    </w:rPr>
  </w:style>
  <w:style w:type="paragraph" w:customStyle="1" w:styleId="297">
    <w:name w:val="样式 正文 首行缩进:  2 字符 + 首行缩进:  2 字符"/>
    <w:basedOn w:val="1"/>
    <w:qFormat/>
    <w:uiPriority w:val="0"/>
    <w:pPr>
      <w:spacing w:before="100"/>
      <w:ind w:firstLine="560" w:firstLineChars="200"/>
    </w:pPr>
    <w:rPr>
      <w:rFonts w:ascii="Calibri" w:hAnsi="Calibri"/>
      <w:sz w:val="28"/>
      <w:szCs w:val="20"/>
    </w:rPr>
  </w:style>
  <w:style w:type="paragraph" w:customStyle="1" w:styleId="298">
    <w:name w:val="正文 首行缩进:  2 字符"/>
    <w:basedOn w:val="1"/>
    <w:qFormat/>
    <w:uiPriority w:val="0"/>
    <w:pPr>
      <w:ind w:firstLine="579" w:firstLineChars="200"/>
    </w:pPr>
    <w:rPr>
      <w:sz w:val="28"/>
      <w:szCs w:val="20"/>
    </w:rPr>
  </w:style>
  <w:style w:type="paragraph" w:customStyle="1" w:styleId="299">
    <w:name w:val="Char2"/>
    <w:basedOn w:val="1"/>
    <w:qFormat/>
    <w:uiPriority w:val="0"/>
    <w:rPr>
      <w:rFonts w:ascii="Calibri" w:hAnsi="Calibri"/>
    </w:rPr>
  </w:style>
  <w:style w:type="paragraph" w:customStyle="1" w:styleId="300">
    <w:name w:val="正文1"/>
    <w:basedOn w:val="1"/>
    <w:next w:val="13"/>
    <w:qFormat/>
    <w:uiPriority w:val="0"/>
    <w:pPr>
      <w:jc w:val="center"/>
    </w:pPr>
    <w:rPr>
      <w:rFonts w:ascii="Calibri" w:hAnsi="Calibri"/>
    </w:rPr>
  </w:style>
  <w:style w:type="paragraph" w:customStyle="1" w:styleId="301">
    <w:name w:val="Body Text 22"/>
    <w:basedOn w:val="1"/>
    <w:qFormat/>
    <w:uiPriority w:val="0"/>
    <w:pPr>
      <w:adjustRightInd w:val="0"/>
      <w:spacing w:line="440" w:lineRule="atLeast"/>
      <w:ind w:firstLine="480"/>
      <w:textAlignment w:val="baseline"/>
    </w:pPr>
    <w:rPr>
      <w:rFonts w:eastAsia="仿宋_GB2312" w:cs="Dutch801 Rm BT"/>
      <w:sz w:val="24"/>
      <w:szCs w:val="20"/>
    </w:rPr>
  </w:style>
  <w:style w:type="paragraph" w:customStyle="1" w:styleId="302">
    <w:name w:val="应填表格"/>
    <w:basedOn w:val="1"/>
    <w:qFormat/>
    <w:uiPriority w:val="0"/>
    <w:pPr>
      <w:adjustRightInd w:val="0"/>
      <w:spacing w:before="40" w:after="40"/>
      <w:jc w:val="left"/>
      <w:textAlignment w:val="baseline"/>
    </w:pPr>
    <w:rPr>
      <w:rFonts w:ascii="Calibri" w:hAnsi="Calibri"/>
      <w:kern w:val="0"/>
      <w:sz w:val="24"/>
      <w:szCs w:val="20"/>
    </w:rPr>
  </w:style>
  <w:style w:type="paragraph" w:customStyle="1" w:styleId="303">
    <w:name w:val="样式 标题ljm + 首行缩进:  2 字符"/>
    <w:basedOn w:val="1"/>
    <w:qFormat/>
    <w:uiPriority w:val="0"/>
    <w:pPr>
      <w:spacing w:line="360" w:lineRule="auto"/>
      <w:ind w:firstLine="482" w:firstLineChars="200"/>
    </w:pPr>
    <w:rPr>
      <w:rFonts w:ascii="Calibri" w:hAnsi="Calibri"/>
      <w:b/>
      <w:bCs/>
      <w:kern w:val="0"/>
      <w:sz w:val="24"/>
      <w:szCs w:val="20"/>
    </w:rPr>
  </w:style>
  <w:style w:type="paragraph" w:customStyle="1" w:styleId="304">
    <w:name w:val="表格填充1"/>
    <w:basedOn w:val="1"/>
    <w:qFormat/>
    <w:uiPriority w:val="0"/>
    <w:pPr>
      <w:adjustRightInd w:val="0"/>
      <w:snapToGrid w:val="0"/>
      <w:spacing w:line="400" w:lineRule="exact"/>
      <w:jc w:val="center"/>
    </w:pPr>
    <w:rPr>
      <w:kern w:val="0"/>
      <w:szCs w:val="18"/>
    </w:rPr>
  </w:style>
  <w:style w:type="paragraph" w:customStyle="1" w:styleId="305">
    <w:name w:val="CJ 文本111"/>
    <w:basedOn w:val="1"/>
    <w:qFormat/>
    <w:uiPriority w:val="0"/>
    <w:pPr>
      <w:spacing w:line="360" w:lineRule="auto"/>
      <w:ind w:firstLine="200" w:firstLineChars="200"/>
      <w:jc w:val="left"/>
    </w:pPr>
    <w:rPr>
      <w:rFonts w:ascii="Calibri" w:hAnsi="Calibri"/>
      <w:kern w:val="0"/>
      <w:sz w:val="24"/>
    </w:rPr>
  </w:style>
  <w:style w:type="paragraph" w:customStyle="1" w:styleId="306">
    <w:name w:val="Char Char Char1 Char Char Char Char"/>
    <w:basedOn w:val="1"/>
    <w:qFormat/>
    <w:uiPriority w:val="0"/>
    <w:pPr>
      <w:adjustRightInd w:val="0"/>
      <w:snapToGrid w:val="0"/>
      <w:spacing w:line="360" w:lineRule="auto"/>
      <w:ind w:firstLine="200" w:firstLineChars="200"/>
    </w:pPr>
  </w:style>
  <w:style w:type="paragraph" w:customStyle="1" w:styleId="307">
    <w:name w:val="默认段落字体 Para Char Char Char Char"/>
    <w:basedOn w:val="1"/>
    <w:qFormat/>
    <w:uiPriority w:val="0"/>
    <w:rPr>
      <w:rFonts w:ascii="Calibri" w:hAnsi="Calibri"/>
      <w:sz w:val="24"/>
    </w:rPr>
  </w:style>
  <w:style w:type="paragraph" w:customStyle="1" w:styleId="308">
    <w:name w:val="表biao"/>
    <w:basedOn w:val="1"/>
    <w:qFormat/>
    <w:uiPriority w:val="0"/>
    <w:pPr>
      <w:jc w:val="center"/>
    </w:pPr>
    <w:rPr>
      <w:rFonts w:ascii="宋体" w:hAnsi="宋体"/>
      <w:sz w:val="24"/>
    </w:rPr>
  </w:style>
  <w:style w:type="paragraph" w:customStyle="1" w:styleId="309">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paragraph" w:customStyle="1" w:styleId="310">
    <w:name w:val="Char Char Char Char Char Char Char Char Char Char Char Char Char Char Char Char Char Char Char Char Char Char Char Char Char Char Char Char Char Char Char Char Char"/>
    <w:basedOn w:val="1"/>
    <w:qFormat/>
    <w:uiPriority w:val="0"/>
    <w:pPr>
      <w:widowControl/>
      <w:spacing w:after="160" w:line="240" w:lineRule="exact"/>
      <w:jc w:val="left"/>
    </w:pPr>
    <w:rPr>
      <w:szCs w:val="20"/>
    </w:rPr>
  </w:style>
  <w:style w:type="paragraph" w:customStyle="1" w:styleId="311">
    <w:name w:val="表"/>
    <w:basedOn w:val="19"/>
    <w:qFormat/>
    <w:uiPriority w:val="0"/>
    <w:pPr>
      <w:widowControl w:val="0"/>
      <w:tabs>
        <w:tab w:val="left" w:pos="1736"/>
        <w:tab w:val="left" w:pos="2476"/>
        <w:tab w:val="left" w:pos="5505"/>
        <w:tab w:val="left" w:pos="9692"/>
      </w:tabs>
      <w:snapToGrid/>
      <w:spacing w:before="0" w:after="0" w:line="400" w:lineRule="exact"/>
      <w:ind w:right="0"/>
      <w:jc w:val="center"/>
    </w:pPr>
    <w:rPr>
      <w:rFonts w:ascii="仿宋_GB2312" w:hAnsi="Calibri" w:eastAsia="仿宋_GB2312"/>
      <w:b/>
      <w:bCs/>
      <w:color w:val="000000"/>
      <w:kern w:val="28"/>
      <w:sz w:val="28"/>
      <w:szCs w:val="24"/>
    </w:rPr>
  </w:style>
  <w:style w:type="paragraph" w:customStyle="1" w:styleId="312">
    <w:name w:val="图名-中煤"/>
    <w:basedOn w:val="19"/>
    <w:qFormat/>
    <w:uiPriority w:val="0"/>
    <w:pPr>
      <w:widowControl w:val="0"/>
      <w:autoSpaceDE w:val="0"/>
      <w:autoSpaceDN w:val="0"/>
      <w:adjustRightInd w:val="0"/>
      <w:spacing w:before="0" w:after="0" w:line="240" w:lineRule="auto"/>
      <w:ind w:right="0"/>
      <w:jc w:val="center"/>
    </w:pPr>
    <w:rPr>
      <w:rFonts w:eastAsia="Times New Roman"/>
      <w:sz w:val="26"/>
      <w:szCs w:val="24"/>
      <w:lang w:val="zh-CN"/>
    </w:rPr>
  </w:style>
  <w:style w:type="paragraph" w:customStyle="1" w:styleId="313">
    <w:name w:val="样式 (中文) 华文中宋 (符号) 华文中宋 行距: 1.5 倍行距 首行缩进:  2 字符"/>
    <w:basedOn w:val="1"/>
    <w:qFormat/>
    <w:uiPriority w:val="0"/>
    <w:pPr>
      <w:adjustRightInd w:val="0"/>
      <w:snapToGrid w:val="0"/>
      <w:spacing w:before="78" w:beforeLines="25" w:after="78" w:afterLines="25" w:line="360" w:lineRule="auto"/>
      <w:ind w:firstLine="200" w:firstLineChars="200"/>
    </w:pPr>
    <w:rPr>
      <w:rFonts w:ascii="Arial" w:hAnsi="Arial" w:eastAsia="仿宋_GB2312" w:cs="宋体"/>
      <w:sz w:val="28"/>
      <w:szCs w:val="28"/>
    </w:rPr>
  </w:style>
  <w:style w:type="paragraph" w:customStyle="1" w:styleId="314">
    <w:name w:val="正文3"/>
    <w:qFormat/>
    <w:uiPriority w:val="0"/>
    <w:pPr>
      <w:jc w:val="both"/>
    </w:pPr>
    <w:rPr>
      <w:rFonts w:ascii="Times New Roman" w:hAnsi="Times New Roman" w:eastAsia="宋体" w:cs="Times New Roman"/>
      <w:kern w:val="2"/>
      <w:sz w:val="21"/>
      <w:szCs w:val="21"/>
      <w:lang w:val="en-US" w:eastAsia="zh-CN" w:bidi="ar-SA"/>
    </w:rPr>
  </w:style>
  <w:style w:type="paragraph" w:customStyle="1" w:styleId="315">
    <w:name w:val="表芯"/>
    <w:basedOn w:val="1"/>
    <w:next w:val="1"/>
    <w:qFormat/>
    <w:uiPriority w:val="0"/>
    <w:pPr>
      <w:keepNext/>
      <w:adjustRightInd w:val="0"/>
      <w:spacing w:before="20" w:line="0" w:lineRule="atLeast"/>
      <w:jc w:val="center"/>
      <w:textAlignment w:val="baseline"/>
    </w:pPr>
    <w:rPr>
      <w:rFonts w:ascii="Calibri" w:hAnsi="Calibri"/>
      <w:kern w:val="21"/>
      <w:szCs w:val="20"/>
    </w:rPr>
  </w:style>
  <w:style w:type="paragraph" w:customStyle="1" w:styleId="316">
    <w:name w:val="首行缩进"/>
    <w:basedOn w:val="1"/>
    <w:qFormat/>
    <w:uiPriority w:val="0"/>
    <w:pPr>
      <w:tabs>
        <w:tab w:val="left" w:pos="-238"/>
      </w:tabs>
      <w:spacing w:line="340" w:lineRule="exact"/>
      <w:jc w:val="center"/>
    </w:pPr>
    <w:rPr>
      <w:color w:val="FF0000"/>
      <w:szCs w:val="21"/>
    </w:rPr>
  </w:style>
  <w:style w:type="paragraph" w:customStyle="1" w:styleId="317">
    <w:name w:val="album-div"/>
    <w:basedOn w:val="1"/>
    <w:qFormat/>
    <w:uiPriority w:val="0"/>
    <w:pPr>
      <w:widowControl/>
      <w:spacing w:before="100" w:beforeAutospacing="1" w:after="100" w:afterAutospacing="1"/>
      <w:jc w:val="left"/>
    </w:pPr>
    <w:rPr>
      <w:rFonts w:ascii="宋体" w:hAnsi="宋体" w:cs="宋体"/>
      <w:kern w:val="0"/>
      <w:sz w:val="24"/>
    </w:rPr>
  </w:style>
  <w:style w:type="paragraph" w:customStyle="1" w:styleId="318">
    <w:name w:val="文章正文 Char"/>
    <w:basedOn w:val="1"/>
    <w:qFormat/>
    <w:uiPriority w:val="0"/>
    <w:pPr>
      <w:spacing w:line="600" w:lineRule="exact"/>
      <w:ind w:firstLine="200" w:firstLineChars="200"/>
    </w:pPr>
    <w:rPr>
      <w:rFonts w:eastAsia="仿宋_GB2312"/>
      <w:sz w:val="32"/>
      <w:szCs w:val="32"/>
    </w:rPr>
  </w:style>
  <w:style w:type="paragraph" w:customStyle="1" w:styleId="319">
    <w:name w:val="报告表 表中文字"/>
    <w:basedOn w:val="1"/>
    <w:qFormat/>
    <w:uiPriority w:val="0"/>
    <w:pPr>
      <w:adjustRightInd w:val="0"/>
      <w:snapToGrid w:val="0"/>
      <w:jc w:val="center"/>
    </w:pPr>
    <w:rPr>
      <w:rFonts w:eastAsia="Times New Roman"/>
    </w:rPr>
  </w:style>
  <w:style w:type="paragraph" w:customStyle="1" w:styleId="320">
    <w:name w:val="02图"/>
    <w:basedOn w:val="14"/>
    <w:qFormat/>
    <w:uiPriority w:val="0"/>
    <w:pPr>
      <w:widowControl/>
      <w:jc w:val="center"/>
    </w:pPr>
    <w:rPr>
      <w:rFonts w:eastAsia="宋体"/>
      <w:b/>
      <w:sz w:val="22"/>
      <w:szCs w:val="22"/>
    </w:rPr>
  </w:style>
  <w:style w:type="paragraph" w:customStyle="1" w:styleId="321">
    <w:name w:val="表内文字 样式 五号 居中 行距: 单倍行距 SL CON"/>
    <w:basedOn w:val="1"/>
    <w:qFormat/>
    <w:uiPriority w:val="0"/>
    <w:pPr>
      <w:widowControl/>
      <w:tabs>
        <w:tab w:val="left" w:pos="377"/>
      </w:tabs>
      <w:spacing w:line="0" w:lineRule="atLeast"/>
      <w:jc w:val="center"/>
    </w:pPr>
    <w:rPr>
      <w:rFonts w:ascii="宋体" w:hAnsi="Calibri"/>
      <w:kern w:val="0"/>
      <w:szCs w:val="21"/>
    </w:rPr>
  </w:style>
  <w:style w:type="paragraph" w:customStyle="1" w:styleId="322">
    <w:name w:val="报告表格"/>
    <w:basedOn w:val="1"/>
    <w:qFormat/>
    <w:uiPriority w:val="0"/>
    <w:pPr>
      <w:autoSpaceDE w:val="0"/>
      <w:autoSpaceDN w:val="0"/>
      <w:adjustRightInd w:val="0"/>
      <w:spacing w:before="40" w:after="40"/>
      <w:jc w:val="center"/>
      <w:textAlignment w:val="bottom"/>
    </w:pPr>
    <w:rPr>
      <w:rFonts w:ascii="Calibri" w:hAnsi="Calibri"/>
      <w:kern w:val="0"/>
      <w:szCs w:val="20"/>
    </w:rPr>
  </w:style>
  <w:style w:type="paragraph" w:customStyle="1" w:styleId="323">
    <w:name w:val="表格-HF"/>
    <w:basedOn w:val="1"/>
    <w:qFormat/>
    <w:uiPriority w:val="2"/>
    <w:pPr>
      <w:jc w:val="center"/>
    </w:pPr>
    <w:rPr>
      <w:rFonts w:cs="宋体"/>
      <w:szCs w:val="21"/>
    </w:rPr>
  </w:style>
  <w:style w:type="paragraph" w:customStyle="1" w:styleId="324">
    <w:name w:val="我的正文"/>
    <w:qFormat/>
    <w:uiPriority w:val="0"/>
    <w:pPr>
      <w:adjustRightInd w:val="0"/>
      <w:snapToGrid w:val="0"/>
      <w:spacing w:line="360" w:lineRule="auto"/>
      <w:ind w:firstLine="200" w:firstLineChars="200"/>
    </w:pPr>
    <w:rPr>
      <w:rFonts w:ascii="Calibri" w:hAnsi="Calibri" w:eastAsia="宋体" w:cs="宋体"/>
      <w:color w:val="000000"/>
      <w:kern w:val="2"/>
      <w:sz w:val="24"/>
      <w:szCs w:val="22"/>
      <w:lang w:val="en-US" w:eastAsia="zh-CN" w:bidi="ar-SA"/>
    </w:rPr>
  </w:style>
  <w:style w:type="paragraph" w:customStyle="1" w:styleId="325">
    <w:name w:val="正文四号"/>
    <w:basedOn w:val="1"/>
    <w:qFormat/>
    <w:uiPriority w:val="0"/>
    <w:pPr>
      <w:spacing w:line="360" w:lineRule="auto"/>
      <w:ind w:firstLine="200" w:firstLineChars="200"/>
    </w:pPr>
    <w:rPr>
      <w:rFonts w:ascii="Calibri" w:hAnsi="Calibri" w:cs="宋体"/>
      <w:sz w:val="24"/>
      <w:szCs w:val="28"/>
    </w:rPr>
  </w:style>
  <w:style w:type="paragraph" w:customStyle="1" w:styleId="326">
    <w:name w:val="reader-word-layer reader-word-s3-7"/>
    <w:basedOn w:val="1"/>
    <w:qFormat/>
    <w:uiPriority w:val="0"/>
    <w:pPr>
      <w:widowControl/>
      <w:spacing w:before="100" w:beforeAutospacing="1" w:after="100" w:afterAutospacing="1"/>
      <w:jc w:val="left"/>
    </w:pPr>
    <w:rPr>
      <w:rFonts w:ascii="宋体" w:hAnsi="宋体" w:cs="宋体"/>
      <w:kern w:val="0"/>
      <w:sz w:val="24"/>
    </w:rPr>
  </w:style>
  <w:style w:type="paragraph" w:customStyle="1" w:styleId="327">
    <w:name w:val="xl25"/>
    <w:basedOn w:val="1"/>
    <w:qFormat/>
    <w:uiPriority w:val="0"/>
    <w:pPr>
      <w:widowControl/>
      <w:spacing w:before="100" w:beforeAutospacing="1" w:after="100" w:afterAutospacing="1"/>
      <w:jc w:val="center"/>
    </w:pPr>
    <w:rPr>
      <w:rFonts w:ascii="宋体" w:hAnsi="宋体"/>
      <w:kern w:val="0"/>
      <w:sz w:val="24"/>
    </w:rPr>
  </w:style>
  <w:style w:type="paragraph" w:customStyle="1" w:styleId="328">
    <w:name w:val="样式 标题 2节名节H22nd levelh2Header 2标题 1.1编号标题2head:2#2 hea..."/>
    <w:basedOn w:val="4"/>
    <w:next w:val="1"/>
    <w:qFormat/>
    <w:uiPriority w:val="0"/>
    <w:pPr>
      <w:keepNext w:val="0"/>
      <w:keepLines w:val="0"/>
      <w:tabs>
        <w:tab w:val="left" w:pos="460"/>
        <w:tab w:val="left" w:pos="576"/>
      </w:tabs>
      <w:adjustRightInd w:val="0"/>
      <w:snapToGrid w:val="0"/>
      <w:spacing w:before="156" w:beforeLines="50" w:after="156" w:afterLines="50" w:line="480" w:lineRule="exact"/>
      <w:jc w:val="left"/>
    </w:pPr>
    <w:rPr>
      <w:rFonts w:ascii="Times New Roman" w:hAnsi="Times New Roman"/>
      <w:kern w:val="0"/>
      <w:sz w:val="28"/>
      <w:szCs w:val="28"/>
    </w:rPr>
  </w:style>
  <w:style w:type="paragraph" w:customStyle="1" w:styleId="329">
    <w:name w:val="lulu表格"/>
    <w:basedOn w:val="1"/>
    <w:qFormat/>
    <w:uiPriority w:val="0"/>
    <w:pPr>
      <w:widowControl/>
      <w:jc w:val="center"/>
    </w:pPr>
    <w:rPr>
      <w:rFonts w:cs="宋体"/>
      <w:kern w:val="0"/>
      <w:sz w:val="22"/>
      <w:szCs w:val="22"/>
    </w:rPr>
  </w:style>
  <w:style w:type="paragraph" w:customStyle="1" w:styleId="330">
    <w:name w:val="Char Char Char Char Char Char Char"/>
    <w:basedOn w:val="1"/>
    <w:qFormat/>
    <w:uiPriority w:val="0"/>
    <w:pPr>
      <w:spacing w:after="160" w:line="240" w:lineRule="exact"/>
    </w:pPr>
    <w:rPr>
      <w:szCs w:val="20"/>
    </w:rPr>
  </w:style>
  <w:style w:type="paragraph" w:styleId="331">
    <w:name w:val="List Paragraph"/>
    <w:basedOn w:val="1"/>
    <w:qFormat/>
    <w:uiPriority w:val="99"/>
    <w:pPr>
      <w:ind w:firstLine="420" w:firstLineChars="200"/>
    </w:pPr>
  </w:style>
  <w:style w:type="paragraph" w:customStyle="1" w:styleId="332">
    <w:name w:val="样式 居中"/>
    <w:basedOn w:val="1"/>
    <w:qFormat/>
    <w:uiPriority w:val="0"/>
    <w:pPr>
      <w:widowControl/>
      <w:adjustRightInd w:val="0"/>
      <w:snapToGrid w:val="0"/>
      <w:jc w:val="center"/>
    </w:pPr>
    <w:rPr>
      <w:rFonts w:ascii="Arial" w:hAnsi="Arial" w:cs="宋体"/>
      <w:kern w:val="0"/>
      <w:sz w:val="24"/>
      <w:szCs w:val="20"/>
    </w:rPr>
  </w:style>
  <w:style w:type="paragraph" w:customStyle="1" w:styleId="333">
    <w:name w:val="表格文字居中"/>
    <w:next w:val="1"/>
    <w:qFormat/>
    <w:uiPriority w:val="0"/>
    <w:pPr>
      <w:adjustRightInd w:val="0"/>
      <w:snapToGrid w:val="0"/>
      <w:spacing w:before="24" w:beforeLines="10" w:after="24" w:afterLines="10"/>
    </w:pPr>
    <w:rPr>
      <w:rFonts w:ascii="Arial" w:hAnsi="Arial" w:eastAsia="宋体" w:cs="Times New Roman"/>
      <w:kern w:val="2"/>
      <w:sz w:val="21"/>
      <w:szCs w:val="24"/>
      <w:lang w:val="en-US" w:eastAsia="zh-CN" w:bidi="ar-SA"/>
    </w:rPr>
  </w:style>
  <w:style w:type="paragraph" w:customStyle="1" w:styleId="334">
    <w:name w:val="0环评 表中文字"/>
    <w:basedOn w:val="1"/>
    <w:qFormat/>
    <w:uiPriority w:val="0"/>
    <w:pPr>
      <w:adjustRightInd w:val="0"/>
      <w:snapToGrid w:val="0"/>
      <w:jc w:val="center"/>
    </w:pPr>
  </w:style>
  <w:style w:type="character" w:customStyle="1" w:styleId="335">
    <w:name w:val="样式25 Char"/>
    <w:link w:val="336"/>
    <w:qFormat/>
    <w:locked/>
    <w:uiPriority w:val="0"/>
    <w:rPr>
      <w:color w:val="000000"/>
      <w:kern w:val="2"/>
      <w:sz w:val="26"/>
    </w:rPr>
  </w:style>
  <w:style w:type="paragraph" w:customStyle="1" w:styleId="336">
    <w:name w:val="样式25"/>
    <w:basedOn w:val="1"/>
    <w:link w:val="335"/>
    <w:qFormat/>
    <w:uiPriority w:val="0"/>
    <w:pPr>
      <w:spacing w:line="460" w:lineRule="exact"/>
      <w:ind w:firstLine="520" w:firstLineChars="200"/>
    </w:pPr>
    <w:rPr>
      <w:color w:val="000000"/>
      <w:sz w:val="26"/>
      <w:szCs w:val="20"/>
    </w:rPr>
  </w:style>
  <w:style w:type="character" w:customStyle="1" w:styleId="337">
    <w:name w:val="纯文本 字符1"/>
    <w:semiHidden/>
    <w:qFormat/>
    <w:locked/>
    <w:uiPriority w:val="0"/>
    <w:rPr>
      <w:sz w:val="28"/>
    </w:rPr>
  </w:style>
  <w:style w:type="character" w:customStyle="1" w:styleId="338">
    <w:name w:val="01 大庆环评 正文 字符"/>
    <w:link w:val="339"/>
    <w:qFormat/>
    <w:uiPriority w:val="0"/>
    <w:rPr>
      <w:kern w:val="2"/>
      <w:sz w:val="21"/>
      <w:szCs w:val="28"/>
    </w:rPr>
  </w:style>
  <w:style w:type="paragraph" w:customStyle="1" w:styleId="339">
    <w:name w:val="01 大庆环评 正文"/>
    <w:basedOn w:val="251"/>
    <w:link w:val="338"/>
    <w:qFormat/>
    <w:uiPriority w:val="0"/>
    <w:rPr>
      <w:sz w:val="21"/>
      <w:szCs w:val="28"/>
    </w:rPr>
  </w:style>
  <w:style w:type="paragraph" w:customStyle="1" w:styleId="340">
    <w:name w:val="01大庆环评 表格文字"/>
    <w:basedOn w:val="1"/>
    <w:qFormat/>
    <w:uiPriority w:val="0"/>
    <w:pPr>
      <w:jc w:val="center"/>
    </w:pPr>
    <w:rPr>
      <w:kern w:val="0"/>
    </w:rPr>
  </w:style>
  <w:style w:type="paragraph" w:customStyle="1" w:styleId="341">
    <w:name w:val="02 大庆环评 表格标题"/>
    <w:basedOn w:val="1"/>
    <w:qFormat/>
    <w:uiPriority w:val="0"/>
    <w:pPr>
      <w:widowControl/>
      <w:spacing w:line="360" w:lineRule="auto"/>
      <w:jc w:val="center"/>
    </w:pPr>
    <w:rPr>
      <w:rFonts w:cs="宋体"/>
      <w:b/>
      <w:kern w:val="0"/>
      <w:szCs w:val="22"/>
    </w:rPr>
  </w:style>
  <w:style w:type="character" w:customStyle="1" w:styleId="342">
    <w:name w:val="05 大庆环评 正文 字符"/>
    <w:link w:val="343"/>
    <w:qFormat/>
    <w:uiPriority w:val="0"/>
    <w:rPr>
      <w:kern w:val="2"/>
      <w:sz w:val="24"/>
      <w:szCs w:val="26"/>
    </w:rPr>
  </w:style>
  <w:style w:type="paragraph" w:customStyle="1" w:styleId="343">
    <w:name w:val="05 大庆环评 正文"/>
    <w:basedOn w:val="1"/>
    <w:link w:val="342"/>
    <w:qFormat/>
    <w:uiPriority w:val="0"/>
    <w:pPr>
      <w:adjustRightInd w:val="0"/>
      <w:snapToGrid w:val="0"/>
      <w:spacing w:line="360" w:lineRule="auto"/>
      <w:ind w:firstLine="200" w:firstLineChars="200"/>
    </w:pPr>
    <w:rPr>
      <w:sz w:val="24"/>
      <w:szCs w:val="26"/>
    </w:rPr>
  </w:style>
  <w:style w:type="paragraph" w:customStyle="1" w:styleId="344">
    <w:name w:val="07 大庆环评 表格标题"/>
    <w:basedOn w:val="343"/>
    <w:qFormat/>
    <w:uiPriority w:val="0"/>
    <w:pPr>
      <w:ind w:firstLine="0" w:firstLineChars="0"/>
      <w:jc w:val="center"/>
    </w:pPr>
    <w:rPr>
      <w:b/>
      <w:bCs/>
      <w:sz w:val="21"/>
      <w:szCs w:val="28"/>
    </w:rPr>
  </w:style>
  <w:style w:type="character" w:customStyle="1" w:styleId="345">
    <w:name w:val="未处理的提及1"/>
    <w:unhideWhenUsed/>
    <w:qFormat/>
    <w:uiPriority w:val="99"/>
    <w:rPr>
      <w:color w:val="605E5C"/>
      <w:shd w:val="clear" w:color="auto" w:fill="E1DFDD"/>
    </w:rPr>
  </w:style>
  <w:style w:type="paragraph" w:customStyle="1" w:styleId="346">
    <w:name w:val="06 大庆环评 表格问题"/>
    <w:basedOn w:val="343"/>
    <w:qFormat/>
    <w:uiPriority w:val="0"/>
    <w:pPr>
      <w:spacing w:line="240" w:lineRule="auto"/>
      <w:ind w:firstLine="0" w:firstLineChars="0"/>
      <w:jc w:val="center"/>
    </w:pPr>
    <w:rPr>
      <w:sz w:val="21"/>
      <w:szCs w:val="22"/>
    </w:rPr>
  </w:style>
  <w:style w:type="paragraph" w:customStyle="1" w:styleId="347">
    <w:name w:val="ns正文"/>
    <w:basedOn w:val="1"/>
    <w:qFormat/>
    <w:uiPriority w:val="0"/>
    <w:pPr>
      <w:spacing w:line="360" w:lineRule="auto"/>
      <w:ind w:firstLine="200" w:firstLineChars="200"/>
    </w:pPr>
    <w:rPr>
      <w:sz w:val="24"/>
      <w:szCs w:val="22"/>
    </w:rPr>
  </w:style>
  <w:style w:type="table" w:customStyle="1" w:styleId="348">
    <w:name w:val="Table Normal"/>
    <w:unhideWhenUsed/>
    <w:qFormat/>
    <w:uiPriority w:val="2"/>
    <w:pPr>
      <w:widowControl w:val="0"/>
      <w:autoSpaceDE w:val="0"/>
      <w:autoSpaceDN w:val="0"/>
    </w:pPr>
    <w:rPr>
      <w:rFonts w:ascii="等线" w:hAnsi="等线" w:eastAsia="等线"/>
      <w:sz w:val="22"/>
      <w:szCs w:val="22"/>
      <w:lang w:eastAsia="en-US"/>
    </w:rPr>
    <w:tblPr>
      <w:tblCellMar>
        <w:top w:w="0" w:type="dxa"/>
        <w:left w:w="0" w:type="dxa"/>
        <w:bottom w:w="0" w:type="dxa"/>
        <w:right w:w="0" w:type="dxa"/>
      </w:tblCellMar>
    </w:tblPr>
  </w:style>
  <w:style w:type="character" w:customStyle="1" w:styleId="349">
    <w:name w:val="07大庆环评 报告文本 字符"/>
    <w:link w:val="350"/>
    <w:qFormat/>
    <w:uiPriority w:val="0"/>
    <w:rPr>
      <w:kern w:val="2"/>
      <w:sz w:val="21"/>
      <w:szCs w:val="28"/>
    </w:rPr>
  </w:style>
  <w:style w:type="paragraph" w:customStyle="1" w:styleId="350">
    <w:name w:val="07大庆环评 报告文本"/>
    <w:basedOn w:val="1"/>
    <w:link w:val="349"/>
    <w:qFormat/>
    <w:uiPriority w:val="0"/>
    <w:pPr>
      <w:spacing w:line="360" w:lineRule="auto"/>
      <w:ind w:firstLine="200" w:firstLineChars="200"/>
    </w:pPr>
    <w:rPr>
      <w:szCs w:val="28"/>
    </w:rPr>
  </w:style>
  <w:style w:type="character" w:customStyle="1" w:styleId="351">
    <w:name w:val="Char1 Char Char Char Char Char1"/>
    <w:qFormat/>
    <w:uiPriority w:val="0"/>
    <w:rPr>
      <w:rFonts w:eastAsia="宋体"/>
      <w:kern w:val="2"/>
      <w:sz w:val="21"/>
      <w:szCs w:val="24"/>
      <w:lang w:val="en-US" w:eastAsia="zh-CN" w:bidi="ar-SA"/>
    </w:rPr>
  </w:style>
  <w:style w:type="character" w:customStyle="1" w:styleId="352">
    <w:name w:val="Char Char71"/>
    <w:qFormat/>
    <w:uiPriority w:val="0"/>
    <w:rPr>
      <w:rFonts w:ascii="宋体" w:hAnsi="宋体" w:eastAsia="黑体"/>
      <w:bCs/>
      <w:color w:val="FF0000"/>
      <w:kern w:val="2"/>
      <w:sz w:val="28"/>
      <w:szCs w:val="28"/>
    </w:rPr>
  </w:style>
  <w:style w:type="character" w:customStyle="1" w:styleId="353">
    <w:name w:val="Char1 Char Char1"/>
    <w:qFormat/>
    <w:uiPriority w:val="0"/>
    <w:rPr>
      <w:rFonts w:eastAsia="宋体"/>
      <w:kern w:val="2"/>
      <w:sz w:val="21"/>
      <w:szCs w:val="24"/>
      <w:lang w:val="en-US" w:eastAsia="zh-CN" w:bidi="ar-SA"/>
    </w:rPr>
  </w:style>
  <w:style w:type="character" w:customStyle="1" w:styleId="354">
    <w:name w:val="Char Char1"/>
    <w:qFormat/>
    <w:uiPriority w:val="0"/>
    <w:rPr>
      <w:rFonts w:eastAsia="宋体"/>
      <w:b/>
      <w:bCs/>
      <w:kern w:val="44"/>
      <w:sz w:val="24"/>
      <w:szCs w:val="44"/>
      <w:lang w:val="en-US" w:eastAsia="zh-CN" w:bidi="ar-SA"/>
    </w:rPr>
  </w:style>
  <w:style w:type="character" w:customStyle="1" w:styleId="355">
    <w:name w:val="Char1 Char"/>
    <w:link w:val="356"/>
    <w:qFormat/>
    <w:uiPriority w:val="0"/>
    <w:rPr>
      <w:kern w:val="2"/>
      <w:sz w:val="21"/>
      <w:szCs w:val="24"/>
    </w:rPr>
  </w:style>
  <w:style w:type="paragraph" w:customStyle="1" w:styleId="356">
    <w:name w:val="Char11"/>
    <w:basedOn w:val="1"/>
    <w:link w:val="355"/>
    <w:qFormat/>
    <w:uiPriority w:val="0"/>
  </w:style>
  <w:style w:type="paragraph" w:customStyle="1" w:styleId="357">
    <w:name w:val="Char Char Char Char1"/>
    <w:basedOn w:val="1"/>
    <w:qFormat/>
    <w:uiPriority w:val="0"/>
    <w:rPr>
      <w:rFonts w:ascii="Calibri" w:hAnsi="Calibri"/>
    </w:rPr>
  </w:style>
  <w:style w:type="paragraph" w:customStyle="1" w:styleId="358">
    <w:name w:val="Char1 Char Char Char1"/>
    <w:basedOn w:val="1"/>
    <w:qFormat/>
    <w:uiPriority w:val="0"/>
    <w:rPr>
      <w:rFonts w:ascii="Calibri" w:hAnsi="Calibri"/>
    </w:rPr>
  </w:style>
  <w:style w:type="paragraph" w:customStyle="1" w:styleId="359">
    <w:name w:val="Char3"/>
    <w:basedOn w:val="1"/>
    <w:qFormat/>
    <w:uiPriority w:val="0"/>
    <w:rPr>
      <w:rFonts w:ascii="Calibri" w:hAnsi="Calibri"/>
    </w:rPr>
  </w:style>
  <w:style w:type="paragraph" w:customStyle="1" w:styleId="360">
    <w:name w:val="Char Char Char Char Char Char"/>
    <w:basedOn w:val="1"/>
    <w:next w:val="2"/>
    <w:qFormat/>
    <w:uiPriority w:val="0"/>
    <w:rPr>
      <w:rFonts w:ascii="Calibri" w:hAnsi="Calibri"/>
      <w:sz w:val="28"/>
      <w:szCs w:val="28"/>
    </w:rPr>
  </w:style>
  <w:style w:type="paragraph" w:customStyle="1" w:styleId="361">
    <w:name w:val="07 大庆环评 表格文字"/>
    <w:basedOn w:val="1"/>
    <w:qFormat/>
    <w:uiPriority w:val="0"/>
    <w:pPr>
      <w:jc w:val="center"/>
    </w:pPr>
    <w:rPr>
      <w:szCs w:val="22"/>
    </w:rPr>
  </w:style>
  <w:style w:type="paragraph" w:customStyle="1" w:styleId="362">
    <w:name w:val="正文缩进3"/>
    <w:basedOn w:val="1"/>
    <w:qFormat/>
    <w:uiPriority w:val="0"/>
    <w:pPr>
      <w:ind w:firstLine="420" w:firstLineChars="200"/>
    </w:pPr>
    <w:rPr>
      <w:rFonts w:ascii="Calibri" w:hAnsi="Calibri"/>
    </w:rPr>
  </w:style>
  <w:style w:type="paragraph" w:customStyle="1" w:styleId="363">
    <w:name w:val="Char4 Char Char Char Char Char Char11"/>
    <w:basedOn w:val="1"/>
    <w:qFormat/>
    <w:uiPriority w:val="0"/>
    <w:pPr>
      <w:spacing w:line="360" w:lineRule="auto"/>
      <w:ind w:firstLine="200" w:firstLineChars="200"/>
    </w:pPr>
    <w:rPr>
      <w:rFonts w:ascii="宋体" w:hAnsi="宋体" w:cs="宋体"/>
      <w:sz w:val="24"/>
    </w:rPr>
  </w:style>
  <w:style w:type="paragraph" w:customStyle="1" w:styleId="364">
    <w:name w:val="列表段落2"/>
    <w:basedOn w:val="1"/>
    <w:qFormat/>
    <w:uiPriority w:val="0"/>
    <w:pPr>
      <w:ind w:firstLine="420" w:firstLineChars="200"/>
    </w:pPr>
    <w:rPr>
      <w:rFonts w:ascii="Calibri" w:hAnsi="Calibri"/>
    </w:rPr>
  </w:style>
  <w:style w:type="paragraph" w:customStyle="1" w:styleId="365">
    <w:name w:val="Char Char Char Char Char Char Char Char Char Char Char Char Char1"/>
    <w:basedOn w:val="1"/>
    <w:qFormat/>
    <w:uiPriority w:val="0"/>
    <w:rPr>
      <w:rFonts w:ascii="Calibri" w:hAnsi="Calibri"/>
    </w:rPr>
  </w:style>
  <w:style w:type="paragraph" w:customStyle="1" w:styleId="366">
    <w:name w:val="纯文本3"/>
    <w:basedOn w:val="1"/>
    <w:qFormat/>
    <w:uiPriority w:val="0"/>
    <w:rPr>
      <w:rFonts w:ascii="宋体" w:hAnsi="Courier New"/>
    </w:rPr>
  </w:style>
  <w:style w:type="paragraph" w:customStyle="1" w:styleId="367">
    <w:name w:val="Char Char1 Char Char Char Char Char Char Char Char Char1"/>
    <w:basedOn w:val="1"/>
    <w:qFormat/>
    <w:uiPriority w:val="0"/>
    <w:rPr>
      <w:rFonts w:ascii="Calibri" w:hAnsi="Calibri"/>
    </w:rPr>
  </w:style>
  <w:style w:type="paragraph" w:customStyle="1" w:styleId="368">
    <w:name w:val="08 大庆环评 表格标题2"/>
    <w:basedOn w:val="4"/>
    <w:qFormat/>
    <w:uiPriority w:val="0"/>
    <w:pPr>
      <w:spacing w:before="0" w:after="0" w:line="360" w:lineRule="auto"/>
      <w:jc w:val="center"/>
      <w:outlineLvl w:val="9"/>
    </w:pPr>
    <w:rPr>
      <w:rFonts w:ascii="Times New Roman" w:hAnsi="Times New Roman" w:eastAsia="宋体"/>
      <w:sz w:val="21"/>
    </w:rPr>
  </w:style>
  <w:style w:type="paragraph" w:customStyle="1" w:styleId="369">
    <w:name w:val="Char Char Char1 Char Char Char Char1"/>
    <w:basedOn w:val="1"/>
    <w:qFormat/>
    <w:uiPriority w:val="0"/>
    <w:pPr>
      <w:adjustRightInd w:val="0"/>
      <w:snapToGrid w:val="0"/>
      <w:spacing w:line="360" w:lineRule="auto"/>
      <w:ind w:firstLine="200" w:firstLineChars="200"/>
    </w:pPr>
  </w:style>
  <w:style w:type="paragraph" w:customStyle="1" w:styleId="370">
    <w:name w:val="05大庆环评 正文"/>
    <w:basedOn w:val="1"/>
    <w:qFormat/>
    <w:uiPriority w:val="0"/>
    <w:pPr>
      <w:spacing w:line="360" w:lineRule="auto"/>
      <w:ind w:firstLine="200" w:firstLineChars="200"/>
    </w:pPr>
    <w:rPr>
      <w:sz w:val="24"/>
      <w:szCs w:val="22"/>
    </w:rPr>
  </w:style>
  <w:style w:type="paragraph" w:customStyle="1" w:styleId="371">
    <w:name w:val="Normal_0_0"/>
    <w:qFormat/>
    <w:uiPriority w:val="0"/>
    <w:pPr>
      <w:widowControl w:val="0"/>
      <w:spacing w:line="360" w:lineRule="auto"/>
      <w:ind w:firstLine="200" w:firstLineChars="200"/>
      <w:jc w:val="both"/>
    </w:pPr>
    <w:rPr>
      <w:rFonts w:ascii="Times New Roman" w:hAnsi="Times New Roman" w:eastAsia="仿宋" w:cs="Times New Roman"/>
      <w:kern w:val="2"/>
      <w:sz w:val="28"/>
      <w:szCs w:val="21"/>
      <w:lang w:val="en-US" w:eastAsia="zh-CN" w:bidi="ar-SA"/>
    </w:rPr>
  </w:style>
  <w:style w:type="table" w:customStyle="1" w:styleId="372">
    <w:name w:val="Table Grid_0"/>
    <w:basedOn w:val="42"/>
    <w:qFormat/>
    <w:uiPriority w:val="0"/>
    <w:rPr>
      <w:rFonts w:eastAsia="仿宋"/>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73">
    <w:name w:val="Placeholder Text"/>
    <w:basedOn w:val="44"/>
    <w:unhideWhenUsed/>
    <w:qFormat/>
    <w:uiPriority w:val="99"/>
    <w:rPr>
      <w:color w:val="808080"/>
    </w:rPr>
  </w:style>
  <w:style w:type="character" w:customStyle="1" w:styleId="374">
    <w:name w:val="正文文本缩进 2 Char"/>
    <w:qFormat/>
    <w:uiPriority w:val="0"/>
    <w:rPr>
      <w:kern w:val="2"/>
      <w:sz w:val="21"/>
      <w:szCs w:val="24"/>
    </w:rPr>
  </w:style>
  <w:style w:type="paragraph" w:customStyle="1" w:styleId="375">
    <w:name w:val="_Style 374"/>
    <w:basedOn w:val="1"/>
    <w:next w:val="33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6" Type="http://schemas.openxmlformats.org/officeDocument/2006/relationships/fontTable" Target="fontTable.xml"/><Relationship Id="rId25" Type="http://schemas.openxmlformats.org/officeDocument/2006/relationships/customXml" Target="../customXml/item2.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wmf"/><Relationship Id="rId16" Type="http://schemas.openxmlformats.org/officeDocument/2006/relationships/image" Target="media/image10.wmf"/><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F4162CB-8024-4D18-A1D2-983B7484BCE5}">
  <ds:schemaRefs/>
</ds:datastoreItem>
</file>

<file path=docProps/app.xml><?xml version="1.0" encoding="utf-8"?>
<Properties xmlns="http://schemas.openxmlformats.org/officeDocument/2006/extended-properties" xmlns:vt="http://schemas.openxmlformats.org/officeDocument/2006/docPropsVTypes">
  <Template>Normal.dotm</Template>
  <Company>QBPC</Company>
  <Pages>106</Pages>
  <Words>72441</Words>
  <Characters>80670</Characters>
  <Lines>627</Lines>
  <Paragraphs>176</Paragraphs>
  <TotalTime>42</TotalTime>
  <ScaleCrop>false</ScaleCrop>
  <LinksUpToDate>false</LinksUpToDate>
  <CharactersWithSpaces>81020</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2022-10-11T07:01:00Z</dcterms:created>
  <dc:creator>尚云环境</dc:creator>
  <cp:lastModifiedBy>idiot</cp:lastModifiedBy>
  <cp:lastPrinted>2022-06-20T01:49:00Z</cp:lastPrinted>
  <dcterms:modified xsi:type="dcterms:W3CDTF">2022-10-17T07:21:46Z</dcterms:modified>
  <dc:title>建设项目环境影响报告表（生态影响类）</dc:title>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986F23CB8A384B30A43993631EDB4998</vt:lpwstr>
  </property>
</Properties>
</file>