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Style w:val="4"/>
          <w:rFonts w:hint="eastAsia" w:ascii="方正小标宋简体" w:hAnsi="方正小标宋简体" w:eastAsia="方正小标宋简体" w:cs="方正小标宋简体"/>
          <w:lang w:val="en-US" w:eastAsia="zh-CN"/>
        </w:rPr>
      </w:pPr>
      <w:r>
        <w:rPr>
          <w:rStyle w:val="4"/>
          <w:rFonts w:hint="eastAsia" w:ascii="方正小标宋简体" w:hAnsi="方正小标宋简体" w:eastAsia="方正小标宋简体" w:cs="方正小标宋简体"/>
          <w:lang w:val="en-US" w:eastAsia="zh-CN"/>
        </w:rPr>
        <w:t>2023年达州市通川区国有资本经营预算收支执行情况的说明</w:t>
      </w:r>
    </w:p>
    <w:p>
      <w:pPr>
        <w:adjustRightInd w:val="0"/>
        <w:snapToGrid w:val="0"/>
        <w:spacing w:line="578" w:lineRule="exact"/>
        <w:ind w:left="210" w:leftChars="100" w:firstLine="880" w:firstLineChars="200"/>
        <w:rPr>
          <w:rFonts w:hint="default" w:ascii="Times New Roman" w:hAnsi="Times New Roman" w:cs="Times New Roman"/>
          <w:color w:val="000000"/>
          <w:sz w:val="44"/>
          <w:szCs w:val="44"/>
        </w:rPr>
      </w:pPr>
    </w:p>
    <w:p>
      <w:pPr>
        <w:spacing w:line="578" w:lineRule="exact"/>
        <w:ind w:firstLine="640" w:firstLineChars="200"/>
        <w:rPr>
          <w:rStyle w:val="8"/>
          <w:rFonts w:hint="eastAsia" w:ascii="Times New Roman" w:hAnsi="Times New Roman" w:eastAsia="方正仿宋简体" w:cs="Times New Roman"/>
          <w:lang w:val="en-US" w:eastAsia="zh-CN"/>
        </w:rPr>
      </w:pPr>
      <w:r>
        <w:rPr>
          <w:rStyle w:val="8"/>
          <w:rFonts w:hint="default" w:ascii="Times New Roman" w:hAnsi="Times New Roman" w:eastAsia="方正仿宋简体" w:cs="Times New Roman"/>
        </w:rPr>
        <w:t>20</w:t>
      </w:r>
      <w:r>
        <w:rPr>
          <w:rStyle w:val="8"/>
          <w:rFonts w:hint="default" w:ascii="Times New Roman" w:hAnsi="Times New Roman" w:eastAsia="方正仿宋简体" w:cs="Times New Roman"/>
          <w:lang w:val="en-US" w:eastAsia="zh-CN"/>
        </w:rPr>
        <w:t>2</w:t>
      </w:r>
      <w:r>
        <w:rPr>
          <w:rStyle w:val="8"/>
          <w:rFonts w:hint="eastAsia" w:ascii="Times New Roman" w:hAnsi="Times New Roman" w:eastAsia="方正仿宋简体" w:cs="Times New Roman"/>
          <w:lang w:val="en-US" w:eastAsia="zh-CN"/>
        </w:rPr>
        <w:t>3</w:t>
      </w:r>
      <w:r>
        <w:rPr>
          <w:rStyle w:val="8"/>
          <w:rFonts w:hint="default" w:ascii="Times New Roman" w:hAnsi="Times New Roman" w:eastAsia="方正仿宋简体" w:cs="Times New Roman"/>
        </w:rPr>
        <w:t>年</w:t>
      </w:r>
      <w:r>
        <w:rPr>
          <w:rStyle w:val="8"/>
          <w:rFonts w:hint="eastAsia" w:ascii="Times New Roman" w:hAnsi="Times New Roman" w:eastAsia="方正仿宋简体" w:cs="Times New Roman"/>
          <w:lang w:eastAsia="zh-CN"/>
        </w:rPr>
        <w:t>通川区</w:t>
      </w:r>
      <w:r>
        <w:rPr>
          <w:rStyle w:val="8"/>
          <w:rFonts w:hint="default" w:ascii="Times New Roman" w:hAnsi="Times New Roman" w:eastAsia="方正仿宋简体" w:cs="Times New Roman"/>
        </w:rPr>
        <w:t>国有资本经营预算收入执行数为</w:t>
      </w:r>
      <w:r>
        <w:rPr>
          <w:rStyle w:val="8"/>
          <w:rFonts w:hint="eastAsia" w:ascii="Times New Roman" w:hAnsi="Times New Roman" w:eastAsia="方正仿宋简体" w:cs="Times New Roman"/>
          <w:lang w:val="en-US" w:eastAsia="zh-CN"/>
        </w:rPr>
        <w:t>500</w:t>
      </w:r>
      <w:r>
        <w:rPr>
          <w:rStyle w:val="8"/>
          <w:rFonts w:hint="default" w:ascii="Times New Roman" w:hAnsi="Times New Roman" w:eastAsia="方正仿宋简体" w:cs="Times New Roman"/>
        </w:rPr>
        <w:t>万元，</w:t>
      </w:r>
      <w:r>
        <w:rPr>
          <w:rStyle w:val="8"/>
          <w:rFonts w:hint="eastAsia" w:ascii="Times New Roman" w:hAnsi="Times New Roman" w:eastAsia="方正仿宋简体" w:cs="Times New Roman"/>
          <w:lang w:eastAsia="zh-CN"/>
        </w:rPr>
        <w:t>为调整</w:t>
      </w:r>
      <w:r>
        <w:rPr>
          <w:rStyle w:val="8"/>
          <w:rFonts w:hint="default" w:ascii="Times New Roman" w:hAnsi="Times New Roman" w:eastAsia="方正仿宋简体" w:cs="Times New Roman"/>
        </w:rPr>
        <w:t>预算数</w:t>
      </w:r>
      <w:r>
        <w:rPr>
          <w:rStyle w:val="8"/>
          <w:rFonts w:hint="eastAsia" w:ascii="Times New Roman" w:hAnsi="Times New Roman" w:eastAsia="方正仿宋简体" w:cs="Times New Roman"/>
          <w:lang w:eastAsia="zh-CN"/>
        </w:rPr>
        <w:t>的</w:t>
      </w:r>
      <w:r>
        <w:rPr>
          <w:rStyle w:val="8"/>
          <w:rFonts w:hint="eastAsia" w:ascii="Times New Roman" w:hAnsi="Times New Roman" w:eastAsia="方正仿宋简体" w:cs="Times New Roman"/>
          <w:lang w:val="en-US" w:eastAsia="zh-CN"/>
        </w:rPr>
        <w:t>100</w:t>
      </w:r>
      <w:r>
        <w:rPr>
          <w:rStyle w:val="8"/>
          <w:rFonts w:hint="default" w:ascii="Times New Roman" w:hAnsi="Times New Roman" w:eastAsia="方正仿宋简体" w:cs="Times New Roman"/>
        </w:rPr>
        <w:t>%</w:t>
      </w:r>
      <w:r>
        <w:rPr>
          <w:rStyle w:val="8"/>
          <w:rFonts w:hint="default" w:ascii="Times New Roman" w:hAnsi="Times New Roman" w:eastAsia="方正仿宋简体" w:cs="Times New Roman"/>
          <w:lang w:eastAsia="zh-CN"/>
        </w:rPr>
        <w:t>，</w:t>
      </w:r>
      <w:r>
        <w:rPr>
          <w:rStyle w:val="8"/>
          <w:rFonts w:hint="eastAsia" w:ascii="Times New Roman" w:hAnsi="Times New Roman" w:eastAsia="方正仿宋简体" w:cs="Times New Roman"/>
          <w:lang w:eastAsia="zh-CN"/>
        </w:rPr>
        <w:t>加上级补助收入</w:t>
      </w:r>
      <w:r>
        <w:rPr>
          <w:rStyle w:val="8"/>
          <w:rFonts w:hint="eastAsia" w:ascii="Times New Roman" w:hAnsi="Times New Roman" w:eastAsia="方正仿宋简体" w:cs="Times New Roman"/>
          <w:lang w:val="en-US" w:eastAsia="zh-CN"/>
        </w:rPr>
        <w:t>92万元，收入总量为592万元。</w:t>
      </w:r>
      <w:r>
        <w:rPr>
          <w:rStyle w:val="8"/>
          <w:rFonts w:hint="default" w:ascii="Times New Roman" w:hAnsi="Times New Roman" w:eastAsia="方正仿宋简体" w:cs="Times New Roman"/>
        </w:rPr>
        <w:t>20</w:t>
      </w:r>
      <w:r>
        <w:rPr>
          <w:rStyle w:val="8"/>
          <w:rFonts w:hint="default" w:ascii="Times New Roman" w:hAnsi="Times New Roman" w:eastAsia="方正仿宋简体" w:cs="Times New Roman"/>
          <w:lang w:val="en-US" w:eastAsia="zh-CN"/>
        </w:rPr>
        <w:t>2</w:t>
      </w:r>
      <w:r>
        <w:rPr>
          <w:rStyle w:val="8"/>
          <w:rFonts w:hint="eastAsia" w:ascii="Times New Roman" w:hAnsi="Times New Roman" w:eastAsia="方正仿宋简体" w:cs="Times New Roman"/>
          <w:lang w:val="en-US" w:eastAsia="zh-CN"/>
        </w:rPr>
        <w:t>3</w:t>
      </w:r>
      <w:r>
        <w:rPr>
          <w:rStyle w:val="8"/>
          <w:rFonts w:hint="default" w:ascii="Times New Roman" w:hAnsi="Times New Roman" w:eastAsia="方正仿宋简体" w:cs="Times New Roman"/>
        </w:rPr>
        <w:t>年</w:t>
      </w:r>
      <w:r>
        <w:rPr>
          <w:rStyle w:val="8"/>
          <w:rFonts w:hint="eastAsia" w:ascii="Times New Roman" w:hAnsi="Times New Roman" w:eastAsia="方正仿宋简体" w:cs="Times New Roman"/>
          <w:lang w:eastAsia="zh-CN"/>
        </w:rPr>
        <w:t>通川区</w:t>
      </w:r>
      <w:r>
        <w:rPr>
          <w:rStyle w:val="8"/>
          <w:rFonts w:hint="default" w:ascii="Times New Roman" w:hAnsi="Times New Roman" w:eastAsia="方正仿宋简体" w:cs="Times New Roman"/>
        </w:rPr>
        <w:t>国有资本经营预算支出</w:t>
      </w:r>
      <w:r>
        <w:rPr>
          <w:rStyle w:val="8"/>
          <w:rFonts w:hint="default" w:ascii="Times New Roman" w:hAnsi="Times New Roman" w:eastAsia="方正仿宋简体" w:cs="Times New Roman"/>
          <w:lang w:eastAsia="zh-CN"/>
        </w:rPr>
        <w:t>为</w:t>
      </w:r>
      <w:r>
        <w:rPr>
          <w:rStyle w:val="8"/>
          <w:rFonts w:hint="eastAsia" w:ascii="Times New Roman" w:hAnsi="Times New Roman" w:eastAsia="方正仿宋简体" w:cs="Times New Roman"/>
          <w:lang w:val="en-US" w:eastAsia="zh-CN"/>
        </w:rPr>
        <w:t>162</w:t>
      </w:r>
      <w:r>
        <w:rPr>
          <w:rStyle w:val="8"/>
          <w:rFonts w:hint="default" w:ascii="Times New Roman" w:hAnsi="Times New Roman" w:eastAsia="方正仿宋简体" w:cs="Times New Roman"/>
        </w:rPr>
        <w:t>万元，</w:t>
      </w:r>
      <w:r>
        <w:rPr>
          <w:rStyle w:val="8"/>
          <w:rFonts w:hint="eastAsia" w:ascii="Times New Roman" w:hAnsi="Times New Roman" w:eastAsia="方正仿宋简体" w:cs="Times New Roman"/>
          <w:lang w:eastAsia="zh-CN"/>
        </w:rPr>
        <w:t>为调整</w:t>
      </w:r>
      <w:r>
        <w:rPr>
          <w:rStyle w:val="8"/>
          <w:rFonts w:hint="default" w:ascii="Times New Roman" w:hAnsi="Times New Roman" w:eastAsia="方正仿宋简体" w:cs="Times New Roman"/>
        </w:rPr>
        <w:t>预算数</w:t>
      </w:r>
      <w:r>
        <w:rPr>
          <w:rStyle w:val="8"/>
          <w:rFonts w:hint="eastAsia" w:ascii="Times New Roman" w:hAnsi="Times New Roman" w:eastAsia="方正仿宋简体" w:cs="Times New Roman"/>
          <w:lang w:eastAsia="zh-CN"/>
        </w:rPr>
        <w:t>的</w:t>
      </w:r>
      <w:r>
        <w:rPr>
          <w:rStyle w:val="8"/>
          <w:rFonts w:hint="eastAsia" w:ascii="Times New Roman" w:hAnsi="Times New Roman" w:eastAsia="方正仿宋简体" w:cs="Times New Roman"/>
          <w:lang w:val="en-US" w:eastAsia="zh-CN"/>
        </w:rPr>
        <w:t>100</w:t>
      </w:r>
      <w:r>
        <w:rPr>
          <w:rStyle w:val="8"/>
          <w:rFonts w:hint="default" w:ascii="Times New Roman" w:hAnsi="Times New Roman" w:eastAsia="方正仿宋简体" w:cs="Times New Roman"/>
        </w:rPr>
        <w:t>%</w:t>
      </w:r>
      <w:r>
        <w:rPr>
          <w:rStyle w:val="8"/>
          <w:rFonts w:hint="default" w:ascii="Times New Roman" w:hAnsi="Times New Roman" w:eastAsia="方正仿宋简体" w:cs="Times New Roman"/>
          <w:lang w:eastAsia="zh-CN"/>
        </w:rPr>
        <w:t>，</w:t>
      </w:r>
      <w:r>
        <w:rPr>
          <w:rStyle w:val="8"/>
          <w:rFonts w:hint="eastAsia" w:ascii="Times New Roman" w:hAnsi="Times New Roman" w:eastAsia="方正仿宋简体" w:cs="Times New Roman"/>
          <w:lang w:eastAsia="zh-CN"/>
        </w:rPr>
        <w:t>加</w:t>
      </w:r>
      <w:r>
        <w:rPr>
          <w:rStyle w:val="8"/>
          <w:rFonts w:hint="default" w:ascii="Times New Roman" w:hAnsi="Times New Roman" w:eastAsia="方正仿宋简体" w:cs="Times New Roman"/>
          <w:lang w:eastAsia="zh-CN"/>
        </w:rPr>
        <w:t>调入一般公共预算</w:t>
      </w:r>
      <w:r>
        <w:rPr>
          <w:rStyle w:val="8"/>
          <w:rFonts w:hint="eastAsia" w:ascii="Times New Roman" w:hAnsi="Times New Roman" w:eastAsia="方正仿宋简体" w:cs="Times New Roman"/>
          <w:lang w:val="en-US" w:eastAsia="zh-CN"/>
        </w:rPr>
        <w:t>430</w:t>
      </w:r>
      <w:r>
        <w:rPr>
          <w:rStyle w:val="8"/>
          <w:rFonts w:hint="default" w:ascii="Times New Roman" w:hAnsi="Times New Roman" w:eastAsia="方正仿宋简体" w:cs="Times New Roman"/>
          <w:lang w:val="en-US" w:eastAsia="zh-CN"/>
        </w:rPr>
        <w:t>万元</w:t>
      </w:r>
      <w:r>
        <w:rPr>
          <w:rStyle w:val="8"/>
          <w:rFonts w:hint="eastAsia" w:ascii="Times New Roman" w:hAnsi="Times New Roman" w:eastAsia="方正仿宋简体" w:cs="Times New Roman"/>
          <w:lang w:val="en-US" w:eastAsia="zh-CN"/>
        </w:rPr>
        <w:t>，支出总量为592万元，收支平衡无结余。</w:t>
      </w:r>
    </w:p>
    <w:p>
      <w:pPr>
        <w:spacing w:line="578" w:lineRule="exact"/>
        <w:ind w:firstLine="640" w:firstLineChars="200"/>
        <w:rPr>
          <w:rStyle w:val="8"/>
          <w:rFonts w:hint="eastAsia" w:ascii="方正黑体简体" w:hAnsi="方正黑体简体" w:eastAsia="方正黑体简体" w:cs="方正黑体简体"/>
        </w:rPr>
      </w:pPr>
      <w:r>
        <w:rPr>
          <w:rStyle w:val="8"/>
          <w:rFonts w:hint="eastAsia" w:ascii="方正黑体简体" w:hAnsi="方正黑体简体" w:eastAsia="方正黑体简体" w:cs="方正黑体简体"/>
        </w:rPr>
        <w:t>一、收入执行情况</w:t>
      </w:r>
    </w:p>
    <w:p>
      <w:pPr>
        <w:spacing w:line="578" w:lineRule="exact"/>
        <w:ind w:firstLine="640" w:firstLineChars="200"/>
        <w:rPr>
          <w:rStyle w:val="8"/>
          <w:rFonts w:hint="default" w:ascii="Times New Roman" w:hAnsi="Times New Roman" w:eastAsia="方正仿宋简体" w:cs="Times New Roman"/>
        </w:rPr>
      </w:pPr>
      <w:r>
        <w:rPr>
          <w:rStyle w:val="8"/>
          <w:rFonts w:hint="default" w:ascii="Times New Roman" w:hAnsi="Times New Roman" w:eastAsia="方正仿宋简体" w:cs="Times New Roman"/>
        </w:rPr>
        <w:t>20</w:t>
      </w:r>
      <w:r>
        <w:rPr>
          <w:rStyle w:val="8"/>
          <w:rFonts w:hint="default" w:ascii="Times New Roman" w:hAnsi="Times New Roman" w:eastAsia="方正仿宋简体" w:cs="Times New Roman"/>
          <w:lang w:val="en-US" w:eastAsia="zh-CN"/>
        </w:rPr>
        <w:t>2</w:t>
      </w:r>
      <w:r>
        <w:rPr>
          <w:rStyle w:val="8"/>
          <w:rFonts w:hint="eastAsia" w:ascii="Times New Roman" w:hAnsi="Times New Roman" w:eastAsia="方正仿宋简体" w:cs="Times New Roman"/>
          <w:lang w:val="en-US" w:eastAsia="zh-CN"/>
        </w:rPr>
        <w:t>3</w:t>
      </w:r>
      <w:r>
        <w:rPr>
          <w:rStyle w:val="8"/>
          <w:rFonts w:hint="default" w:ascii="Times New Roman" w:hAnsi="Times New Roman" w:eastAsia="方正仿宋简体" w:cs="Times New Roman"/>
        </w:rPr>
        <w:t>年</w:t>
      </w:r>
      <w:r>
        <w:rPr>
          <w:rStyle w:val="8"/>
          <w:rFonts w:hint="default" w:ascii="Times New Roman" w:hAnsi="Times New Roman" w:eastAsia="方正仿宋简体" w:cs="Times New Roman"/>
          <w:lang w:eastAsia="zh-CN"/>
        </w:rPr>
        <w:t>通川区</w:t>
      </w:r>
      <w:r>
        <w:rPr>
          <w:rStyle w:val="8"/>
          <w:rFonts w:hint="default" w:ascii="Times New Roman" w:hAnsi="Times New Roman" w:eastAsia="方正仿宋简体" w:cs="Times New Roman"/>
        </w:rPr>
        <w:t>其他国有资本经营预算收入执行数为</w:t>
      </w:r>
      <w:r>
        <w:rPr>
          <w:rStyle w:val="8"/>
          <w:rFonts w:hint="eastAsia" w:ascii="Times New Roman" w:hAnsi="Times New Roman" w:eastAsia="方正仿宋简体" w:cs="Times New Roman"/>
          <w:lang w:val="en-US" w:eastAsia="zh-CN"/>
        </w:rPr>
        <w:t>5</w:t>
      </w:r>
      <w:r>
        <w:rPr>
          <w:rStyle w:val="8"/>
          <w:rFonts w:hint="default" w:ascii="Times New Roman" w:hAnsi="Times New Roman" w:eastAsia="方正仿宋简体" w:cs="Times New Roman"/>
          <w:lang w:val="en-US" w:eastAsia="zh-CN"/>
        </w:rPr>
        <w:t>00</w:t>
      </w:r>
      <w:r>
        <w:rPr>
          <w:rStyle w:val="8"/>
          <w:rFonts w:hint="default" w:ascii="Times New Roman" w:hAnsi="Times New Roman" w:eastAsia="方正仿宋简体" w:cs="Times New Roman"/>
        </w:rPr>
        <w:t>万元，</w:t>
      </w:r>
      <w:r>
        <w:rPr>
          <w:rStyle w:val="8"/>
          <w:rFonts w:hint="default" w:ascii="Times New Roman" w:hAnsi="Times New Roman" w:eastAsia="方正仿宋简体" w:cs="Times New Roman"/>
          <w:lang w:eastAsia="zh-CN"/>
        </w:rPr>
        <w:t>国有资本经营运算转移支付收入</w:t>
      </w:r>
      <w:r>
        <w:rPr>
          <w:rStyle w:val="8"/>
          <w:rFonts w:hint="eastAsia" w:ascii="Times New Roman" w:hAnsi="Times New Roman" w:eastAsia="方正仿宋简体" w:cs="Times New Roman"/>
          <w:lang w:val="en-US" w:eastAsia="zh-CN"/>
        </w:rPr>
        <w:t>92</w:t>
      </w:r>
      <w:r>
        <w:rPr>
          <w:rStyle w:val="8"/>
          <w:rFonts w:hint="default" w:ascii="Times New Roman" w:hAnsi="Times New Roman" w:eastAsia="方正仿宋简体" w:cs="Times New Roman"/>
          <w:lang w:val="en-US" w:eastAsia="zh-CN"/>
        </w:rPr>
        <w:t>万元，收入总数</w:t>
      </w:r>
      <w:r>
        <w:rPr>
          <w:rStyle w:val="8"/>
          <w:rFonts w:hint="eastAsia" w:ascii="Times New Roman" w:hAnsi="Times New Roman" w:eastAsia="方正仿宋简体" w:cs="Times New Roman"/>
          <w:lang w:val="en-US" w:eastAsia="zh-CN"/>
        </w:rPr>
        <w:t>592万元，</w:t>
      </w:r>
      <w:r>
        <w:rPr>
          <w:rStyle w:val="8"/>
          <w:rFonts w:hint="eastAsia" w:ascii="Times New Roman" w:hAnsi="Times New Roman" w:eastAsia="方正仿宋简体" w:cs="Times New Roman"/>
          <w:lang w:eastAsia="zh-CN"/>
        </w:rPr>
        <w:t>为调整</w:t>
      </w:r>
      <w:r>
        <w:rPr>
          <w:rStyle w:val="8"/>
          <w:rFonts w:hint="default" w:ascii="Times New Roman" w:hAnsi="Times New Roman" w:eastAsia="方正仿宋简体" w:cs="Times New Roman"/>
        </w:rPr>
        <w:t>预算数</w:t>
      </w:r>
      <w:r>
        <w:rPr>
          <w:rStyle w:val="8"/>
          <w:rFonts w:hint="eastAsia" w:ascii="Times New Roman" w:hAnsi="Times New Roman" w:eastAsia="方正仿宋简体" w:cs="Times New Roman"/>
          <w:lang w:eastAsia="zh-CN"/>
        </w:rPr>
        <w:t>的</w:t>
      </w:r>
      <w:r>
        <w:rPr>
          <w:rStyle w:val="8"/>
          <w:rFonts w:hint="eastAsia" w:ascii="Times New Roman" w:hAnsi="Times New Roman" w:eastAsia="方正仿宋简体" w:cs="Times New Roman"/>
          <w:lang w:val="en-US" w:eastAsia="zh-CN"/>
        </w:rPr>
        <w:t>100</w:t>
      </w:r>
      <w:r>
        <w:rPr>
          <w:rStyle w:val="8"/>
          <w:rFonts w:hint="default" w:ascii="Times New Roman" w:hAnsi="Times New Roman" w:eastAsia="方正仿宋简体" w:cs="Times New Roman"/>
        </w:rPr>
        <w:t>%</w:t>
      </w:r>
    </w:p>
    <w:p>
      <w:pPr>
        <w:spacing w:line="578" w:lineRule="exact"/>
        <w:ind w:firstLine="640" w:firstLineChars="200"/>
        <w:rPr>
          <w:rStyle w:val="8"/>
          <w:rFonts w:hint="eastAsia" w:ascii="方正黑体简体" w:hAnsi="方正黑体简体" w:eastAsia="方正黑体简体" w:cs="方正黑体简体"/>
        </w:rPr>
      </w:pPr>
      <w:r>
        <w:rPr>
          <w:rStyle w:val="8"/>
          <w:rFonts w:hint="eastAsia" w:ascii="方正黑体简体" w:hAnsi="方正黑体简体" w:eastAsia="方正黑体简体" w:cs="方正黑体简体"/>
        </w:rPr>
        <w:t>二、支出执行情况</w:t>
      </w:r>
      <w:bookmarkStart w:id="0" w:name="_GoBack"/>
      <w:bookmarkEnd w:id="0"/>
    </w:p>
    <w:p>
      <w:pPr>
        <w:spacing w:line="578" w:lineRule="exact"/>
        <w:ind w:firstLine="640" w:firstLineChars="200"/>
        <w:rPr>
          <w:rStyle w:val="8"/>
          <w:rFonts w:hint="eastAsia" w:ascii="Times New Roman" w:hAnsi="Times New Roman" w:eastAsia="方正仿宋简体" w:cs="Times New Roman"/>
          <w:b w:val="0"/>
          <w:bCs w:val="0"/>
          <w:i w:val="0"/>
          <w:iCs w:val="0"/>
          <w:lang w:val="en-US" w:eastAsia="zh-CN"/>
        </w:rPr>
      </w:pPr>
      <w:r>
        <w:rPr>
          <w:rStyle w:val="8"/>
          <w:rFonts w:hint="default" w:ascii="Times New Roman" w:hAnsi="Times New Roman" w:eastAsia="方正仿宋简体" w:cs="Times New Roman"/>
        </w:rPr>
        <w:t>根据《国务院关于深化预算管理制度改革的决定》（国发2014〕45号）、国务院关于印发&lt;推进财政资金统筹使</w:t>
      </w:r>
      <w:r>
        <w:rPr>
          <w:rFonts w:hint="default" w:ascii="Times New Roman" w:hAnsi="Times New Roman" w:eastAsia="方正仿宋简体" w:cs="Times New Roman"/>
          <w:color w:val="000000"/>
          <w:sz w:val="32"/>
          <w:szCs w:val="32"/>
        </w:rPr>
        <w:br w:type="textWrapping"/>
      </w:r>
      <w:r>
        <w:rPr>
          <w:rStyle w:val="8"/>
          <w:rFonts w:hint="default" w:ascii="Times New Roman" w:hAnsi="Times New Roman" w:eastAsia="方正仿宋简体" w:cs="Times New Roman"/>
        </w:rPr>
        <w:t>用方案&gt;的通知》国发〔2015〕35号）和</w:t>
      </w:r>
      <w:r>
        <w:rPr>
          <w:rStyle w:val="8"/>
          <w:rFonts w:hint="default" w:ascii="Times New Roman" w:hAnsi="Times New Roman" w:eastAsia="方正仿宋简体" w:cs="Times New Roman"/>
          <w:lang w:eastAsia="zh-CN"/>
        </w:rPr>
        <w:t>区</w:t>
      </w:r>
      <w:r>
        <w:rPr>
          <w:rStyle w:val="8"/>
          <w:rFonts w:hint="default" w:ascii="Times New Roman" w:hAnsi="Times New Roman" w:eastAsia="方正仿宋简体" w:cs="Times New Roman"/>
        </w:rPr>
        <w:t>委、</w:t>
      </w:r>
      <w:r>
        <w:rPr>
          <w:rStyle w:val="8"/>
          <w:rFonts w:hint="default" w:ascii="Times New Roman" w:hAnsi="Times New Roman" w:eastAsia="方正仿宋简体" w:cs="Times New Roman"/>
          <w:lang w:eastAsia="zh-CN"/>
        </w:rPr>
        <w:t>区</w:t>
      </w:r>
      <w:r>
        <w:rPr>
          <w:rStyle w:val="8"/>
          <w:rFonts w:hint="default" w:ascii="Times New Roman" w:hAnsi="Times New Roman" w:eastAsia="方正仿宋简体" w:cs="Times New Roman"/>
        </w:rPr>
        <w:t>政府要求，20</w:t>
      </w:r>
      <w:r>
        <w:rPr>
          <w:rStyle w:val="8"/>
          <w:rFonts w:hint="default" w:ascii="Times New Roman" w:hAnsi="Times New Roman" w:eastAsia="方正仿宋简体" w:cs="Times New Roman"/>
          <w:lang w:val="en-US" w:eastAsia="zh-CN"/>
        </w:rPr>
        <w:t>2</w:t>
      </w:r>
      <w:r>
        <w:rPr>
          <w:rStyle w:val="8"/>
          <w:rFonts w:hint="eastAsia" w:ascii="Times New Roman" w:hAnsi="Times New Roman" w:eastAsia="方正仿宋简体" w:cs="Times New Roman"/>
          <w:lang w:val="en-US" w:eastAsia="zh-CN"/>
        </w:rPr>
        <w:t>3</w:t>
      </w:r>
      <w:r>
        <w:rPr>
          <w:rStyle w:val="8"/>
          <w:rFonts w:hint="default" w:ascii="Times New Roman" w:hAnsi="Times New Roman" w:eastAsia="方正仿宋简体" w:cs="Times New Roman"/>
        </w:rPr>
        <w:t>年区级国有资本经营预算支出除继续加大调入一般公共预算用于保障和改善民生支出外，主要用于解决国有企业历史遗留问题。</w:t>
      </w:r>
      <w:r>
        <w:rPr>
          <w:rStyle w:val="8"/>
          <w:rFonts w:hint="default" w:ascii="Times New Roman" w:hAnsi="Times New Roman" w:eastAsia="方正仿宋简体" w:cs="Times New Roman"/>
          <w:lang w:val="en-US" w:eastAsia="zh-CN"/>
        </w:rPr>
        <w:t>202</w:t>
      </w:r>
      <w:r>
        <w:rPr>
          <w:rStyle w:val="8"/>
          <w:rFonts w:hint="eastAsia" w:ascii="Times New Roman" w:hAnsi="Times New Roman" w:eastAsia="方正仿宋简体" w:cs="Times New Roman"/>
          <w:lang w:val="en-US" w:eastAsia="zh-CN"/>
        </w:rPr>
        <w:t>3</w:t>
      </w:r>
      <w:r>
        <w:rPr>
          <w:rStyle w:val="8"/>
          <w:rFonts w:hint="default" w:ascii="Times New Roman" w:hAnsi="Times New Roman" w:eastAsia="方正仿宋简体" w:cs="Times New Roman"/>
        </w:rPr>
        <w:t>年区级国有资本经营支出预算执行情况如下：</w:t>
      </w:r>
      <w:r>
        <w:rPr>
          <w:rStyle w:val="8"/>
          <w:rFonts w:hint="default" w:ascii="Times New Roman" w:hAnsi="Times New Roman" w:eastAsia="方正仿宋简体" w:cs="Times New Roman"/>
          <w:b w:val="0"/>
          <w:bCs w:val="0"/>
          <w:i w:val="0"/>
          <w:iCs w:val="0"/>
        </w:rPr>
        <w:t>国有资本经营预算支出为</w:t>
      </w:r>
      <w:r>
        <w:rPr>
          <w:rStyle w:val="8"/>
          <w:rFonts w:hint="eastAsia" w:ascii="Times New Roman" w:hAnsi="Times New Roman" w:eastAsia="方正仿宋简体" w:cs="Times New Roman"/>
          <w:b w:val="0"/>
          <w:bCs w:val="0"/>
          <w:i w:val="0"/>
          <w:iCs w:val="0"/>
          <w:lang w:val="en-US" w:eastAsia="zh-CN"/>
        </w:rPr>
        <w:t>162</w:t>
      </w:r>
      <w:r>
        <w:rPr>
          <w:rStyle w:val="8"/>
          <w:rFonts w:hint="default" w:ascii="Times New Roman" w:hAnsi="Times New Roman" w:eastAsia="方正仿宋简体" w:cs="Times New Roman"/>
          <w:b w:val="0"/>
          <w:bCs w:val="0"/>
          <w:i w:val="0"/>
          <w:iCs w:val="0"/>
        </w:rPr>
        <w:t>万元</w:t>
      </w:r>
      <w:r>
        <w:rPr>
          <w:rStyle w:val="8"/>
          <w:rFonts w:hint="eastAsia" w:ascii="Times New Roman" w:hAnsi="Times New Roman" w:eastAsia="方正仿宋简体" w:cs="Times New Roman"/>
          <w:b w:val="0"/>
          <w:bCs w:val="0"/>
          <w:i w:val="0"/>
          <w:iCs w:val="0"/>
          <w:lang w:eastAsia="zh-CN"/>
        </w:rPr>
        <w:t>（用于国有企业改革成本支出以及国有企业退休人员社会化管理补助支出）</w:t>
      </w:r>
      <w:r>
        <w:rPr>
          <w:rStyle w:val="8"/>
          <w:rFonts w:hint="default" w:ascii="Times New Roman" w:hAnsi="Times New Roman" w:eastAsia="方正仿宋简体" w:cs="Times New Roman"/>
          <w:b w:val="0"/>
          <w:bCs w:val="0"/>
          <w:i w:val="0"/>
          <w:iCs w:val="0"/>
        </w:rPr>
        <w:t>，调入一般公共预算</w:t>
      </w:r>
      <w:r>
        <w:rPr>
          <w:rStyle w:val="8"/>
          <w:rFonts w:hint="eastAsia" w:ascii="Times New Roman" w:hAnsi="Times New Roman" w:eastAsia="方正仿宋简体" w:cs="Times New Roman"/>
          <w:b w:val="0"/>
          <w:bCs w:val="0"/>
          <w:i w:val="0"/>
          <w:iCs w:val="0"/>
          <w:lang w:val="en-US" w:eastAsia="zh-CN"/>
        </w:rPr>
        <w:t>430</w:t>
      </w:r>
      <w:r>
        <w:rPr>
          <w:rStyle w:val="8"/>
          <w:rFonts w:hint="default" w:ascii="Times New Roman" w:hAnsi="Times New Roman" w:eastAsia="方正仿宋简体" w:cs="Times New Roman"/>
          <w:b w:val="0"/>
          <w:bCs w:val="0"/>
          <w:i w:val="0"/>
          <w:iCs w:val="0"/>
        </w:rPr>
        <w:t>万元</w:t>
      </w:r>
      <w:r>
        <w:rPr>
          <w:rStyle w:val="8"/>
          <w:rFonts w:hint="eastAsia" w:ascii="Times New Roman" w:hAnsi="Times New Roman" w:eastAsia="方正仿宋简体" w:cs="Times New Roman"/>
          <w:b w:val="0"/>
          <w:bCs w:val="0"/>
          <w:i w:val="0"/>
          <w:iCs w:val="0"/>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roman"/>
    <w:pitch w:val="default"/>
    <w:sig w:usb0="00000000" w:usb1="00000000" w:usb2="00000000" w:usb3="00000000" w:csb0="00040001" w:csb1="00000000"/>
  </w:font>
  <w:font w:name="MS-UIGothic">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roma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zYzFkNTcxZDk3ZTgyMDZjNzNkYWFlYTBmNzA4OWQifQ=="/>
  </w:docVars>
  <w:rsids>
    <w:rsidRoot w:val="6F5F5415"/>
    <w:rsid w:val="280D4F46"/>
    <w:rsid w:val="2AA50082"/>
    <w:rsid w:val="3D271561"/>
    <w:rsid w:val="403A4AB9"/>
    <w:rsid w:val="49B63485"/>
    <w:rsid w:val="6F5F5415"/>
    <w:rsid w:val="724F4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 w:type="character" w:customStyle="1" w:styleId="4">
    <w:name w:val="fontstyle01"/>
    <w:basedOn w:val="3"/>
    <w:autoRedefine/>
    <w:qFormat/>
    <w:uiPriority w:val="0"/>
    <w:rPr>
      <w:rFonts w:hint="default" w:ascii="TimesNewRomanPSMT" w:hAnsi="TimesNewRomanPSMT"/>
      <w:color w:val="000000"/>
      <w:sz w:val="44"/>
      <w:szCs w:val="44"/>
    </w:rPr>
  </w:style>
  <w:style w:type="character" w:customStyle="1" w:styleId="5">
    <w:name w:val="fontstyle11"/>
    <w:basedOn w:val="3"/>
    <w:autoRedefine/>
    <w:qFormat/>
    <w:uiPriority w:val="0"/>
    <w:rPr>
      <w:rFonts w:hint="default" w:ascii="MS-UIGothic" w:hAnsi="MS-UIGothic"/>
      <w:color w:val="000000"/>
      <w:sz w:val="44"/>
      <w:szCs w:val="44"/>
    </w:rPr>
  </w:style>
  <w:style w:type="character" w:customStyle="1" w:styleId="6">
    <w:name w:val="fontstyle21"/>
    <w:basedOn w:val="3"/>
    <w:autoRedefine/>
    <w:qFormat/>
    <w:uiPriority w:val="0"/>
    <w:rPr>
      <w:rFonts w:hint="eastAsia" w:ascii="PMingLiU" w:hAnsi="PMingLiU" w:eastAsia="PMingLiU"/>
      <w:color w:val="000000"/>
      <w:sz w:val="44"/>
      <w:szCs w:val="44"/>
    </w:rPr>
  </w:style>
  <w:style w:type="character" w:customStyle="1" w:styleId="7">
    <w:name w:val="fontstyle31"/>
    <w:basedOn w:val="3"/>
    <w:autoRedefine/>
    <w:qFormat/>
    <w:uiPriority w:val="0"/>
    <w:rPr>
      <w:rFonts w:hint="default" w:ascii="仿宋" w:hAnsi="仿宋"/>
      <w:color w:val="000000"/>
      <w:sz w:val="32"/>
      <w:szCs w:val="32"/>
    </w:rPr>
  </w:style>
  <w:style w:type="character" w:customStyle="1" w:styleId="8">
    <w:name w:val="fontstyle41"/>
    <w:basedOn w:val="3"/>
    <w:autoRedefine/>
    <w:qFormat/>
    <w:uiPriority w:val="0"/>
    <w:rPr>
      <w:rFonts w:hint="default" w:ascii="仿宋" w:hAnsi="仿宋"/>
      <w:color w:val="000000"/>
      <w:sz w:val="32"/>
      <w:szCs w:val="32"/>
    </w:rPr>
  </w:style>
  <w:style w:type="character" w:customStyle="1" w:styleId="9">
    <w:name w:val="fontstyle51"/>
    <w:basedOn w:val="3"/>
    <w:autoRedefine/>
    <w:qFormat/>
    <w:uiPriority w:val="0"/>
    <w:rPr>
      <w:rFonts w:hint="eastAsia" w:ascii="黑体" w:hAnsi="黑体" w:eastAsia="黑体"/>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2024-03-18T06:13:00Z</dcterms:created>
  <dc:creator>Q</dc:creator>
  <cp:lastModifiedBy>Q</cp:lastModifiedBy>
  <dcterms:modified xsi:type="dcterms:W3CDTF">2024-03-18T11:11:31Z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5FC534ADF0D0445AA126A919496D7510_13</vt:lpwstr>
  </property>
</Properties>
</file>