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36"/>
          <w:szCs w:val="36"/>
        </w:rPr>
      </w:pPr>
    </w:p>
    <w:p>
      <w:pPr>
        <w:pStyle w:val="2"/>
        <w:ind w:right="0"/>
      </w:pPr>
    </w:p>
    <w:p>
      <w:pPr>
        <w:rPr>
          <w:sz w:val="36"/>
          <w:szCs w:val="36"/>
        </w:rPr>
      </w:pPr>
    </w:p>
    <w:p>
      <w:pPr>
        <w:rPr>
          <w:sz w:val="36"/>
          <w:szCs w:val="36"/>
        </w:rPr>
      </w:pPr>
    </w:p>
    <w:p>
      <w:pPr>
        <w:rPr>
          <w:sz w:val="36"/>
          <w:szCs w:val="36"/>
        </w:rPr>
      </w:pPr>
    </w:p>
    <w:p>
      <w:pPr>
        <w:rPr>
          <w:sz w:val="36"/>
          <w:szCs w:val="36"/>
        </w:rPr>
      </w:pPr>
    </w:p>
    <w:p>
      <w:pPr>
        <w:adjustRightInd w:val="0"/>
        <w:snapToGrid w:val="0"/>
        <w:jc w:val="center"/>
        <w:rPr>
          <w:bCs/>
          <w:sz w:val="62"/>
          <w:szCs w:val="62"/>
        </w:rPr>
      </w:pPr>
      <w:r>
        <w:rPr>
          <w:bCs/>
          <w:sz w:val="62"/>
          <w:szCs w:val="62"/>
        </w:rPr>
        <w:t>建设项目环境影响</w:t>
      </w:r>
      <w:bookmarkStart w:id="0" w:name="_Hlk71368628"/>
      <w:r>
        <w:rPr>
          <w:bCs/>
          <w:sz w:val="62"/>
          <w:szCs w:val="62"/>
        </w:rPr>
        <w:t>报告</w:t>
      </w:r>
      <w:bookmarkEnd w:id="0"/>
      <w:r>
        <w:rPr>
          <w:bCs/>
          <w:sz w:val="62"/>
          <w:szCs w:val="62"/>
        </w:rPr>
        <w:t>表</w:t>
      </w:r>
    </w:p>
    <w:p>
      <w:pPr>
        <w:adjustRightInd w:val="0"/>
        <w:snapToGrid w:val="0"/>
        <w:spacing w:before="192" w:beforeLines="80"/>
        <w:jc w:val="center"/>
        <w:rPr>
          <w:bCs/>
          <w:sz w:val="48"/>
          <w:szCs w:val="48"/>
        </w:rPr>
      </w:pPr>
      <w:r>
        <w:rPr>
          <w:bCs/>
          <w:sz w:val="48"/>
          <w:szCs w:val="48"/>
        </w:rPr>
        <w:t>（污染影响类）</w:t>
      </w:r>
    </w:p>
    <w:p>
      <w:pPr>
        <w:adjustRightInd w:val="0"/>
        <w:snapToGrid w:val="0"/>
        <w:spacing w:before="192" w:beforeLines="80"/>
        <w:jc w:val="center"/>
        <w:rPr>
          <w:bCs/>
          <w:sz w:val="48"/>
          <w:szCs w:val="48"/>
        </w:rPr>
      </w:pPr>
      <w:r>
        <w:rPr>
          <w:bCs/>
          <w:sz w:val="48"/>
          <w:szCs w:val="48"/>
        </w:rPr>
        <w:t>（</w:t>
      </w:r>
      <w:r>
        <w:rPr>
          <w:rFonts w:hint="eastAsia"/>
          <w:bCs/>
          <w:sz w:val="48"/>
          <w:szCs w:val="48"/>
          <w:lang w:val="en-US" w:eastAsia="zh-CN"/>
        </w:rPr>
        <w:t>公示</w:t>
      </w:r>
      <w:r>
        <w:rPr>
          <w:bCs/>
          <w:sz w:val="48"/>
          <w:szCs w:val="48"/>
        </w:rPr>
        <w:t>本）</w:t>
      </w:r>
    </w:p>
    <w:p>
      <w:pPr>
        <w:jc w:val="center"/>
        <w:rPr>
          <w:sz w:val="52"/>
          <w:szCs w:val="52"/>
        </w:rPr>
      </w:pPr>
    </w:p>
    <w:p>
      <w:pPr>
        <w:ind w:firstLine="1040"/>
        <w:rPr>
          <w:sz w:val="44"/>
          <w:szCs w:val="44"/>
        </w:rPr>
      </w:pPr>
    </w:p>
    <w:p>
      <w:pPr>
        <w:ind w:firstLine="1040"/>
        <w:rPr>
          <w:sz w:val="44"/>
          <w:szCs w:val="44"/>
        </w:rPr>
      </w:pPr>
    </w:p>
    <w:p>
      <w:pPr>
        <w:ind w:firstLine="1040"/>
        <w:rPr>
          <w:sz w:val="44"/>
          <w:szCs w:val="44"/>
        </w:rPr>
      </w:pPr>
    </w:p>
    <w:p>
      <w:pPr>
        <w:ind w:firstLine="1040"/>
        <w:rPr>
          <w:sz w:val="48"/>
          <w:szCs w:val="48"/>
        </w:rPr>
      </w:pPr>
    </w:p>
    <w:p>
      <w:pPr>
        <w:adjustRightInd w:val="0"/>
        <w:snapToGrid w:val="0"/>
        <w:spacing w:line="288" w:lineRule="auto"/>
        <w:ind w:firstLine="640" w:firstLineChars="200"/>
        <w:rPr>
          <w:sz w:val="32"/>
          <w:szCs w:val="32"/>
        </w:rPr>
      </w:pPr>
      <w:r>
        <w:rPr>
          <w:sz w:val="32"/>
          <w:szCs w:val="32"/>
        </w:rPr>
        <mc:AlternateContent>
          <mc:Choice Requires="wps">
            <w:drawing>
              <wp:anchor distT="0" distB="0" distL="114300" distR="114300" simplePos="0" relativeHeight="251659264" behindDoc="0" locked="0" layoutInCell="1" allowOverlap="1">
                <wp:simplePos x="0" y="0"/>
                <wp:positionH relativeFrom="column">
                  <wp:posOffset>1422400</wp:posOffset>
                </wp:positionH>
                <wp:positionV relativeFrom="paragraph">
                  <wp:posOffset>246380</wp:posOffset>
                </wp:positionV>
                <wp:extent cx="4154170" cy="0"/>
                <wp:effectExtent l="0" t="6350" r="0" b="6350"/>
                <wp:wrapNone/>
                <wp:docPr id="1" name="自选图形 7"/>
                <wp:cNvGraphicFramePr/>
                <a:graphic xmlns:a="http://schemas.openxmlformats.org/drawingml/2006/main">
                  <a:graphicData uri="http://schemas.microsoft.com/office/word/2010/wordprocessingShape">
                    <wps:wsp>
                      <wps:cNvCnPr/>
                      <wps:spPr>
                        <a:xfrm>
                          <a:off x="0" y="0"/>
                          <a:ext cx="415417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12pt;margin-top:19.4pt;height:0pt;width:327.1pt;z-index:251659264;mso-width-relative:page;mso-height-relative:page;" filled="f" stroked="t" coordsize="21600,21600" o:gfxdata="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wQ4391QAAAAkBAAAPAAAAAAAAAAEAIAAAACIAAABkcnMvZG93bnJldi54bWxQSwECFAAU&#10;AAAACACHTuJAZ2ccYvQBAADkAwAADgAAAAAAAAABACAAAAAkAQAAZHJzL2Uyb0RvYy54bWxQSwUG&#10;AAAAAAYABgBZAQAAigUAAAAA&#10;">
                <v:fill on="f" focussize="0,0"/>
                <v:stroke weight="1pt" color="#000000" joinstyle="round"/>
                <v:imagedata o:title=""/>
                <o:lock v:ext="edit" aspectratio="f"/>
              </v:shape>
            </w:pict>
          </mc:Fallback>
        </mc:AlternateContent>
      </w:r>
      <w:r>
        <w:rPr>
          <w:sz w:val="32"/>
          <w:szCs w:val="32"/>
        </w:rPr>
        <w:t xml:space="preserve">项目名称：                    </w:t>
      </w:r>
      <w:r>
        <w:rPr>
          <w:spacing w:val="-6"/>
          <w:sz w:val="32"/>
          <w:szCs w:val="32"/>
        </w:rPr>
        <w:t>双龙镇污水处理厂改扩建项目</w:t>
      </w:r>
      <w:r>
        <w:rPr>
          <w:sz w:val="32"/>
          <w:szCs w:val="32"/>
        </w:rPr>
        <w:t xml:space="preserve">       </w:t>
      </w:r>
    </w:p>
    <w:p>
      <w:pPr>
        <w:adjustRightInd w:val="0"/>
        <w:snapToGrid w:val="0"/>
        <w:spacing w:line="288" w:lineRule="auto"/>
        <w:ind w:firstLine="640" w:firstLineChars="200"/>
        <w:rPr>
          <w:sz w:val="32"/>
          <w:szCs w:val="32"/>
        </w:rPr>
      </w:pPr>
      <w:r>
        <w:rPr>
          <w:sz w:val="32"/>
          <w:szCs w:val="32"/>
        </w:rPr>
        <mc:AlternateContent>
          <mc:Choice Requires="wps">
            <w:drawing>
              <wp:anchor distT="0" distB="0" distL="114300" distR="114300" simplePos="0" relativeHeight="251660288" behindDoc="0" locked="0" layoutInCell="1" allowOverlap="1">
                <wp:simplePos x="0" y="0"/>
                <wp:positionH relativeFrom="column">
                  <wp:posOffset>2045335</wp:posOffset>
                </wp:positionH>
                <wp:positionV relativeFrom="paragraph">
                  <wp:posOffset>245110</wp:posOffset>
                </wp:positionV>
                <wp:extent cx="3526155" cy="635"/>
                <wp:effectExtent l="0" t="0" r="0" b="0"/>
                <wp:wrapNone/>
                <wp:docPr id="2" name="自选图形 8"/>
                <wp:cNvGraphicFramePr/>
                <a:graphic xmlns:a="http://schemas.openxmlformats.org/drawingml/2006/main">
                  <a:graphicData uri="http://schemas.microsoft.com/office/word/2010/wordprocessingShape">
                    <wps:wsp>
                      <wps:cNvCnPr/>
                      <wps:spPr>
                        <a:xfrm>
                          <a:off x="0" y="0"/>
                          <a:ext cx="3526155" cy="635"/>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61.05pt;margin-top:19.3pt;height:0.05pt;width:277.65pt;z-index:251660288;mso-width-relative:page;mso-height-relative:page;" filled="f" stroked="t" coordsize="21600,21600" o:gfxdata="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9G0qO1QAAAAkBAAAPAAAAAAAAAAEAIAAAACIAAABkcnMvZG93bnJldi54bWxQSwEC&#10;FAAUAAAACACHTuJAaTLYNfcBAADmAwAADgAAAAAAAAABACAAAAAkAQAAZHJzL2Uyb0RvYy54bWxQ&#10;SwUGAAAAAAYABgBZAQAAjQUAAAAA&#10;">
                <v:fill on="f" focussize="0,0"/>
                <v:stroke weight="1pt" color="#000000" joinstyle="round"/>
                <v:imagedata o:title=""/>
                <o:lock v:ext="edit" aspectratio="f"/>
              </v:shape>
            </w:pict>
          </mc:Fallback>
        </mc:AlternateContent>
      </w:r>
      <w:r>
        <w:rPr>
          <w:sz w:val="32"/>
          <w:szCs w:val="32"/>
        </w:rPr>
        <w:t xml:space="preserve">建设单位（盖章）：           </w:t>
      </w:r>
      <w:bookmarkStart w:id="1" w:name="_Hlk140851132"/>
      <w:r>
        <w:rPr>
          <w:sz w:val="32"/>
          <w:szCs w:val="32"/>
        </w:rPr>
        <w:t>达州市金地水务有限公司</w:t>
      </w:r>
      <w:bookmarkEnd w:id="1"/>
      <w:r>
        <w:rPr>
          <w:sz w:val="32"/>
          <w:szCs w:val="32"/>
        </w:rPr>
        <w:t xml:space="preserve">                 </w:t>
      </w:r>
    </w:p>
    <w:p>
      <w:pPr>
        <w:adjustRightInd w:val="0"/>
        <w:snapToGrid w:val="0"/>
        <w:spacing w:line="288" w:lineRule="auto"/>
        <w:ind w:firstLine="640" w:firstLineChars="200"/>
        <w:rPr>
          <w:sz w:val="36"/>
          <w:szCs w:val="36"/>
        </w:rPr>
      </w:pPr>
      <w:r>
        <w:rPr>
          <w:sz w:val="32"/>
          <w:szCs w:val="32"/>
        </w:rPr>
        <mc:AlternateContent>
          <mc:Choice Requires="wps">
            <w:drawing>
              <wp:anchor distT="0" distB="0" distL="114300" distR="114300" simplePos="0" relativeHeight="251661312" behindDoc="0" locked="0" layoutInCell="1" allowOverlap="1">
                <wp:simplePos x="0" y="0"/>
                <wp:positionH relativeFrom="column">
                  <wp:posOffset>1300480</wp:posOffset>
                </wp:positionH>
                <wp:positionV relativeFrom="paragraph">
                  <wp:posOffset>248920</wp:posOffset>
                </wp:positionV>
                <wp:extent cx="4271010" cy="635"/>
                <wp:effectExtent l="0" t="0" r="0" b="0"/>
                <wp:wrapNone/>
                <wp:docPr id="3" name="自选图形 9"/>
                <wp:cNvGraphicFramePr/>
                <a:graphic xmlns:a="http://schemas.openxmlformats.org/drawingml/2006/main">
                  <a:graphicData uri="http://schemas.microsoft.com/office/word/2010/wordprocessingShape">
                    <wps:wsp>
                      <wps:cNvCnPr/>
                      <wps:spPr>
                        <a:xfrm>
                          <a:off x="0" y="0"/>
                          <a:ext cx="4271010" cy="635"/>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02.4pt;margin-top:19.6pt;height:0.05pt;width:336.3pt;z-index:251661312;mso-width-relative:page;mso-height-relative:page;" filled="f" stroked="t" coordsize="21600,21600" o:gfxdata="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tegfPWAAAACQEAAA8AAAAAAAAAAQAgAAAAIgAAAGRycy9kb3ducmV2LnhtbFBLAQIU&#10;ABQAAAAIAIdO4kCNBFgS9QEAAOYDAAAOAAAAAAAAAAEAIAAAACUBAABkcnMvZTJvRG9jLnhtbFBL&#10;BQYAAAAABgAGAFkBAACMBQAAAAA=&#10;">
                <v:fill on="f" focussize="0,0"/>
                <v:stroke weight="1pt" color="#000000" joinstyle="round"/>
                <v:imagedata o:title=""/>
                <o:lock v:ext="edit" aspectratio="f"/>
              </v:shape>
            </w:pict>
          </mc:Fallback>
        </mc:AlternateContent>
      </w:r>
      <w:r>
        <w:rPr>
          <w:sz w:val="32"/>
          <w:szCs w:val="32"/>
        </w:rPr>
        <w:t xml:space="preserve">编制日期：                                    </w:t>
      </w:r>
      <w:bookmarkStart w:id="2" w:name="_Hlk107322904"/>
      <w:r>
        <w:rPr>
          <w:sz w:val="32"/>
          <w:szCs w:val="32"/>
        </w:rPr>
        <w:t>2023年8月</w:t>
      </w:r>
      <w:bookmarkEnd w:id="2"/>
      <w:r>
        <w:rPr>
          <w:sz w:val="32"/>
          <w:szCs w:val="32"/>
        </w:rPr>
        <w:t xml:space="preserve">   </w:t>
      </w:r>
      <w:r>
        <w:rPr>
          <w:sz w:val="36"/>
          <w:szCs w:val="36"/>
        </w:rPr>
        <w:t xml:space="preserve">                  </w:t>
      </w:r>
    </w:p>
    <w:p>
      <w:pPr>
        <w:adjustRightInd w:val="0"/>
        <w:snapToGrid w:val="0"/>
        <w:spacing w:line="288" w:lineRule="auto"/>
        <w:ind w:firstLine="1040"/>
        <w:rPr>
          <w:sz w:val="32"/>
          <w:szCs w:val="32"/>
          <w:u w:val="single"/>
        </w:rPr>
      </w:pPr>
      <w:bookmarkStart w:id="3" w:name="_Hlk57884087"/>
    </w:p>
    <w:p>
      <w:pPr>
        <w:adjustRightInd w:val="0"/>
        <w:snapToGrid w:val="0"/>
        <w:spacing w:line="288" w:lineRule="auto"/>
        <w:ind w:firstLine="1040"/>
        <w:rPr>
          <w:sz w:val="36"/>
          <w:szCs w:val="36"/>
        </w:rPr>
      </w:pPr>
    </w:p>
    <w:p>
      <w:pPr>
        <w:pStyle w:val="2"/>
        <w:ind w:right="0"/>
      </w:pPr>
    </w:p>
    <w:p>
      <w:pPr>
        <w:adjustRightInd w:val="0"/>
        <w:snapToGrid w:val="0"/>
        <w:spacing w:line="288" w:lineRule="auto"/>
        <w:ind w:firstLine="1040"/>
        <w:rPr>
          <w:sz w:val="36"/>
          <w:szCs w:val="36"/>
        </w:rPr>
      </w:pPr>
    </w:p>
    <w:bookmarkEnd w:id="3"/>
    <w:p>
      <w:pPr>
        <w:adjustRightInd w:val="0"/>
        <w:snapToGrid w:val="0"/>
        <w:spacing w:line="288" w:lineRule="auto"/>
        <w:jc w:val="center"/>
        <w:rPr>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r>
        <w:rPr>
          <w:sz w:val="36"/>
          <w:szCs w:val="36"/>
        </w:rPr>
        <w:t>中华人民共和国生态环境部制</w:t>
      </w:r>
    </w:p>
    <w:p>
      <w:pPr>
        <w:adjustRightInd w:val="0"/>
        <w:snapToGrid w:val="0"/>
        <w:spacing w:line="288" w:lineRule="auto"/>
        <w:jc w:val="center"/>
        <w:rPr>
          <w:b/>
          <w:bCs/>
          <w:sz w:val="32"/>
          <w:szCs w:val="32"/>
        </w:rPr>
      </w:pPr>
      <w:r>
        <w:rPr>
          <w:b/>
          <w:bCs/>
          <w:sz w:val="32"/>
          <w:szCs w:val="32"/>
        </w:rPr>
        <w:t>目  录</w:t>
      </w:r>
    </w:p>
    <w:p>
      <w:pPr>
        <w:pStyle w:val="23"/>
        <w:tabs>
          <w:tab w:val="right" w:leader="dot" w:pos="8834"/>
        </w:tabs>
        <w:spacing w:line="360" w:lineRule="auto"/>
        <w:rPr>
          <w:rFonts w:eastAsia="等线"/>
          <w:sz w:val="24"/>
        </w:rPr>
      </w:pPr>
      <w:r>
        <w:rPr>
          <w:sz w:val="24"/>
        </w:rPr>
        <w:fldChar w:fldCharType="begin"/>
      </w:r>
      <w:r>
        <w:rPr>
          <w:sz w:val="24"/>
        </w:rPr>
        <w:instrText xml:space="preserve"> TOC \o "1-1" \h \z \u </w:instrText>
      </w:r>
      <w:r>
        <w:rPr>
          <w:sz w:val="24"/>
        </w:rPr>
        <w:fldChar w:fldCharType="separate"/>
      </w:r>
      <w:r>
        <w:rPr>
          <w:rStyle w:val="44"/>
          <w:color w:val="auto"/>
          <w:sz w:val="24"/>
        </w:rPr>
        <w:fldChar w:fldCharType="begin"/>
      </w:r>
      <w:r>
        <w:rPr>
          <w:rStyle w:val="44"/>
          <w:color w:val="auto"/>
          <w:sz w:val="24"/>
        </w:rPr>
        <w:instrText xml:space="preserve"> </w:instrText>
      </w:r>
      <w:r>
        <w:rPr>
          <w:sz w:val="24"/>
        </w:rPr>
        <w:instrText xml:space="preserve">HYPERLINK \l "_Toc116207758"</w:instrText>
      </w:r>
      <w:r>
        <w:rPr>
          <w:rStyle w:val="44"/>
          <w:color w:val="auto"/>
          <w:sz w:val="24"/>
        </w:rPr>
        <w:instrText xml:space="preserve"> </w:instrText>
      </w:r>
      <w:r>
        <w:rPr>
          <w:rStyle w:val="44"/>
          <w:color w:val="auto"/>
          <w:sz w:val="24"/>
        </w:rPr>
        <w:fldChar w:fldCharType="separate"/>
      </w:r>
      <w:r>
        <w:rPr>
          <w:rStyle w:val="44"/>
          <w:snapToGrid w:val="0"/>
          <w:color w:val="auto"/>
          <w:sz w:val="24"/>
        </w:rPr>
        <w:t>一、建设项目基本情况</w:t>
      </w:r>
      <w:r>
        <w:rPr>
          <w:sz w:val="24"/>
        </w:rPr>
        <w:tab/>
      </w:r>
      <w:r>
        <w:rPr>
          <w:sz w:val="24"/>
        </w:rPr>
        <w:fldChar w:fldCharType="begin"/>
      </w:r>
      <w:r>
        <w:rPr>
          <w:sz w:val="24"/>
        </w:rPr>
        <w:instrText xml:space="preserve"> PAGEREF _Toc116207758 \h </w:instrText>
      </w:r>
      <w:r>
        <w:rPr>
          <w:sz w:val="24"/>
        </w:rPr>
        <w:fldChar w:fldCharType="separate"/>
      </w:r>
      <w:r>
        <w:rPr>
          <w:sz w:val="24"/>
        </w:rPr>
        <w:t>1</w:t>
      </w:r>
      <w:r>
        <w:rPr>
          <w:sz w:val="24"/>
        </w:rPr>
        <w:fldChar w:fldCharType="end"/>
      </w:r>
      <w:r>
        <w:rPr>
          <w:rStyle w:val="44"/>
          <w:color w:val="auto"/>
          <w:sz w:val="24"/>
        </w:rPr>
        <w:fldChar w:fldCharType="end"/>
      </w:r>
    </w:p>
    <w:p>
      <w:pPr>
        <w:pStyle w:val="23"/>
        <w:tabs>
          <w:tab w:val="right" w:leader="dot" w:pos="8834"/>
        </w:tabs>
        <w:spacing w:line="360" w:lineRule="auto"/>
        <w:rPr>
          <w:rFonts w:eastAsia="等线"/>
          <w:sz w:val="24"/>
        </w:rPr>
      </w:pPr>
      <w:r>
        <w:rPr>
          <w:rStyle w:val="44"/>
          <w:color w:val="auto"/>
          <w:sz w:val="24"/>
        </w:rPr>
        <w:fldChar w:fldCharType="begin"/>
      </w:r>
      <w:r>
        <w:rPr>
          <w:rStyle w:val="44"/>
          <w:color w:val="auto"/>
          <w:sz w:val="24"/>
        </w:rPr>
        <w:instrText xml:space="preserve"> </w:instrText>
      </w:r>
      <w:r>
        <w:rPr>
          <w:sz w:val="24"/>
        </w:rPr>
        <w:instrText xml:space="preserve">HYPERLINK \l "_Toc116207759"</w:instrText>
      </w:r>
      <w:r>
        <w:rPr>
          <w:rStyle w:val="44"/>
          <w:color w:val="auto"/>
          <w:sz w:val="24"/>
        </w:rPr>
        <w:instrText xml:space="preserve"> </w:instrText>
      </w:r>
      <w:r>
        <w:rPr>
          <w:rStyle w:val="44"/>
          <w:color w:val="auto"/>
          <w:sz w:val="24"/>
        </w:rPr>
        <w:fldChar w:fldCharType="separate"/>
      </w:r>
      <w:r>
        <w:rPr>
          <w:rStyle w:val="44"/>
          <w:snapToGrid w:val="0"/>
          <w:color w:val="auto"/>
          <w:sz w:val="24"/>
        </w:rPr>
        <w:t>二、建设项目工程分析</w:t>
      </w:r>
      <w:r>
        <w:rPr>
          <w:sz w:val="24"/>
        </w:rPr>
        <w:tab/>
      </w:r>
      <w:r>
        <w:rPr>
          <w:sz w:val="24"/>
        </w:rPr>
        <w:fldChar w:fldCharType="begin"/>
      </w:r>
      <w:r>
        <w:rPr>
          <w:sz w:val="24"/>
        </w:rPr>
        <w:instrText xml:space="preserve"> PAGEREF _Toc116207759 \h </w:instrText>
      </w:r>
      <w:r>
        <w:rPr>
          <w:sz w:val="24"/>
        </w:rPr>
        <w:fldChar w:fldCharType="separate"/>
      </w:r>
      <w:r>
        <w:rPr>
          <w:sz w:val="24"/>
        </w:rPr>
        <w:t>19</w:t>
      </w:r>
      <w:r>
        <w:rPr>
          <w:sz w:val="24"/>
        </w:rPr>
        <w:fldChar w:fldCharType="end"/>
      </w:r>
      <w:r>
        <w:rPr>
          <w:rStyle w:val="44"/>
          <w:color w:val="auto"/>
          <w:sz w:val="24"/>
        </w:rPr>
        <w:fldChar w:fldCharType="end"/>
      </w:r>
    </w:p>
    <w:p>
      <w:pPr>
        <w:pStyle w:val="23"/>
        <w:tabs>
          <w:tab w:val="right" w:leader="dot" w:pos="8834"/>
        </w:tabs>
        <w:spacing w:line="360" w:lineRule="auto"/>
        <w:rPr>
          <w:rFonts w:eastAsia="等线"/>
          <w:sz w:val="24"/>
        </w:rPr>
      </w:pPr>
      <w:r>
        <w:rPr>
          <w:rStyle w:val="44"/>
          <w:color w:val="auto"/>
          <w:sz w:val="24"/>
        </w:rPr>
        <w:fldChar w:fldCharType="begin"/>
      </w:r>
      <w:r>
        <w:rPr>
          <w:rStyle w:val="44"/>
          <w:color w:val="auto"/>
          <w:sz w:val="24"/>
        </w:rPr>
        <w:instrText xml:space="preserve"> </w:instrText>
      </w:r>
      <w:r>
        <w:rPr>
          <w:sz w:val="24"/>
        </w:rPr>
        <w:instrText xml:space="preserve">HYPERLINK \l "_Toc116207760"</w:instrText>
      </w:r>
      <w:r>
        <w:rPr>
          <w:rStyle w:val="44"/>
          <w:color w:val="auto"/>
          <w:sz w:val="24"/>
        </w:rPr>
        <w:instrText xml:space="preserve"> </w:instrText>
      </w:r>
      <w:r>
        <w:rPr>
          <w:rStyle w:val="44"/>
          <w:color w:val="auto"/>
          <w:sz w:val="24"/>
        </w:rPr>
        <w:fldChar w:fldCharType="separate"/>
      </w:r>
      <w:r>
        <w:rPr>
          <w:rStyle w:val="44"/>
          <w:snapToGrid w:val="0"/>
          <w:color w:val="auto"/>
          <w:sz w:val="24"/>
        </w:rPr>
        <w:t>三、区域环境质量现状、环境保护目标及评价标准</w:t>
      </w:r>
      <w:r>
        <w:rPr>
          <w:sz w:val="24"/>
        </w:rPr>
        <w:tab/>
      </w:r>
      <w:r>
        <w:rPr>
          <w:sz w:val="24"/>
        </w:rPr>
        <w:fldChar w:fldCharType="begin"/>
      </w:r>
      <w:r>
        <w:rPr>
          <w:sz w:val="24"/>
        </w:rPr>
        <w:instrText xml:space="preserve"> PAGEREF _Toc116207760 \h </w:instrText>
      </w:r>
      <w:r>
        <w:rPr>
          <w:sz w:val="24"/>
        </w:rPr>
        <w:fldChar w:fldCharType="separate"/>
      </w:r>
      <w:r>
        <w:rPr>
          <w:sz w:val="24"/>
        </w:rPr>
        <w:t>50</w:t>
      </w:r>
      <w:r>
        <w:rPr>
          <w:sz w:val="24"/>
        </w:rPr>
        <w:fldChar w:fldCharType="end"/>
      </w:r>
      <w:r>
        <w:rPr>
          <w:rStyle w:val="44"/>
          <w:color w:val="auto"/>
          <w:sz w:val="24"/>
        </w:rPr>
        <w:fldChar w:fldCharType="end"/>
      </w:r>
    </w:p>
    <w:p>
      <w:pPr>
        <w:pStyle w:val="23"/>
        <w:tabs>
          <w:tab w:val="right" w:leader="dot" w:pos="8834"/>
        </w:tabs>
        <w:spacing w:line="360" w:lineRule="auto"/>
        <w:rPr>
          <w:rFonts w:eastAsia="等线"/>
          <w:sz w:val="24"/>
        </w:rPr>
      </w:pPr>
      <w:r>
        <w:rPr>
          <w:rStyle w:val="44"/>
          <w:color w:val="auto"/>
          <w:sz w:val="24"/>
        </w:rPr>
        <w:fldChar w:fldCharType="begin"/>
      </w:r>
      <w:r>
        <w:rPr>
          <w:rStyle w:val="44"/>
          <w:color w:val="auto"/>
          <w:sz w:val="24"/>
        </w:rPr>
        <w:instrText xml:space="preserve"> </w:instrText>
      </w:r>
      <w:r>
        <w:rPr>
          <w:sz w:val="24"/>
        </w:rPr>
        <w:instrText xml:space="preserve">HYPERLINK \l "_Toc116207761"</w:instrText>
      </w:r>
      <w:r>
        <w:rPr>
          <w:rStyle w:val="44"/>
          <w:color w:val="auto"/>
          <w:sz w:val="24"/>
        </w:rPr>
        <w:instrText xml:space="preserve"> </w:instrText>
      </w:r>
      <w:r>
        <w:rPr>
          <w:rStyle w:val="44"/>
          <w:color w:val="auto"/>
          <w:sz w:val="24"/>
        </w:rPr>
        <w:fldChar w:fldCharType="separate"/>
      </w:r>
      <w:r>
        <w:rPr>
          <w:rStyle w:val="44"/>
          <w:snapToGrid w:val="0"/>
          <w:color w:val="auto"/>
          <w:sz w:val="24"/>
        </w:rPr>
        <w:t>四、主要环境影响和保护措施</w:t>
      </w:r>
      <w:r>
        <w:rPr>
          <w:sz w:val="24"/>
        </w:rPr>
        <w:tab/>
      </w:r>
      <w:r>
        <w:rPr>
          <w:sz w:val="24"/>
        </w:rPr>
        <w:fldChar w:fldCharType="begin"/>
      </w:r>
      <w:r>
        <w:rPr>
          <w:sz w:val="24"/>
        </w:rPr>
        <w:instrText xml:space="preserve"> PAGEREF _Toc116207761 \h </w:instrText>
      </w:r>
      <w:r>
        <w:rPr>
          <w:sz w:val="24"/>
        </w:rPr>
        <w:fldChar w:fldCharType="separate"/>
      </w:r>
      <w:r>
        <w:rPr>
          <w:sz w:val="24"/>
        </w:rPr>
        <w:t>62</w:t>
      </w:r>
      <w:r>
        <w:rPr>
          <w:sz w:val="24"/>
        </w:rPr>
        <w:fldChar w:fldCharType="end"/>
      </w:r>
      <w:r>
        <w:rPr>
          <w:rStyle w:val="44"/>
          <w:color w:val="auto"/>
          <w:sz w:val="24"/>
        </w:rPr>
        <w:fldChar w:fldCharType="end"/>
      </w:r>
    </w:p>
    <w:p>
      <w:pPr>
        <w:pStyle w:val="23"/>
        <w:tabs>
          <w:tab w:val="right" w:leader="dot" w:pos="8834"/>
        </w:tabs>
        <w:spacing w:line="360" w:lineRule="auto"/>
        <w:rPr>
          <w:rFonts w:eastAsia="等线"/>
          <w:sz w:val="24"/>
        </w:rPr>
      </w:pPr>
      <w:r>
        <w:rPr>
          <w:rStyle w:val="44"/>
          <w:color w:val="auto"/>
          <w:sz w:val="24"/>
        </w:rPr>
        <w:fldChar w:fldCharType="begin"/>
      </w:r>
      <w:r>
        <w:rPr>
          <w:rStyle w:val="44"/>
          <w:color w:val="auto"/>
          <w:sz w:val="24"/>
        </w:rPr>
        <w:instrText xml:space="preserve"> </w:instrText>
      </w:r>
      <w:r>
        <w:rPr>
          <w:sz w:val="24"/>
        </w:rPr>
        <w:instrText xml:space="preserve">HYPERLINK \l "_Toc116207762"</w:instrText>
      </w:r>
      <w:r>
        <w:rPr>
          <w:rStyle w:val="44"/>
          <w:color w:val="auto"/>
          <w:sz w:val="24"/>
        </w:rPr>
        <w:instrText xml:space="preserve"> </w:instrText>
      </w:r>
      <w:r>
        <w:rPr>
          <w:rStyle w:val="44"/>
          <w:color w:val="auto"/>
          <w:sz w:val="24"/>
        </w:rPr>
        <w:fldChar w:fldCharType="separate"/>
      </w:r>
      <w:r>
        <w:rPr>
          <w:rStyle w:val="44"/>
          <w:snapToGrid w:val="0"/>
          <w:color w:val="auto"/>
          <w:sz w:val="24"/>
        </w:rPr>
        <w:t>五、环境保护措施监督检查清单</w:t>
      </w:r>
      <w:r>
        <w:rPr>
          <w:sz w:val="24"/>
        </w:rPr>
        <w:tab/>
      </w:r>
      <w:r>
        <w:rPr>
          <w:sz w:val="24"/>
        </w:rPr>
        <w:fldChar w:fldCharType="begin"/>
      </w:r>
      <w:r>
        <w:rPr>
          <w:sz w:val="24"/>
        </w:rPr>
        <w:instrText xml:space="preserve"> PAGEREF _Toc116207762 \h </w:instrText>
      </w:r>
      <w:r>
        <w:rPr>
          <w:sz w:val="24"/>
        </w:rPr>
        <w:fldChar w:fldCharType="separate"/>
      </w:r>
      <w:r>
        <w:rPr>
          <w:sz w:val="24"/>
        </w:rPr>
        <w:t>101</w:t>
      </w:r>
      <w:r>
        <w:rPr>
          <w:sz w:val="24"/>
        </w:rPr>
        <w:fldChar w:fldCharType="end"/>
      </w:r>
      <w:r>
        <w:rPr>
          <w:rStyle w:val="44"/>
          <w:color w:val="auto"/>
          <w:sz w:val="24"/>
        </w:rPr>
        <w:fldChar w:fldCharType="end"/>
      </w:r>
    </w:p>
    <w:p>
      <w:pPr>
        <w:pStyle w:val="23"/>
        <w:tabs>
          <w:tab w:val="right" w:leader="dot" w:pos="8834"/>
        </w:tabs>
        <w:spacing w:line="360" w:lineRule="auto"/>
        <w:rPr>
          <w:rFonts w:eastAsia="等线"/>
          <w:sz w:val="24"/>
        </w:rPr>
      </w:pPr>
      <w:r>
        <w:rPr>
          <w:rStyle w:val="44"/>
          <w:color w:val="auto"/>
          <w:sz w:val="24"/>
        </w:rPr>
        <w:fldChar w:fldCharType="begin"/>
      </w:r>
      <w:r>
        <w:rPr>
          <w:rStyle w:val="44"/>
          <w:color w:val="auto"/>
          <w:sz w:val="24"/>
        </w:rPr>
        <w:instrText xml:space="preserve"> </w:instrText>
      </w:r>
      <w:r>
        <w:rPr>
          <w:sz w:val="24"/>
        </w:rPr>
        <w:instrText xml:space="preserve">HYPERLINK \l "_Toc116207763"</w:instrText>
      </w:r>
      <w:r>
        <w:rPr>
          <w:rStyle w:val="44"/>
          <w:color w:val="auto"/>
          <w:sz w:val="24"/>
        </w:rPr>
        <w:instrText xml:space="preserve"> </w:instrText>
      </w:r>
      <w:r>
        <w:rPr>
          <w:rStyle w:val="44"/>
          <w:color w:val="auto"/>
          <w:sz w:val="24"/>
        </w:rPr>
        <w:fldChar w:fldCharType="separate"/>
      </w:r>
      <w:r>
        <w:rPr>
          <w:rStyle w:val="44"/>
          <w:snapToGrid w:val="0"/>
          <w:color w:val="auto"/>
          <w:sz w:val="24"/>
        </w:rPr>
        <w:t>六、结论</w:t>
      </w:r>
      <w:r>
        <w:rPr>
          <w:sz w:val="24"/>
        </w:rPr>
        <w:tab/>
      </w:r>
      <w:r>
        <w:rPr>
          <w:sz w:val="24"/>
        </w:rPr>
        <w:fldChar w:fldCharType="begin"/>
      </w:r>
      <w:r>
        <w:rPr>
          <w:sz w:val="24"/>
        </w:rPr>
        <w:instrText xml:space="preserve"> PAGEREF _Toc116207763 \h </w:instrText>
      </w:r>
      <w:r>
        <w:rPr>
          <w:sz w:val="24"/>
        </w:rPr>
        <w:fldChar w:fldCharType="separate"/>
      </w:r>
      <w:r>
        <w:rPr>
          <w:sz w:val="24"/>
        </w:rPr>
        <w:t>107</w:t>
      </w:r>
      <w:r>
        <w:rPr>
          <w:sz w:val="24"/>
        </w:rPr>
        <w:fldChar w:fldCharType="end"/>
      </w:r>
      <w:r>
        <w:rPr>
          <w:rStyle w:val="44"/>
          <w:color w:val="auto"/>
          <w:sz w:val="24"/>
        </w:rPr>
        <w:fldChar w:fldCharType="end"/>
      </w:r>
    </w:p>
    <w:p>
      <w:pPr>
        <w:pStyle w:val="23"/>
        <w:tabs>
          <w:tab w:val="right" w:leader="dot" w:pos="8834"/>
        </w:tabs>
        <w:spacing w:line="360" w:lineRule="auto"/>
        <w:rPr>
          <w:rFonts w:eastAsia="等线"/>
          <w:szCs w:val="22"/>
        </w:rPr>
      </w:pPr>
      <w:r>
        <w:rPr>
          <w:rStyle w:val="44"/>
          <w:color w:val="auto"/>
          <w:sz w:val="24"/>
        </w:rPr>
        <w:fldChar w:fldCharType="begin"/>
      </w:r>
      <w:r>
        <w:rPr>
          <w:rStyle w:val="44"/>
          <w:color w:val="auto"/>
          <w:sz w:val="24"/>
        </w:rPr>
        <w:instrText xml:space="preserve"> </w:instrText>
      </w:r>
      <w:r>
        <w:rPr>
          <w:sz w:val="24"/>
        </w:rPr>
        <w:instrText xml:space="preserve">HYPERLINK \l "_Toc116207764"</w:instrText>
      </w:r>
      <w:r>
        <w:rPr>
          <w:rStyle w:val="44"/>
          <w:color w:val="auto"/>
          <w:sz w:val="24"/>
        </w:rPr>
        <w:instrText xml:space="preserve"> </w:instrText>
      </w:r>
      <w:r>
        <w:rPr>
          <w:rStyle w:val="44"/>
          <w:color w:val="auto"/>
          <w:sz w:val="24"/>
        </w:rPr>
        <w:fldChar w:fldCharType="separate"/>
      </w:r>
      <w:r>
        <w:rPr>
          <w:rStyle w:val="44"/>
          <w:snapToGrid w:val="0"/>
          <w:color w:val="auto"/>
          <w:sz w:val="24"/>
        </w:rPr>
        <w:t>建设项目污染物排放量汇总表</w:t>
      </w:r>
      <w:r>
        <w:rPr>
          <w:sz w:val="24"/>
        </w:rPr>
        <w:tab/>
      </w:r>
      <w:r>
        <w:rPr>
          <w:sz w:val="24"/>
        </w:rPr>
        <w:fldChar w:fldCharType="begin"/>
      </w:r>
      <w:r>
        <w:rPr>
          <w:sz w:val="24"/>
        </w:rPr>
        <w:instrText xml:space="preserve"> PAGEREF _Toc116207764 \h </w:instrText>
      </w:r>
      <w:r>
        <w:rPr>
          <w:sz w:val="24"/>
        </w:rPr>
        <w:fldChar w:fldCharType="separate"/>
      </w:r>
      <w:r>
        <w:rPr>
          <w:sz w:val="24"/>
        </w:rPr>
        <w:t>108</w:t>
      </w:r>
      <w:r>
        <w:rPr>
          <w:sz w:val="24"/>
        </w:rPr>
        <w:fldChar w:fldCharType="end"/>
      </w:r>
      <w:r>
        <w:rPr>
          <w:rStyle w:val="44"/>
          <w:color w:val="auto"/>
          <w:sz w:val="24"/>
        </w:rPr>
        <w:fldChar w:fldCharType="end"/>
      </w:r>
    </w:p>
    <w:p>
      <w:pPr>
        <w:pStyle w:val="2"/>
        <w:spacing w:before="0" w:after="0" w:line="360" w:lineRule="auto"/>
        <w:ind w:right="0"/>
        <w:rPr>
          <w:b/>
          <w:bCs/>
          <w:snapToGrid w:val="0"/>
          <w:sz w:val="24"/>
          <w:szCs w:val="24"/>
        </w:rPr>
      </w:pPr>
      <w:r>
        <w:rPr>
          <w:sz w:val="24"/>
          <w:szCs w:val="24"/>
        </w:rPr>
        <w:fldChar w:fldCharType="end"/>
      </w:r>
      <w:r>
        <w:rPr>
          <w:b/>
          <w:bCs/>
          <w:snapToGrid w:val="0"/>
          <w:sz w:val="24"/>
          <w:szCs w:val="24"/>
        </w:rPr>
        <w:t>附图</w:t>
      </w:r>
    </w:p>
    <w:p>
      <w:pPr>
        <w:adjustRightInd w:val="0"/>
        <w:snapToGrid w:val="0"/>
        <w:spacing w:line="360" w:lineRule="auto"/>
        <w:ind w:firstLine="480" w:firstLineChars="200"/>
        <w:rPr>
          <w:sz w:val="24"/>
        </w:rPr>
      </w:pPr>
      <w:r>
        <w:rPr>
          <w:sz w:val="24"/>
        </w:rPr>
        <w:t>附图1：项目地理位置图</w:t>
      </w:r>
    </w:p>
    <w:p>
      <w:pPr>
        <w:adjustRightInd w:val="0"/>
        <w:snapToGrid w:val="0"/>
        <w:spacing w:line="360" w:lineRule="auto"/>
        <w:ind w:firstLine="480" w:firstLineChars="200"/>
        <w:rPr>
          <w:sz w:val="24"/>
        </w:rPr>
      </w:pPr>
      <w:r>
        <w:rPr>
          <w:sz w:val="24"/>
        </w:rPr>
        <w:t>附图2-1：项目噪声、土壤、地下水监测布点图</w:t>
      </w:r>
    </w:p>
    <w:p>
      <w:pPr>
        <w:adjustRightInd w:val="0"/>
        <w:snapToGrid w:val="0"/>
        <w:spacing w:line="360" w:lineRule="auto"/>
        <w:ind w:firstLine="480" w:firstLineChars="200"/>
        <w:rPr>
          <w:sz w:val="24"/>
        </w:rPr>
      </w:pPr>
      <w:r>
        <w:rPr>
          <w:sz w:val="24"/>
        </w:rPr>
        <w:t>附图2-2：项目地表水监测布点图</w:t>
      </w:r>
    </w:p>
    <w:p>
      <w:pPr>
        <w:adjustRightInd w:val="0"/>
        <w:snapToGrid w:val="0"/>
        <w:spacing w:line="360" w:lineRule="auto"/>
        <w:ind w:firstLine="480" w:firstLineChars="200"/>
        <w:rPr>
          <w:sz w:val="24"/>
        </w:rPr>
      </w:pPr>
      <w:r>
        <w:rPr>
          <w:sz w:val="24"/>
        </w:rPr>
        <w:t>附图2-3：项目引用大气监测布点图</w:t>
      </w:r>
    </w:p>
    <w:p>
      <w:pPr>
        <w:adjustRightInd w:val="0"/>
        <w:snapToGrid w:val="0"/>
        <w:spacing w:line="360" w:lineRule="auto"/>
        <w:ind w:firstLine="480" w:firstLineChars="200"/>
        <w:rPr>
          <w:sz w:val="24"/>
        </w:rPr>
      </w:pPr>
      <w:r>
        <w:rPr>
          <w:sz w:val="24"/>
        </w:rPr>
        <w:t>附图3：项目外环境关系图</w:t>
      </w:r>
    </w:p>
    <w:p>
      <w:pPr>
        <w:adjustRightInd w:val="0"/>
        <w:snapToGrid w:val="0"/>
        <w:spacing w:line="360" w:lineRule="auto"/>
        <w:ind w:firstLine="480" w:firstLineChars="200"/>
        <w:rPr>
          <w:sz w:val="24"/>
        </w:rPr>
      </w:pPr>
      <w:r>
        <w:rPr>
          <w:sz w:val="24"/>
        </w:rPr>
        <w:t>附图4：项目总平面布置图</w:t>
      </w:r>
    </w:p>
    <w:p>
      <w:pPr>
        <w:adjustRightInd w:val="0"/>
        <w:snapToGrid w:val="0"/>
        <w:spacing w:line="360" w:lineRule="auto"/>
        <w:ind w:firstLine="480" w:firstLineChars="200"/>
        <w:rPr>
          <w:sz w:val="24"/>
        </w:rPr>
      </w:pPr>
      <w:r>
        <w:rPr>
          <w:sz w:val="24"/>
        </w:rPr>
        <w:t>附图5：项目工艺流程图</w:t>
      </w:r>
    </w:p>
    <w:p>
      <w:pPr>
        <w:adjustRightInd w:val="0"/>
        <w:snapToGrid w:val="0"/>
        <w:spacing w:line="360" w:lineRule="auto"/>
        <w:ind w:firstLine="480" w:firstLineChars="200"/>
        <w:rPr>
          <w:sz w:val="24"/>
        </w:rPr>
      </w:pPr>
      <w:bookmarkStart w:id="4" w:name="_Hlk141868803"/>
      <w:bookmarkStart w:id="5" w:name="_Hlk141876320"/>
      <w:r>
        <w:rPr>
          <w:sz w:val="24"/>
        </w:rPr>
        <w:t>附图6：</w:t>
      </w:r>
      <w:bookmarkEnd w:id="4"/>
      <w:r>
        <w:rPr>
          <w:rFonts w:hint="eastAsia"/>
          <w:sz w:val="24"/>
        </w:rPr>
        <w:t>本项目与城镇开发边界及基本农田关系图</w:t>
      </w:r>
    </w:p>
    <w:p>
      <w:pPr>
        <w:adjustRightInd w:val="0"/>
        <w:snapToGrid w:val="0"/>
        <w:spacing w:line="360" w:lineRule="auto"/>
        <w:ind w:firstLine="480" w:firstLineChars="200"/>
        <w:rPr>
          <w:sz w:val="24"/>
        </w:rPr>
      </w:pPr>
      <w:r>
        <w:rPr>
          <w:sz w:val="24"/>
        </w:rPr>
        <w:t>附图7：通川区水系图及地表水评价范围</w:t>
      </w:r>
    </w:p>
    <w:p>
      <w:pPr>
        <w:adjustRightInd w:val="0"/>
        <w:snapToGrid w:val="0"/>
        <w:spacing w:line="360" w:lineRule="auto"/>
        <w:ind w:firstLine="480" w:firstLineChars="200"/>
        <w:rPr>
          <w:sz w:val="24"/>
        </w:rPr>
      </w:pPr>
      <w:r>
        <w:rPr>
          <w:sz w:val="24"/>
        </w:rPr>
        <w:t>附图8：现场照片</w:t>
      </w:r>
      <w:bookmarkEnd w:id="5"/>
    </w:p>
    <w:p>
      <w:pPr>
        <w:adjustRightInd w:val="0"/>
        <w:snapToGrid w:val="0"/>
        <w:spacing w:line="360" w:lineRule="auto"/>
        <w:rPr>
          <w:b/>
          <w:bCs/>
          <w:snapToGrid w:val="0"/>
          <w:kern w:val="0"/>
          <w:sz w:val="24"/>
        </w:rPr>
      </w:pPr>
      <w:r>
        <w:rPr>
          <w:b/>
          <w:bCs/>
          <w:snapToGrid w:val="0"/>
          <w:kern w:val="0"/>
          <w:sz w:val="24"/>
        </w:rPr>
        <w:t>附件</w:t>
      </w:r>
    </w:p>
    <w:p>
      <w:pPr>
        <w:adjustRightInd w:val="0"/>
        <w:snapToGrid w:val="0"/>
        <w:spacing w:line="360" w:lineRule="auto"/>
        <w:ind w:firstLine="480" w:firstLineChars="200"/>
        <w:rPr>
          <w:sz w:val="24"/>
        </w:rPr>
      </w:pPr>
      <w:r>
        <w:rPr>
          <w:sz w:val="24"/>
        </w:rPr>
        <w:t>附件1：委托书</w:t>
      </w:r>
    </w:p>
    <w:p>
      <w:pPr>
        <w:adjustRightInd w:val="0"/>
        <w:snapToGrid w:val="0"/>
        <w:spacing w:line="360" w:lineRule="auto"/>
        <w:ind w:firstLine="480" w:firstLineChars="200"/>
        <w:rPr>
          <w:sz w:val="24"/>
        </w:rPr>
      </w:pPr>
      <w:r>
        <w:rPr>
          <w:sz w:val="24"/>
        </w:rPr>
        <w:t>附件2：</w:t>
      </w:r>
      <w:bookmarkStart w:id="6" w:name="_Hlk116114304"/>
      <w:r>
        <w:rPr>
          <w:sz w:val="24"/>
        </w:rPr>
        <w:t>《达州市通川区发展和改革局关于双龙镇污水处理厂改扩建项目的立项批复》（通区发改审[2023]53号）</w:t>
      </w:r>
    </w:p>
    <w:p>
      <w:pPr>
        <w:adjustRightInd w:val="0"/>
        <w:snapToGrid w:val="0"/>
        <w:spacing w:line="360" w:lineRule="auto"/>
        <w:ind w:firstLine="480" w:firstLineChars="200"/>
        <w:rPr>
          <w:sz w:val="24"/>
        </w:rPr>
      </w:pPr>
      <w:r>
        <w:rPr>
          <w:sz w:val="24"/>
        </w:rPr>
        <w:t>附件3：建设项目选址意见书（选字第换2016-08号）</w:t>
      </w:r>
    </w:p>
    <w:bookmarkEnd w:id="6"/>
    <w:p>
      <w:pPr>
        <w:adjustRightInd w:val="0"/>
        <w:snapToGrid w:val="0"/>
        <w:spacing w:line="360" w:lineRule="auto"/>
        <w:ind w:firstLine="480" w:firstLineChars="200"/>
        <w:rPr>
          <w:sz w:val="24"/>
        </w:rPr>
      </w:pPr>
      <w:r>
        <w:rPr>
          <w:sz w:val="24"/>
        </w:rPr>
        <w:t>附件4：达州市通川区环境保护局关于通川区双龙镇污水处理站建设项目环境影响报告表的批复意见（通区环审批[2017]34号）</w:t>
      </w:r>
    </w:p>
    <w:p>
      <w:pPr>
        <w:adjustRightInd w:val="0"/>
        <w:snapToGrid w:val="0"/>
        <w:spacing w:line="360" w:lineRule="auto"/>
        <w:ind w:firstLine="480" w:firstLineChars="200"/>
        <w:rPr>
          <w:sz w:val="24"/>
        </w:rPr>
      </w:pPr>
      <w:r>
        <w:rPr>
          <w:sz w:val="24"/>
        </w:rPr>
        <w:t>附件5：污水处理厂委托运营服务合同</w:t>
      </w:r>
    </w:p>
    <w:p>
      <w:pPr>
        <w:adjustRightInd w:val="0"/>
        <w:snapToGrid w:val="0"/>
        <w:spacing w:line="360" w:lineRule="auto"/>
        <w:ind w:firstLine="480" w:firstLineChars="200"/>
        <w:rPr>
          <w:sz w:val="24"/>
        </w:rPr>
      </w:pPr>
      <w:r>
        <w:rPr>
          <w:sz w:val="24"/>
        </w:rPr>
        <w:t>附件6：竣工环境保护验收意见</w:t>
      </w:r>
    </w:p>
    <w:p>
      <w:pPr>
        <w:adjustRightInd w:val="0"/>
        <w:snapToGrid w:val="0"/>
        <w:spacing w:line="360" w:lineRule="auto"/>
        <w:ind w:firstLine="480" w:firstLineChars="200"/>
        <w:rPr>
          <w:sz w:val="24"/>
        </w:rPr>
      </w:pPr>
      <w:r>
        <w:rPr>
          <w:sz w:val="24"/>
        </w:rPr>
        <w:t>附件7：污泥处置协议</w:t>
      </w:r>
    </w:p>
    <w:p>
      <w:pPr>
        <w:adjustRightInd w:val="0"/>
        <w:snapToGrid w:val="0"/>
        <w:spacing w:line="360" w:lineRule="auto"/>
        <w:ind w:firstLine="480" w:firstLineChars="200"/>
        <w:rPr>
          <w:sz w:val="24"/>
        </w:rPr>
      </w:pPr>
      <w:r>
        <w:rPr>
          <w:sz w:val="24"/>
        </w:rPr>
        <w:t>附件8：危废合同</w:t>
      </w:r>
    </w:p>
    <w:p>
      <w:pPr>
        <w:adjustRightInd w:val="0"/>
        <w:snapToGrid w:val="0"/>
        <w:spacing w:line="360" w:lineRule="auto"/>
        <w:ind w:firstLine="480" w:firstLineChars="200"/>
        <w:rPr>
          <w:sz w:val="24"/>
        </w:rPr>
      </w:pPr>
      <w:r>
        <w:rPr>
          <w:sz w:val="24"/>
        </w:rPr>
        <w:t>附件9：例行监测报告</w:t>
      </w:r>
    </w:p>
    <w:p>
      <w:pPr>
        <w:adjustRightInd w:val="0"/>
        <w:snapToGrid w:val="0"/>
        <w:spacing w:line="360" w:lineRule="auto"/>
        <w:ind w:firstLine="480" w:firstLineChars="200"/>
        <w:rPr>
          <w:sz w:val="24"/>
        </w:rPr>
      </w:pPr>
      <w:r>
        <w:rPr>
          <w:sz w:val="24"/>
        </w:rPr>
        <w:t>附件10：达州市通川区水务局关于《通川区双龙镇场镇生活污水处理站建设项目（污水管道改线河段）行洪论证与河势稳定影响评价报告》的批复（通区水行审[2017]12号）</w:t>
      </w:r>
    </w:p>
    <w:p>
      <w:pPr>
        <w:adjustRightInd w:val="0"/>
        <w:snapToGrid w:val="0"/>
        <w:spacing w:line="360" w:lineRule="auto"/>
        <w:ind w:firstLine="480" w:firstLineChars="200"/>
        <w:rPr>
          <w:sz w:val="24"/>
        </w:rPr>
      </w:pPr>
      <w:r>
        <w:rPr>
          <w:sz w:val="24"/>
        </w:rPr>
        <w:t>附件11：监测报告</w:t>
      </w:r>
    </w:p>
    <w:p>
      <w:pPr>
        <w:adjustRightInd w:val="0"/>
        <w:snapToGrid w:val="0"/>
        <w:spacing w:line="360" w:lineRule="auto"/>
        <w:ind w:firstLine="480" w:firstLineChars="200"/>
        <w:rPr>
          <w:sz w:val="24"/>
        </w:rPr>
      </w:pPr>
      <w:r>
        <w:rPr>
          <w:sz w:val="24"/>
        </w:rPr>
        <w:t>附件12：专题研究通川区乡镇污水处理厂和农村聚居点微型污水处理站移交事宜会议纪要（达州市通川区人民政府纪要第13期）</w:t>
      </w:r>
    </w:p>
    <w:p>
      <w:pPr>
        <w:adjustRightInd w:val="0"/>
        <w:snapToGrid w:val="0"/>
        <w:spacing w:line="288" w:lineRule="auto"/>
        <w:ind w:firstLine="1040"/>
        <w:rPr>
          <w:sz w:val="36"/>
          <w:szCs w:val="36"/>
        </w:rPr>
        <w:sectPr>
          <w:pgSz w:w="11906" w:h="16838"/>
          <w:pgMar w:top="1701" w:right="1531" w:bottom="1701" w:left="1531" w:header="851" w:footer="1077" w:gutter="0"/>
          <w:pgNumType w:start="3"/>
          <w:cols w:space="720" w:num="1"/>
          <w:docGrid w:linePitch="312" w:charSpace="0"/>
        </w:sectPr>
      </w:pPr>
    </w:p>
    <w:p>
      <w:pPr>
        <w:pStyle w:val="28"/>
        <w:jc w:val="center"/>
        <w:outlineLvl w:val="0"/>
        <w:rPr>
          <w:rFonts w:ascii="Times New Roman" w:hAnsi="Times New Roman"/>
          <w:snapToGrid w:val="0"/>
          <w:sz w:val="30"/>
          <w:szCs w:val="30"/>
        </w:rPr>
      </w:pPr>
      <w:bookmarkStart w:id="7" w:name="_Toc116207758"/>
      <w:r>
        <w:rPr>
          <w:rFonts w:ascii="Times New Roman" w:hAnsi="Times New Roman"/>
          <w:snapToGrid w:val="0"/>
          <w:sz w:val="30"/>
          <w:szCs w:val="30"/>
        </w:rPr>
        <w:t>一、建设项目基本情况</w:t>
      </w:r>
      <w:bookmarkEnd w:id="7"/>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2430"/>
        <w:gridCol w:w="1868"/>
        <w:gridCol w:w="374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667" w:type="pct"/>
            <w:noWrap w:val="0"/>
            <w:tcMar>
              <w:top w:w="16" w:type="dxa"/>
              <w:left w:w="16" w:type="dxa"/>
              <w:right w:w="16" w:type="dxa"/>
            </w:tcMar>
            <w:vAlign w:val="center"/>
          </w:tcPr>
          <w:p>
            <w:pPr>
              <w:adjustRightInd w:val="0"/>
              <w:snapToGrid w:val="0"/>
              <w:jc w:val="center"/>
              <w:rPr>
                <w:szCs w:val="21"/>
              </w:rPr>
            </w:pPr>
            <w:r>
              <w:rPr>
                <w:szCs w:val="21"/>
              </w:rPr>
              <w:t>建设项目名称</w:t>
            </w:r>
          </w:p>
        </w:tc>
        <w:tc>
          <w:tcPr>
            <w:tcW w:w="4333" w:type="pct"/>
            <w:gridSpan w:val="3"/>
            <w:noWrap w:val="0"/>
            <w:vAlign w:val="center"/>
          </w:tcPr>
          <w:p>
            <w:pPr>
              <w:adjustRightInd w:val="0"/>
              <w:snapToGrid w:val="0"/>
              <w:jc w:val="center"/>
              <w:rPr>
                <w:szCs w:val="21"/>
              </w:rPr>
            </w:pPr>
            <w:bookmarkStart w:id="8" w:name="_Hlk140826295"/>
            <w:r>
              <w:rPr>
                <w:szCs w:val="21"/>
              </w:rPr>
              <w:t>双龙镇污水处理厂改扩建项目</w:t>
            </w:r>
            <w:bookmarkEnd w:id="8"/>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667" w:type="pct"/>
            <w:noWrap w:val="0"/>
            <w:tcMar>
              <w:top w:w="16" w:type="dxa"/>
              <w:left w:w="16" w:type="dxa"/>
              <w:right w:w="16" w:type="dxa"/>
            </w:tcMar>
            <w:vAlign w:val="center"/>
          </w:tcPr>
          <w:p>
            <w:pPr>
              <w:adjustRightInd w:val="0"/>
              <w:snapToGrid w:val="0"/>
              <w:jc w:val="center"/>
              <w:rPr>
                <w:szCs w:val="21"/>
              </w:rPr>
            </w:pPr>
            <w:r>
              <w:rPr>
                <w:szCs w:val="21"/>
              </w:rPr>
              <w:t>项目代码</w:t>
            </w:r>
          </w:p>
        </w:tc>
        <w:tc>
          <w:tcPr>
            <w:tcW w:w="4333" w:type="pct"/>
            <w:gridSpan w:val="3"/>
            <w:noWrap w:val="0"/>
            <w:vAlign w:val="center"/>
          </w:tcPr>
          <w:p>
            <w:pPr>
              <w:adjustRightInd w:val="0"/>
              <w:snapToGrid w:val="0"/>
              <w:jc w:val="center"/>
              <w:rPr>
                <w:szCs w:val="21"/>
              </w:rPr>
            </w:pPr>
            <w:r>
              <w:rPr>
                <w:szCs w:val="21"/>
              </w:rPr>
              <w:t>2305-511702-04-01-327346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667" w:type="pct"/>
            <w:noWrap w:val="0"/>
            <w:tcMar>
              <w:top w:w="16" w:type="dxa"/>
              <w:left w:w="16" w:type="dxa"/>
              <w:right w:w="16" w:type="dxa"/>
            </w:tcMar>
            <w:vAlign w:val="center"/>
          </w:tcPr>
          <w:p>
            <w:pPr>
              <w:adjustRightInd w:val="0"/>
              <w:snapToGrid w:val="0"/>
              <w:jc w:val="center"/>
              <w:rPr>
                <w:szCs w:val="21"/>
              </w:rPr>
            </w:pPr>
            <w:r>
              <w:rPr>
                <w:szCs w:val="21"/>
              </w:rPr>
              <w:t>建设单位联系人</w:t>
            </w:r>
          </w:p>
        </w:tc>
        <w:tc>
          <w:tcPr>
            <w:tcW w:w="1309" w:type="pct"/>
            <w:noWrap w:val="0"/>
            <w:vAlign w:val="center"/>
          </w:tcPr>
          <w:p>
            <w:pPr>
              <w:adjustRightInd w:val="0"/>
              <w:snapToGrid w:val="0"/>
              <w:jc w:val="center"/>
              <w:rPr>
                <w:szCs w:val="21"/>
              </w:rPr>
            </w:pPr>
            <w:r>
              <w:rPr>
                <w:szCs w:val="21"/>
              </w:rPr>
              <w:t>邓工</w:t>
            </w:r>
          </w:p>
        </w:tc>
        <w:tc>
          <w:tcPr>
            <w:tcW w:w="1006" w:type="pct"/>
            <w:noWrap w:val="0"/>
            <w:vAlign w:val="center"/>
          </w:tcPr>
          <w:p>
            <w:pPr>
              <w:adjustRightInd w:val="0"/>
              <w:snapToGrid w:val="0"/>
              <w:jc w:val="center"/>
              <w:rPr>
                <w:szCs w:val="21"/>
              </w:rPr>
            </w:pPr>
            <w:r>
              <w:rPr>
                <w:szCs w:val="21"/>
              </w:rPr>
              <w:t>联系方式</w:t>
            </w:r>
          </w:p>
        </w:tc>
        <w:tc>
          <w:tcPr>
            <w:tcW w:w="2019" w:type="pct"/>
            <w:noWrap w:val="0"/>
            <w:vAlign w:val="center"/>
          </w:tcPr>
          <w:p>
            <w:pPr>
              <w:adjustRightInd w:val="0"/>
              <w:snapToGrid w:val="0"/>
              <w:jc w:val="center"/>
              <w:rPr>
                <w:szCs w:val="21"/>
              </w:rPr>
            </w:pPr>
            <w:r>
              <w:rPr>
                <w:szCs w:val="21"/>
              </w:rPr>
              <w:t>19983666133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667" w:type="pct"/>
            <w:noWrap w:val="0"/>
            <w:tcMar>
              <w:top w:w="16" w:type="dxa"/>
              <w:left w:w="16" w:type="dxa"/>
              <w:right w:w="16" w:type="dxa"/>
            </w:tcMar>
            <w:vAlign w:val="center"/>
          </w:tcPr>
          <w:p>
            <w:pPr>
              <w:adjustRightInd w:val="0"/>
              <w:snapToGrid w:val="0"/>
              <w:jc w:val="center"/>
              <w:rPr>
                <w:szCs w:val="21"/>
              </w:rPr>
            </w:pPr>
            <w:r>
              <w:rPr>
                <w:szCs w:val="21"/>
              </w:rPr>
              <w:t>建设地点</w:t>
            </w:r>
          </w:p>
        </w:tc>
        <w:tc>
          <w:tcPr>
            <w:tcW w:w="4333" w:type="pct"/>
            <w:gridSpan w:val="3"/>
            <w:noWrap w:val="0"/>
            <w:vAlign w:val="center"/>
          </w:tcPr>
          <w:p>
            <w:pPr>
              <w:adjustRightInd w:val="0"/>
              <w:snapToGrid w:val="0"/>
              <w:jc w:val="center"/>
              <w:rPr>
                <w:szCs w:val="21"/>
              </w:rPr>
            </w:pPr>
            <w:r>
              <w:rPr>
                <w:szCs w:val="21"/>
                <w:u w:val="single"/>
              </w:rPr>
              <w:t xml:space="preserve">四川 </w:t>
            </w:r>
            <w:r>
              <w:rPr>
                <w:szCs w:val="21"/>
              </w:rPr>
              <w:t>省</w:t>
            </w:r>
            <w:r>
              <w:rPr>
                <w:szCs w:val="21"/>
                <w:u w:val="single"/>
              </w:rPr>
              <w:t xml:space="preserve">达州 </w:t>
            </w:r>
            <w:r>
              <w:rPr>
                <w:szCs w:val="21"/>
              </w:rPr>
              <w:t>市</w:t>
            </w:r>
            <w:r>
              <w:rPr>
                <w:szCs w:val="21"/>
                <w:u w:val="single"/>
              </w:rPr>
              <w:t xml:space="preserve"> 通川 </w:t>
            </w:r>
            <w:r>
              <w:rPr>
                <w:szCs w:val="21"/>
              </w:rPr>
              <w:t>（区）</w:t>
            </w:r>
            <w:r>
              <w:rPr>
                <w:szCs w:val="21"/>
                <w:u w:val="single"/>
              </w:rPr>
              <w:t>双龙</w:t>
            </w:r>
            <w:r>
              <w:rPr>
                <w:szCs w:val="21"/>
              </w:rPr>
              <w:t>（镇）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667" w:type="pct"/>
            <w:noWrap w:val="0"/>
            <w:tcMar>
              <w:top w:w="16" w:type="dxa"/>
              <w:left w:w="16" w:type="dxa"/>
              <w:right w:w="16" w:type="dxa"/>
            </w:tcMar>
            <w:vAlign w:val="center"/>
          </w:tcPr>
          <w:p>
            <w:pPr>
              <w:adjustRightInd w:val="0"/>
              <w:snapToGrid w:val="0"/>
              <w:jc w:val="center"/>
              <w:rPr>
                <w:szCs w:val="21"/>
              </w:rPr>
            </w:pPr>
            <w:r>
              <w:rPr>
                <w:szCs w:val="21"/>
              </w:rPr>
              <w:t>地理坐标</w:t>
            </w:r>
          </w:p>
        </w:tc>
        <w:tc>
          <w:tcPr>
            <w:tcW w:w="4333" w:type="pct"/>
            <w:gridSpan w:val="3"/>
            <w:noWrap w:val="0"/>
            <w:vAlign w:val="center"/>
          </w:tcPr>
          <w:p>
            <w:pPr>
              <w:jc w:val="center"/>
              <w:rPr>
                <w:szCs w:val="21"/>
              </w:rPr>
            </w:pPr>
            <w:r>
              <w:rPr>
                <w:szCs w:val="21"/>
              </w:rPr>
              <w:t>（</w:t>
            </w:r>
            <w:r>
              <w:rPr>
                <w:szCs w:val="21"/>
                <w:u w:val="single"/>
              </w:rPr>
              <w:t>107</w:t>
            </w:r>
            <w:r>
              <w:rPr>
                <w:szCs w:val="21"/>
              </w:rPr>
              <w:t>度</w:t>
            </w:r>
            <w:r>
              <w:rPr>
                <w:szCs w:val="21"/>
                <w:u w:val="single"/>
              </w:rPr>
              <w:t>26</w:t>
            </w:r>
            <w:r>
              <w:rPr>
                <w:szCs w:val="21"/>
              </w:rPr>
              <w:t>分</w:t>
            </w:r>
            <w:r>
              <w:rPr>
                <w:szCs w:val="21"/>
                <w:u w:val="single"/>
              </w:rPr>
              <w:t>6.809</w:t>
            </w:r>
            <w:r>
              <w:rPr>
                <w:szCs w:val="21"/>
              </w:rPr>
              <w:t>秒，</w:t>
            </w:r>
            <w:r>
              <w:rPr>
                <w:szCs w:val="21"/>
                <w:u w:val="single"/>
              </w:rPr>
              <w:t>31</w:t>
            </w:r>
            <w:r>
              <w:rPr>
                <w:szCs w:val="21"/>
              </w:rPr>
              <w:t>度</w:t>
            </w:r>
            <w:r>
              <w:rPr>
                <w:szCs w:val="21"/>
                <w:u w:val="single"/>
              </w:rPr>
              <w:t>46</w:t>
            </w:r>
            <w:r>
              <w:rPr>
                <w:szCs w:val="21"/>
              </w:rPr>
              <w:t>分</w:t>
            </w:r>
            <w:r>
              <w:rPr>
                <w:szCs w:val="21"/>
                <w:u w:val="single"/>
              </w:rPr>
              <w:t>21.859</w:t>
            </w:r>
            <w:r>
              <w:rPr>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667" w:type="pct"/>
            <w:noWrap w:val="0"/>
            <w:tcMar>
              <w:top w:w="16" w:type="dxa"/>
              <w:left w:w="16" w:type="dxa"/>
              <w:right w:w="16" w:type="dxa"/>
            </w:tcMar>
            <w:vAlign w:val="center"/>
          </w:tcPr>
          <w:p>
            <w:pPr>
              <w:adjustRightInd w:val="0"/>
              <w:snapToGrid w:val="0"/>
              <w:jc w:val="center"/>
              <w:rPr>
                <w:szCs w:val="21"/>
              </w:rPr>
            </w:pPr>
            <w:r>
              <w:rPr>
                <w:szCs w:val="21"/>
              </w:rPr>
              <w:t>国民经济</w:t>
            </w:r>
          </w:p>
          <w:p>
            <w:pPr>
              <w:adjustRightInd w:val="0"/>
              <w:snapToGrid w:val="0"/>
              <w:jc w:val="center"/>
              <w:rPr>
                <w:szCs w:val="21"/>
              </w:rPr>
            </w:pPr>
            <w:r>
              <w:rPr>
                <w:szCs w:val="21"/>
              </w:rPr>
              <w:t>行业类别</w:t>
            </w:r>
          </w:p>
        </w:tc>
        <w:tc>
          <w:tcPr>
            <w:tcW w:w="1309" w:type="pct"/>
            <w:noWrap w:val="0"/>
            <w:vAlign w:val="center"/>
          </w:tcPr>
          <w:p>
            <w:pPr>
              <w:adjustRightInd w:val="0"/>
              <w:snapToGrid w:val="0"/>
              <w:jc w:val="center"/>
              <w:rPr>
                <w:szCs w:val="21"/>
              </w:rPr>
            </w:pPr>
            <w:r>
              <w:rPr>
                <w:szCs w:val="21"/>
              </w:rPr>
              <w:t>D4620 污水处理及再生利用</w:t>
            </w:r>
          </w:p>
        </w:tc>
        <w:tc>
          <w:tcPr>
            <w:tcW w:w="1006" w:type="pct"/>
            <w:noWrap w:val="0"/>
            <w:vAlign w:val="center"/>
          </w:tcPr>
          <w:p>
            <w:pPr>
              <w:adjustRightInd w:val="0"/>
              <w:snapToGrid w:val="0"/>
              <w:jc w:val="center"/>
              <w:rPr>
                <w:szCs w:val="21"/>
              </w:rPr>
            </w:pPr>
            <w:bookmarkStart w:id="9" w:name="_Hlk49843745"/>
            <w:r>
              <w:rPr>
                <w:szCs w:val="21"/>
              </w:rPr>
              <w:t>建设项目</w:t>
            </w:r>
          </w:p>
          <w:p>
            <w:pPr>
              <w:adjustRightInd w:val="0"/>
              <w:snapToGrid w:val="0"/>
              <w:jc w:val="center"/>
              <w:rPr>
                <w:szCs w:val="21"/>
              </w:rPr>
            </w:pPr>
            <w:r>
              <w:rPr>
                <w:szCs w:val="21"/>
              </w:rPr>
              <w:t>行业类别</w:t>
            </w:r>
            <w:bookmarkEnd w:id="9"/>
          </w:p>
        </w:tc>
        <w:tc>
          <w:tcPr>
            <w:tcW w:w="2019" w:type="pct"/>
            <w:noWrap w:val="0"/>
            <w:vAlign w:val="center"/>
          </w:tcPr>
          <w:p>
            <w:pPr>
              <w:adjustRightInd w:val="0"/>
              <w:snapToGrid w:val="0"/>
              <w:jc w:val="center"/>
              <w:rPr>
                <w:szCs w:val="21"/>
              </w:rPr>
            </w:pPr>
            <w:r>
              <w:rPr>
                <w:szCs w:val="21"/>
              </w:rPr>
              <w:t>四十三、水的生产和供应业 95、污水处理及其再生利用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667" w:type="pct"/>
            <w:noWrap w:val="0"/>
            <w:tcMar>
              <w:top w:w="16" w:type="dxa"/>
              <w:left w:w="16" w:type="dxa"/>
              <w:right w:w="16" w:type="dxa"/>
            </w:tcMar>
            <w:vAlign w:val="center"/>
          </w:tcPr>
          <w:p>
            <w:pPr>
              <w:adjustRightInd w:val="0"/>
              <w:snapToGrid w:val="0"/>
              <w:jc w:val="center"/>
              <w:rPr>
                <w:szCs w:val="21"/>
              </w:rPr>
            </w:pPr>
            <w:r>
              <w:rPr>
                <w:szCs w:val="21"/>
              </w:rPr>
              <w:t>建设性质</w:t>
            </w:r>
          </w:p>
        </w:tc>
        <w:tc>
          <w:tcPr>
            <w:tcW w:w="1309" w:type="pct"/>
            <w:noWrap w:val="0"/>
            <w:vAlign w:val="center"/>
          </w:tcPr>
          <w:p>
            <w:pPr>
              <w:jc w:val="left"/>
              <w:rPr>
                <w:szCs w:val="21"/>
              </w:rPr>
            </w:pPr>
            <w:r>
              <w:rPr>
                <w:szCs w:val="21"/>
              </w:rPr>
              <w:sym w:font="Wingdings 2" w:char="00A3"/>
            </w:r>
            <w:r>
              <w:rPr>
                <w:szCs w:val="21"/>
              </w:rPr>
              <w:t>新建（迁建）</w:t>
            </w:r>
          </w:p>
          <w:p>
            <w:pPr>
              <w:jc w:val="left"/>
              <w:rPr>
                <w:szCs w:val="21"/>
              </w:rPr>
            </w:pPr>
            <w:r>
              <w:rPr>
                <w:szCs w:val="21"/>
              </w:rPr>
              <w:sym w:font="Wingdings 2" w:char="0052"/>
            </w:r>
            <w:r>
              <w:rPr>
                <w:szCs w:val="21"/>
              </w:rPr>
              <w:t>改建</w:t>
            </w:r>
          </w:p>
          <w:p>
            <w:pPr>
              <w:jc w:val="left"/>
              <w:rPr>
                <w:szCs w:val="21"/>
              </w:rPr>
            </w:pPr>
            <w:r>
              <w:rPr>
                <w:szCs w:val="21"/>
              </w:rPr>
              <w:sym w:font="Wingdings 2" w:char="0052"/>
            </w:r>
            <w:r>
              <w:rPr>
                <w:szCs w:val="21"/>
              </w:rPr>
              <w:t>扩建</w:t>
            </w:r>
          </w:p>
          <w:p>
            <w:pPr>
              <w:jc w:val="left"/>
              <w:rPr>
                <w:szCs w:val="21"/>
              </w:rPr>
            </w:pPr>
            <w:r>
              <w:rPr>
                <w:szCs w:val="21"/>
              </w:rPr>
              <w:sym w:font="Wingdings 2" w:char="00A3"/>
            </w:r>
            <w:r>
              <w:rPr>
                <w:szCs w:val="21"/>
              </w:rPr>
              <w:t>技术改造</w:t>
            </w:r>
          </w:p>
        </w:tc>
        <w:tc>
          <w:tcPr>
            <w:tcW w:w="1006" w:type="pct"/>
            <w:noWrap w:val="0"/>
            <w:vAlign w:val="center"/>
          </w:tcPr>
          <w:p>
            <w:pPr>
              <w:adjustRightInd w:val="0"/>
              <w:snapToGrid w:val="0"/>
              <w:jc w:val="center"/>
              <w:rPr>
                <w:szCs w:val="21"/>
              </w:rPr>
            </w:pPr>
            <w:r>
              <w:rPr>
                <w:szCs w:val="21"/>
              </w:rPr>
              <w:t>建设项目</w:t>
            </w:r>
          </w:p>
          <w:p>
            <w:pPr>
              <w:adjustRightInd w:val="0"/>
              <w:snapToGrid w:val="0"/>
              <w:jc w:val="center"/>
              <w:rPr>
                <w:szCs w:val="21"/>
              </w:rPr>
            </w:pPr>
            <w:r>
              <w:rPr>
                <w:szCs w:val="21"/>
              </w:rPr>
              <w:t>申报情形</w:t>
            </w:r>
          </w:p>
        </w:tc>
        <w:tc>
          <w:tcPr>
            <w:tcW w:w="2019" w:type="pct"/>
            <w:noWrap w:val="0"/>
            <w:vAlign w:val="center"/>
          </w:tcPr>
          <w:p>
            <w:pPr>
              <w:jc w:val="left"/>
              <w:rPr>
                <w:szCs w:val="21"/>
              </w:rPr>
            </w:pPr>
            <w:r>
              <w:rPr>
                <w:szCs w:val="21"/>
              </w:rPr>
              <w:sym w:font="Wingdings 2" w:char="0052"/>
            </w:r>
            <w:r>
              <w:rPr>
                <w:szCs w:val="21"/>
              </w:rPr>
              <w:t>首次申报项目</w:t>
            </w:r>
          </w:p>
          <w:p>
            <w:pPr>
              <w:jc w:val="left"/>
              <w:rPr>
                <w:szCs w:val="21"/>
              </w:rPr>
            </w:pPr>
            <w:r>
              <w:rPr>
                <w:szCs w:val="21"/>
              </w:rPr>
              <w:sym w:font="Wingdings 2" w:char="00A3"/>
            </w:r>
            <w:r>
              <w:rPr>
                <w:szCs w:val="21"/>
              </w:rPr>
              <w:t>不予批准后再次申报项目</w:t>
            </w:r>
          </w:p>
          <w:p>
            <w:pPr>
              <w:jc w:val="left"/>
              <w:rPr>
                <w:szCs w:val="21"/>
              </w:rPr>
            </w:pPr>
            <w:r>
              <w:rPr>
                <w:szCs w:val="21"/>
              </w:rPr>
              <w:sym w:font="Wingdings 2" w:char="00A3"/>
            </w:r>
            <w:r>
              <w:rPr>
                <w:szCs w:val="21"/>
              </w:rPr>
              <w:t>超五年重新审核项目</w:t>
            </w:r>
          </w:p>
          <w:p>
            <w:pPr>
              <w:jc w:val="left"/>
              <w:rPr>
                <w:szCs w:val="21"/>
              </w:rPr>
            </w:pPr>
            <w:r>
              <w:rPr>
                <w:szCs w:val="21"/>
              </w:rPr>
              <w:sym w:font="Wingdings 2" w:char="00A3"/>
            </w:r>
            <w:r>
              <w:rPr>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667" w:type="pct"/>
            <w:noWrap w:val="0"/>
            <w:tcMar>
              <w:top w:w="16" w:type="dxa"/>
              <w:left w:w="16" w:type="dxa"/>
              <w:right w:w="16" w:type="dxa"/>
            </w:tcMar>
            <w:vAlign w:val="center"/>
          </w:tcPr>
          <w:p>
            <w:pPr>
              <w:adjustRightInd w:val="0"/>
              <w:snapToGrid w:val="0"/>
              <w:jc w:val="center"/>
              <w:rPr>
                <w:rFonts w:hint="eastAsia" w:eastAsia="宋体"/>
                <w:szCs w:val="21"/>
                <w:lang w:val="en-US" w:eastAsia="zh-CN"/>
              </w:rPr>
            </w:pPr>
            <w:r>
              <w:rPr>
                <w:szCs w:val="21"/>
              </w:rPr>
              <w:t>项目审批（核准</w:t>
            </w:r>
            <w:r>
              <w:rPr>
                <w:rFonts w:hint="eastAsia"/>
                <w:szCs w:val="21"/>
                <w:lang w:val="en-US" w:eastAsia="zh-CN"/>
              </w:rPr>
              <w:t>和</w:t>
            </w:r>
          </w:p>
          <w:p>
            <w:pPr>
              <w:adjustRightInd w:val="0"/>
              <w:snapToGrid w:val="0"/>
              <w:jc w:val="center"/>
              <w:rPr>
                <w:szCs w:val="21"/>
              </w:rPr>
            </w:pPr>
            <w:r>
              <w:rPr>
                <w:szCs w:val="21"/>
              </w:rPr>
              <w:t>备案）部门（选填）</w:t>
            </w:r>
          </w:p>
        </w:tc>
        <w:tc>
          <w:tcPr>
            <w:tcW w:w="1309" w:type="pct"/>
            <w:noWrap w:val="0"/>
            <w:vAlign w:val="center"/>
          </w:tcPr>
          <w:p>
            <w:pPr>
              <w:adjustRightInd w:val="0"/>
              <w:snapToGrid w:val="0"/>
              <w:jc w:val="center"/>
              <w:rPr>
                <w:szCs w:val="21"/>
              </w:rPr>
            </w:pPr>
            <w:r>
              <w:rPr>
                <w:bCs/>
              </w:rPr>
              <w:t>达州市通川区发展和改革局</w:t>
            </w:r>
          </w:p>
        </w:tc>
        <w:tc>
          <w:tcPr>
            <w:tcW w:w="1006" w:type="pct"/>
            <w:noWrap w:val="0"/>
            <w:vAlign w:val="center"/>
          </w:tcPr>
          <w:p>
            <w:pPr>
              <w:adjustRightInd w:val="0"/>
              <w:snapToGrid w:val="0"/>
              <w:jc w:val="center"/>
              <w:rPr>
                <w:rFonts w:hint="eastAsia" w:eastAsia="宋体"/>
                <w:szCs w:val="21"/>
                <w:lang w:val="en-US" w:eastAsia="zh-CN"/>
              </w:rPr>
            </w:pPr>
            <w:r>
              <w:rPr>
                <w:szCs w:val="21"/>
              </w:rPr>
              <w:t>项目审批（核准</w:t>
            </w:r>
            <w:r>
              <w:rPr>
                <w:rFonts w:hint="eastAsia"/>
                <w:szCs w:val="21"/>
                <w:lang w:val="en-US" w:eastAsia="zh-CN"/>
              </w:rPr>
              <w:t>和</w:t>
            </w:r>
          </w:p>
          <w:p>
            <w:pPr>
              <w:adjustRightInd w:val="0"/>
              <w:snapToGrid w:val="0"/>
              <w:jc w:val="center"/>
              <w:rPr>
                <w:szCs w:val="21"/>
              </w:rPr>
            </w:pPr>
            <w:r>
              <w:rPr>
                <w:szCs w:val="21"/>
              </w:rPr>
              <w:t>备案）文号（选填）</w:t>
            </w:r>
          </w:p>
        </w:tc>
        <w:tc>
          <w:tcPr>
            <w:tcW w:w="2019" w:type="pct"/>
            <w:noWrap w:val="0"/>
            <w:vAlign w:val="center"/>
          </w:tcPr>
          <w:p>
            <w:pPr>
              <w:adjustRightInd w:val="0"/>
              <w:snapToGrid w:val="0"/>
              <w:jc w:val="center"/>
              <w:rPr>
                <w:szCs w:val="21"/>
              </w:rPr>
            </w:pPr>
            <w:r>
              <w:rPr>
                <w:bCs/>
                <w:szCs w:val="21"/>
              </w:rPr>
              <w:t>通区发改审[2023]53号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667" w:type="pct"/>
            <w:noWrap w:val="0"/>
            <w:tcMar>
              <w:top w:w="16" w:type="dxa"/>
              <w:left w:w="16" w:type="dxa"/>
              <w:right w:w="16" w:type="dxa"/>
            </w:tcMar>
            <w:vAlign w:val="center"/>
          </w:tcPr>
          <w:p>
            <w:pPr>
              <w:adjustRightInd w:val="0"/>
              <w:snapToGrid w:val="0"/>
              <w:jc w:val="center"/>
              <w:rPr>
                <w:szCs w:val="21"/>
              </w:rPr>
            </w:pPr>
            <w:r>
              <w:rPr>
                <w:szCs w:val="21"/>
              </w:rPr>
              <w:t>总投资（万元）</w:t>
            </w:r>
          </w:p>
        </w:tc>
        <w:tc>
          <w:tcPr>
            <w:tcW w:w="1309" w:type="pct"/>
            <w:noWrap w:val="0"/>
            <w:vAlign w:val="center"/>
          </w:tcPr>
          <w:p>
            <w:pPr>
              <w:adjustRightInd w:val="0"/>
              <w:snapToGrid w:val="0"/>
              <w:jc w:val="center"/>
              <w:rPr>
                <w:szCs w:val="21"/>
              </w:rPr>
            </w:pPr>
            <w:r>
              <w:rPr>
                <w:szCs w:val="21"/>
              </w:rPr>
              <w:t>500</w:t>
            </w:r>
          </w:p>
        </w:tc>
        <w:tc>
          <w:tcPr>
            <w:tcW w:w="1006" w:type="pct"/>
            <w:noWrap w:val="0"/>
            <w:tcMar>
              <w:top w:w="16" w:type="dxa"/>
              <w:left w:w="16" w:type="dxa"/>
              <w:right w:w="16" w:type="dxa"/>
            </w:tcMar>
            <w:vAlign w:val="center"/>
          </w:tcPr>
          <w:p>
            <w:pPr>
              <w:adjustRightInd w:val="0"/>
              <w:snapToGrid w:val="0"/>
              <w:jc w:val="center"/>
              <w:rPr>
                <w:szCs w:val="21"/>
              </w:rPr>
            </w:pPr>
            <w:r>
              <w:rPr>
                <w:szCs w:val="21"/>
              </w:rPr>
              <w:t>环保投资（万元）</w:t>
            </w:r>
          </w:p>
        </w:tc>
        <w:tc>
          <w:tcPr>
            <w:tcW w:w="2019" w:type="pct"/>
            <w:noWrap w:val="0"/>
            <w:vAlign w:val="center"/>
          </w:tcPr>
          <w:p>
            <w:pPr>
              <w:adjustRightInd w:val="0"/>
              <w:snapToGrid w:val="0"/>
              <w:jc w:val="center"/>
              <w:rPr>
                <w:szCs w:val="21"/>
              </w:rPr>
            </w:pPr>
            <w:r>
              <w:rPr>
                <w:szCs w:val="21"/>
              </w:rPr>
              <w:t>32.4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667" w:type="pct"/>
            <w:noWrap w:val="0"/>
            <w:tcMar>
              <w:top w:w="16" w:type="dxa"/>
              <w:left w:w="16" w:type="dxa"/>
              <w:right w:w="16" w:type="dxa"/>
            </w:tcMar>
            <w:vAlign w:val="center"/>
          </w:tcPr>
          <w:p>
            <w:pPr>
              <w:adjustRightInd w:val="0"/>
              <w:snapToGrid w:val="0"/>
              <w:jc w:val="center"/>
              <w:rPr>
                <w:szCs w:val="21"/>
              </w:rPr>
            </w:pPr>
            <w:r>
              <w:rPr>
                <w:szCs w:val="21"/>
              </w:rPr>
              <w:t>环保投资占比（%）</w:t>
            </w:r>
          </w:p>
        </w:tc>
        <w:tc>
          <w:tcPr>
            <w:tcW w:w="1309" w:type="pct"/>
            <w:noWrap w:val="0"/>
            <w:vAlign w:val="center"/>
          </w:tcPr>
          <w:p>
            <w:pPr>
              <w:adjustRightInd w:val="0"/>
              <w:snapToGrid w:val="0"/>
              <w:jc w:val="center"/>
              <w:rPr>
                <w:szCs w:val="21"/>
              </w:rPr>
            </w:pPr>
            <w:r>
              <w:rPr>
                <w:szCs w:val="21"/>
              </w:rPr>
              <w:t>6.48</w:t>
            </w:r>
          </w:p>
        </w:tc>
        <w:tc>
          <w:tcPr>
            <w:tcW w:w="1006" w:type="pct"/>
            <w:noWrap w:val="0"/>
            <w:tcMar>
              <w:top w:w="16" w:type="dxa"/>
              <w:left w:w="16" w:type="dxa"/>
              <w:right w:w="16" w:type="dxa"/>
            </w:tcMar>
            <w:vAlign w:val="center"/>
          </w:tcPr>
          <w:p>
            <w:pPr>
              <w:adjustRightInd w:val="0"/>
              <w:snapToGrid w:val="0"/>
              <w:jc w:val="center"/>
              <w:rPr>
                <w:szCs w:val="21"/>
              </w:rPr>
            </w:pPr>
            <w:r>
              <w:rPr>
                <w:szCs w:val="21"/>
              </w:rPr>
              <w:t>施工工期</w:t>
            </w:r>
          </w:p>
        </w:tc>
        <w:tc>
          <w:tcPr>
            <w:tcW w:w="2019" w:type="pct"/>
            <w:noWrap w:val="0"/>
            <w:vAlign w:val="center"/>
          </w:tcPr>
          <w:p>
            <w:pPr>
              <w:adjustRightInd w:val="0"/>
              <w:snapToGrid w:val="0"/>
              <w:jc w:val="center"/>
              <w:rPr>
                <w:szCs w:val="21"/>
              </w:rPr>
            </w:pPr>
            <w:r>
              <w:rPr>
                <w:szCs w:val="21"/>
              </w:rPr>
              <w:t>6个月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667" w:type="pct"/>
            <w:noWrap w:val="0"/>
            <w:tcMar>
              <w:top w:w="16" w:type="dxa"/>
              <w:left w:w="16" w:type="dxa"/>
              <w:right w:w="16" w:type="dxa"/>
            </w:tcMar>
            <w:vAlign w:val="center"/>
          </w:tcPr>
          <w:p>
            <w:pPr>
              <w:adjustRightInd w:val="0"/>
              <w:snapToGrid w:val="0"/>
              <w:jc w:val="center"/>
              <w:rPr>
                <w:szCs w:val="21"/>
              </w:rPr>
            </w:pPr>
            <w:r>
              <w:rPr>
                <w:szCs w:val="21"/>
              </w:rPr>
              <w:t>是否开工建设</w:t>
            </w:r>
          </w:p>
        </w:tc>
        <w:tc>
          <w:tcPr>
            <w:tcW w:w="1309" w:type="pct"/>
            <w:noWrap w:val="0"/>
            <w:vAlign w:val="center"/>
          </w:tcPr>
          <w:p>
            <w:pPr>
              <w:adjustRightInd w:val="0"/>
              <w:snapToGrid w:val="0"/>
              <w:rPr>
                <w:szCs w:val="21"/>
              </w:rPr>
            </w:pPr>
            <w:r>
              <w:rPr>
                <w:szCs w:val="21"/>
              </w:rPr>
              <w:sym w:font="Wingdings 2" w:char="0052"/>
            </w:r>
            <w:r>
              <w:rPr>
                <w:szCs w:val="21"/>
              </w:rPr>
              <w:t>否</w:t>
            </w:r>
          </w:p>
          <w:p>
            <w:pPr>
              <w:adjustRightInd w:val="0"/>
              <w:snapToGrid w:val="0"/>
              <w:rPr>
                <w:szCs w:val="21"/>
              </w:rPr>
            </w:pPr>
            <w:r>
              <w:rPr>
                <w:szCs w:val="21"/>
              </w:rPr>
              <w:sym w:font="Wingdings 2" w:char="00A3"/>
            </w:r>
            <w:r>
              <w:rPr>
                <w:szCs w:val="21"/>
              </w:rPr>
              <w:t xml:space="preserve">是： </w:t>
            </w:r>
          </w:p>
        </w:tc>
        <w:tc>
          <w:tcPr>
            <w:tcW w:w="1006" w:type="pct"/>
            <w:noWrap w:val="0"/>
            <w:tcMar>
              <w:top w:w="16" w:type="dxa"/>
              <w:left w:w="16" w:type="dxa"/>
              <w:right w:w="16" w:type="dxa"/>
            </w:tcMar>
            <w:vAlign w:val="center"/>
          </w:tcPr>
          <w:p>
            <w:pPr>
              <w:adjustRightInd w:val="0"/>
              <w:snapToGrid w:val="0"/>
              <w:jc w:val="center"/>
              <w:rPr>
                <w:spacing w:val="-6"/>
                <w:szCs w:val="21"/>
              </w:rPr>
            </w:pPr>
            <w:r>
              <w:rPr>
                <w:spacing w:val="-6"/>
                <w:szCs w:val="21"/>
              </w:rPr>
              <w:t>用地（用海）</w:t>
            </w:r>
          </w:p>
          <w:p>
            <w:pPr>
              <w:adjustRightInd w:val="0"/>
              <w:snapToGrid w:val="0"/>
              <w:jc w:val="center"/>
              <w:rPr>
                <w:szCs w:val="21"/>
              </w:rPr>
            </w:pPr>
            <w:r>
              <w:rPr>
                <w:spacing w:val="-6"/>
                <w:szCs w:val="21"/>
              </w:rPr>
              <w:t>面积（m</w:t>
            </w:r>
            <w:r>
              <w:rPr>
                <w:spacing w:val="-6"/>
                <w:szCs w:val="21"/>
                <w:vertAlign w:val="superscript"/>
              </w:rPr>
              <w:t>2</w:t>
            </w:r>
            <w:r>
              <w:rPr>
                <w:spacing w:val="-6"/>
                <w:szCs w:val="21"/>
              </w:rPr>
              <w:t>）</w:t>
            </w:r>
          </w:p>
        </w:tc>
        <w:tc>
          <w:tcPr>
            <w:tcW w:w="2019" w:type="pct"/>
            <w:noWrap w:val="0"/>
            <w:vAlign w:val="center"/>
          </w:tcPr>
          <w:p>
            <w:pPr>
              <w:adjustRightInd w:val="0"/>
              <w:snapToGrid w:val="0"/>
              <w:jc w:val="center"/>
              <w:rPr>
                <w:szCs w:val="21"/>
              </w:rPr>
            </w:pPr>
            <w:r>
              <w:rPr>
                <w:szCs w:val="21"/>
              </w:rPr>
              <w:t>3533.33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667" w:type="pct"/>
            <w:noWrap w:val="0"/>
            <w:vAlign w:val="center"/>
          </w:tcPr>
          <w:p>
            <w:pPr>
              <w:autoSpaceDE w:val="0"/>
              <w:autoSpaceDN w:val="0"/>
              <w:adjustRightInd w:val="0"/>
              <w:snapToGrid w:val="0"/>
              <w:jc w:val="center"/>
              <w:rPr>
                <w:kern w:val="0"/>
                <w:sz w:val="24"/>
              </w:rPr>
            </w:pPr>
            <w:r>
              <w:rPr>
                <w:kern w:val="0"/>
                <w:sz w:val="24"/>
              </w:rPr>
              <w:t>专项评价设置情况</w:t>
            </w:r>
          </w:p>
        </w:tc>
        <w:tc>
          <w:tcPr>
            <w:tcW w:w="4333" w:type="pct"/>
            <w:gridSpan w:val="3"/>
            <w:noWrap w:val="0"/>
            <w:vAlign w:val="center"/>
          </w:tcPr>
          <w:p>
            <w:pPr>
              <w:autoSpaceDE w:val="0"/>
              <w:autoSpaceDN w:val="0"/>
              <w:adjustRightInd w:val="0"/>
              <w:snapToGrid w:val="0"/>
              <w:spacing w:line="360" w:lineRule="auto"/>
              <w:ind w:firstLine="480" w:firstLineChars="200"/>
              <w:rPr>
                <w:kern w:val="0"/>
                <w:sz w:val="24"/>
              </w:rPr>
            </w:pPr>
            <w:r>
              <w:rPr>
                <w:kern w:val="0"/>
                <w:sz w:val="24"/>
              </w:rPr>
              <w:t>根据《建设项目环境影响报告表编制技术指南（污染影响类）（试行）》，新增废水直排的污水集中处理厂应设置地表水专项评价，</w:t>
            </w:r>
            <w:r>
              <w:rPr>
                <w:b/>
                <w:bCs/>
                <w:kern w:val="0"/>
                <w:sz w:val="24"/>
              </w:rPr>
              <w:t>因此，本项目设置地表水专项评价。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667" w:type="pct"/>
            <w:noWrap w:val="0"/>
            <w:vAlign w:val="center"/>
          </w:tcPr>
          <w:p>
            <w:pPr>
              <w:autoSpaceDE w:val="0"/>
              <w:autoSpaceDN w:val="0"/>
              <w:adjustRightInd w:val="0"/>
              <w:snapToGrid w:val="0"/>
              <w:jc w:val="center"/>
              <w:rPr>
                <w:kern w:val="0"/>
                <w:sz w:val="24"/>
              </w:rPr>
            </w:pPr>
            <w:r>
              <w:rPr>
                <w:sz w:val="24"/>
              </w:rPr>
              <w:t>规划情况</w:t>
            </w:r>
          </w:p>
        </w:tc>
        <w:tc>
          <w:tcPr>
            <w:tcW w:w="4333" w:type="pct"/>
            <w:gridSpan w:val="3"/>
            <w:noWrap w:val="0"/>
            <w:vAlign w:val="center"/>
          </w:tcPr>
          <w:p>
            <w:pPr>
              <w:pStyle w:val="2"/>
              <w:spacing w:before="0" w:after="0" w:line="360" w:lineRule="auto"/>
              <w:ind w:right="0"/>
              <w:rPr>
                <w:sz w:val="24"/>
                <w:szCs w:val="24"/>
              </w:rPr>
            </w:pPr>
            <w:r>
              <w:rPr>
                <w:sz w:val="24"/>
                <w:szCs w:val="24"/>
              </w:rPr>
              <w:t>1、</w:t>
            </w:r>
            <w:r>
              <w:rPr>
                <w:rFonts w:hint="eastAsia"/>
                <w:sz w:val="24"/>
                <w:szCs w:val="24"/>
              </w:rPr>
              <w:t>规划名称：</w:t>
            </w:r>
            <w:r>
              <w:rPr>
                <w:sz w:val="24"/>
                <w:szCs w:val="24"/>
              </w:rPr>
              <w:t>《达州市国民经济和社会发展第十四个五年规划和二〇三五年远景目标纲要》</w:t>
            </w:r>
          </w:p>
          <w:p>
            <w:pPr>
              <w:pStyle w:val="2"/>
              <w:spacing w:before="0" w:after="0" w:line="360" w:lineRule="auto"/>
              <w:ind w:right="0"/>
              <w:rPr>
                <w:sz w:val="24"/>
                <w:szCs w:val="24"/>
              </w:rPr>
            </w:pPr>
            <w:r>
              <w:rPr>
                <w:rFonts w:hint="eastAsia"/>
                <w:sz w:val="24"/>
                <w:szCs w:val="24"/>
              </w:rPr>
              <w:t>审批机关：达州市人民政府</w:t>
            </w:r>
          </w:p>
          <w:p>
            <w:pPr>
              <w:pStyle w:val="2"/>
              <w:spacing w:before="0" w:after="0" w:line="360" w:lineRule="auto"/>
              <w:ind w:right="0"/>
              <w:rPr>
                <w:sz w:val="24"/>
                <w:szCs w:val="24"/>
              </w:rPr>
            </w:pPr>
            <w:r>
              <w:rPr>
                <w:rFonts w:hint="eastAsia"/>
                <w:sz w:val="24"/>
                <w:szCs w:val="24"/>
              </w:rPr>
              <w:t>审批文件名称及文号：</w:t>
            </w:r>
            <w:r>
              <w:rPr>
                <w:sz w:val="24"/>
                <w:szCs w:val="24"/>
              </w:rPr>
              <w:t>2021年2月8日达州市第四届人民代表大会第六次会议批准</w:t>
            </w:r>
          </w:p>
          <w:p>
            <w:pPr>
              <w:pStyle w:val="2"/>
              <w:spacing w:before="0" w:after="0" w:line="360" w:lineRule="auto"/>
              <w:ind w:right="0"/>
              <w:rPr>
                <w:sz w:val="24"/>
                <w:szCs w:val="24"/>
              </w:rPr>
            </w:pPr>
            <w:r>
              <w:rPr>
                <w:sz w:val="24"/>
                <w:szCs w:val="24"/>
              </w:rPr>
              <w:t>2、</w:t>
            </w:r>
            <w:r>
              <w:rPr>
                <w:rFonts w:hint="eastAsia"/>
                <w:sz w:val="24"/>
                <w:szCs w:val="24"/>
              </w:rPr>
              <w:t>规划名称：</w:t>
            </w:r>
            <w:r>
              <w:rPr>
                <w:sz w:val="24"/>
                <w:szCs w:val="24"/>
              </w:rPr>
              <w:t>《达州市“十四五”生态环境保护规划》</w:t>
            </w:r>
          </w:p>
          <w:p>
            <w:pPr>
              <w:pStyle w:val="2"/>
              <w:spacing w:before="0" w:after="0" w:line="360" w:lineRule="auto"/>
              <w:ind w:right="0"/>
              <w:rPr>
                <w:sz w:val="24"/>
                <w:szCs w:val="24"/>
              </w:rPr>
            </w:pPr>
            <w:r>
              <w:rPr>
                <w:rFonts w:hint="eastAsia"/>
                <w:sz w:val="24"/>
                <w:szCs w:val="24"/>
              </w:rPr>
              <w:t>审批机关：达州市人民政府</w:t>
            </w:r>
          </w:p>
          <w:p>
            <w:pPr>
              <w:pStyle w:val="2"/>
              <w:spacing w:before="0" w:after="0" w:line="360" w:lineRule="auto"/>
              <w:ind w:right="0"/>
              <w:rPr>
                <w:sz w:val="24"/>
                <w:szCs w:val="24"/>
              </w:rPr>
            </w:pPr>
            <w:r>
              <w:rPr>
                <w:rFonts w:hint="eastAsia"/>
                <w:sz w:val="24"/>
                <w:szCs w:val="24"/>
              </w:rPr>
              <w:t>审批文件名称及文号：</w:t>
            </w:r>
            <w:r>
              <w:rPr>
                <w:sz w:val="24"/>
                <w:szCs w:val="24"/>
              </w:rPr>
              <w:t>达市府发〔2022〕18号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67" w:type="pct"/>
            <w:noWrap w:val="0"/>
            <w:vAlign w:val="center"/>
          </w:tcPr>
          <w:p>
            <w:pPr>
              <w:adjustRightInd w:val="0"/>
              <w:snapToGrid w:val="0"/>
              <w:jc w:val="center"/>
              <w:rPr>
                <w:sz w:val="24"/>
              </w:rPr>
            </w:pPr>
            <w:r>
              <w:rPr>
                <w:sz w:val="24"/>
              </w:rPr>
              <w:t>规划环境影响</w:t>
            </w:r>
          </w:p>
          <w:p>
            <w:pPr>
              <w:adjustRightInd w:val="0"/>
              <w:snapToGrid w:val="0"/>
              <w:jc w:val="center"/>
              <w:rPr>
                <w:kern w:val="0"/>
                <w:sz w:val="24"/>
              </w:rPr>
            </w:pPr>
            <w:r>
              <w:rPr>
                <w:sz w:val="24"/>
              </w:rPr>
              <w:t>评价情况</w:t>
            </w:r>
          </w:p>
        </w:tc>
        <w:tc>
          <w:tcPr>
            <w:tcW w:w="4333" w:type="pct"/>
            <w:gridSpan w:val="3"/>
            <w:noWrap w:val="0"/>
            <w:vAlign w:val="center"/>
          </w:tcPr>
          <w:p>
            <w:pPr>
              <w:autoSpaceDE w:val="0"/>
              <w:autoSpaceDN w:val="0"/>
              <w:adjustRightInd w:val="0"/>
              <w:snapToGrid w:val="0"/>
              <w:spacing w:line="360" w:lineRule="auto"/>
              <w:jc w:val="center"/>
              <w:rPr>
                <w:kern w:val="0"/>
                <w:sz w:val="24"/>
              </w:rPr>
            </w:pPr>
            <w:r>
              <w:rPr>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67" w:type="pct"/>
            <w:noWrap w:val="0"/>
            <w:vAlign w:val="center"/>
          </w:tcPr>
          <w:p>
            <w:pPr>
              <w:autoSpaceDE w:val="0"/>
              <w:autoSpaceDN w:val="0"/>
              <w:adjustRightInd w:val="0"/>
              <w:snapToGrid w:val="0"/>
              <w:jc w:val="center"/>
              <w:rPr>
                <w:kern w:val="0"/>
                <w:sz w:val="24"/>
              </w:rPr>
            </w:pPr>
            <w:r>
              <w:rPr>
                <w:kern w:val="0"/>
                <w:sz w:val="24"/>
              </w:rPr>
              <w:t>规划及规划环境影响评价符合性分析</w:t>
            </w:r>
          </w:p>
        </w:tc>
        <w:tc>
          <w:tcPr>
            <w:tcW w:w="4333" w:type="pct"/>
            <w:gridSpan w:val="3"/>
            <w:noWrap w:val="0"/>
            <w:vAlign w:val="center"/>
          </w:tcPr>
          <w:p>
            <w:pPr>
              <w:pStyle w:val="2"/>
              <w:spacing w:before="0" w:after="0" w:line="360" w:lineRule="auto"/>
              <w:ind w:right="0"/>
              <w:rPr>
                <w:b/>
                <w:bCs/>
                <w:sz w:val="24"/>
                <w:szCs w:val="24"/>
              </w:rPr>
            </w:pPr>
            <w:r>
              <w:rPr>
                <w:b/>
                <w:bCs/>
                <w:sz w:val="24"/>
                <w:szCs w:val="24"/>
              </w:rPr>
              <w:t>1、与《达州市国民经济和社会发展第十四个五年规划和二〇三五年远景目标纲要》（2021年2月8日达州市第四届人民代表大会第六次会议批准）符合性分析</w:t>
            </w:r>
          </w:p>
          <w:p>
            <w:pPr>
              <w:pStyle w:val="2"/>
              <w:spacing w:before="0" w:after="0" w:line="360" w:lineRule="auto"/>
              <w:ind w:right="0" w:firstLine="480" w:firstLineChars="200"/>
              <w:rPr>
                <w:sz w:val="24"/>
                <w:szCs w:val="24"/>
              </w:rPr>
            </w:pPr>
            <w:r>
              <w:rPr>
                <w:sz w:val="24"/>
                <w:szCs w:val="24"/>
              </w:rPr>
              <w:t>根据《达州市国民经济和社会发展第十四个五年规划和二〇三五年远景目标纲要》中要求：第十七章 构建“双200”中心城市——第二节 完善中心城区服务功能——​实施“城市双修”工程，加快山体、水体治理和修复，大力推进城市道路、燃气、排水、</w:t>
            </w:r>
            <w:r>
              <w:rPr>
                <w:b/>
                <w:bCs/>
                <w:sz w:val="24"/>
                <w:szCs w:val="24"/>
              </w:rPr>
              <w:t>污水处理</w:t>
            </w:r>
            <w:r>
              <w:rPr>
                <w:sz w:val="24"/>
                <w:szCs w:val="24"/>
              </w:rPr>
              <w:t>、垃圾处理、公共厕所等基础设施“补短板”，积极拓展公园绿地、城市广场等公共空间，利用现有空间地理优势保护和利用好水资源。</w:t>
            </w:r>
          </w:p>
          <w:p>
            <w:pPr>
              <w:pStyle w:val="2"/>
              <w:spacing w:before="0" w:after="0" w:line="360" w:lineRule="auto"/>
              <w:ind w:right="0" w:firstLine="480" w:firstLineChars="200"/>
              <w:rPr>
                <w:sz w:val="24"/>
                <w:szCs w:val="24"/>
              </w:rPr>
            </w:pPr>
            <w:r>
              <w:rPr>
                <w:sz w:val="24"/>
                <w:szCs w:val="24"/>
              </w:rPr>
              <w:t>第二十六章 深入打好污染防治攻坚战——第一节 持续打好污染防治“八大战役”坚持打赢蓝天保卫战——打好碧水保卫战，全面落实河（湖）长制，加强重点流域综合治理和岸线保护，力争国省考核断面水质类别达到国省下达目标任务……加快城镇污水和城乡垃圾处理设施建设，重点抓好乡镇和县级工业园区污水处理设施建设。打好渠江保护修复攻坚战，加强渠江流域内重点小流域污染综合整治及水质良好流域生态保护工作。</w:t>
            </w:r>
          </w:p>
          <w:p>
            <w:pPr>
              <w:adjustRightInd w:val="0"/>
              <w:snapToGrid w:val="0"/>
              <w:spacing w:line="360" w:lineRule="auto"/>
              <w:ind w:firstLine="480" w:firstLineChars="200"/>
              <w:rPr>
                <w:sz w:val="24"/>
              </w:rPr>
            </w:pPr>
            <w:r>
              <w:rPr>
                <w:sz w:val="24"/>
              </w:rPr>
              <w:t>本项目为双龙镇污水处理厂改扩建项目，项目建成后有助于实现双龙河保护修复，有助于提升双龙河水环境整治及流域生态保护，所以符合《达州市国民经济和社会发展第十四个五年规划和二〇三五年远景目标纲要》。</w:t>
            </w:r>
          </w:p>
          <w:p>
            <w:pPr>
              <w:adjustRightInd w:val="0"/>
              <w:snapToGrid w:val="0"/>
              <w:spacing w:line="360" w:lineRule="auto"/>
              <w:ind w:firstLine="482" w:firstLineChars="200"/>
              <w:rPr>
                <w:b/>
                <w:bCs/>
                <w:sz w:val="24"/>
              </w:rPr>
            </w:pPr>
            <w:r>
              <w:rPr>
                <w:b/>
                <w:bCs/>
                <w:sz w:val="24"/>
              </w:rPr>
              <w:t>综上所述，本项目建设将提升完善区域污水管网、完善区域城镇污水处理设施，促进经济发展，符合《达州市国民经济和社会发展第十四个五年规划和二〇三五年远景目标纲要》（2021年2月8日达州市第四届人民代表大会第六次会议批准）。</w:t>
            </w:r>
          </w:p>
          <w:p>
            <w:pPr>
              <w:pStyle w:val="2"/>
              <w:spacing w:before="0" w:after="0" w:line="360" w:lineRule="auto"/>
              <w:ind w:right="0"/>
              <w:rPr>
                <w:b/>
                <w:bCs/>
                <w:sz w:val="24"/>
                <w:szCs w:val="24"/>
              </w:rPr>
            </w:pPr>
            <w:r>
              <w:rPr>
                <w:b/>
                <w:bCs/>
                <w:sz w:val="24"/>
                <w:szCs w:val="24"/>
              </w:rPr>
              <w:t>2、与《达州市“十四五”生态环境保护规划》（达市府发〔2022〕18号）符合性分析</w:t>
            </w:r>
          </w:p>
          <w:p>
            <w:pPr>
              <w:pStyle w:val="2"/>
              <w:spacing w:before="0" w:after="0" w:line="360" w:lineRule="auto"/>
              <w:ind w:right="0" w:firstLine="480" w:firstLineChars="200"/>
              <w:rPr>
                <w:sz w:val="24"/>
                <w:szCs w:val="24"/>
              </w:rPr>
            </w:pPr>
            <w:r>
              <w:rPr>
                <w:sz w:val="24"/>
                <w:szCs w:val="24"/>
              </w:rPr>
              <w:t>根据《达州市“十四五”生态环境保护规划》内容：第五节  加强系统保护与治理，重现山水流翠的水墨达州——（三）提升水环境质量——加强城乡生活污水处理设施建设。加快推进市本级、大竹县、开江县污水处理厂扩能工程建设，谋划中心镇污水处理设施扩能改造，实施污水管网补短板工程，全面提升城市污水处理能力。因地制宜推进乡镇污水处理站和村镇微型生活污水设施建设，推动城镇污水管网向周边村庄延伸覆盖。</w:t>
            </w:r>
          </w:p>
          <w:p>
            <w:pPr>
              <w:pStyle w:val="2"/>
              <w:spacing w:before="0" w:after="0" w:line="360" w:lineRule="auto"/>
              <w:ind w:right="0" w:firstLine="480" w:firstLineChars="200"/>
              <w:rPr>
                <w:sz w:val="24"/>
                <w:szCs w:val="24"/>
              </w:rPr>
            </w:pPr>
            <w:r>
              <w:rPr>
                <w:sz w:val="24"/>
                <w:szCs w:val="24"/>
              </w:rPr>
              <w:t>本项目为</w:t>
            </w:r>
            <w:r>
              <w:rPr>
                <w:sz w:val="24"/>
              </w:rPr>
              <w:t>双龙镇污水处理厂改扩建项目，</w:t>
            </w:r>
            <w:r>
              <w:rPr>
                <w:sz w:val="24"/>
                <w:szCs w:val="24"/>
              </w:rPr>
              <w:t>本项目建成投入运行后，从根本上补齐双龙镇处理设施短板，全面统筹推进水资源保护、水生态修复发展。项目建成运行后</w:t>
            </w:r>
            <w:r>
              <w:rPr>
                <w:sz w:val="24"/>
              </w:rPr>
              <w:t>有助于实现双龙河保护修复，有助于提升双龙河水环境整治及流域生态保护。</w:t>
            </w:r>
          </w:p>
          <w:p>
            <w:pPr>
              <w:pStyle w:val="2"/>
              <w:spacing w:before="0" w:after="0" w:line="360" w:lineRule="auto"/>
              <w:ind w:right="0" w:firstLine="482" w:firstLineChars="200"/>
              <w:rPr>
                <w:sz w:val="24"/>
              </w:rPr>
            </w:pPr>
            <w:r>
              <w:rPr>
                <w:b/>
                <w:bCs/>
                <w:sz w:val="24"/>
                <w:szCs w:val="24"/>
              </w:rPr>
              <w:t>因此，本项目的建设符合《达州市“十四五”生态环境保护规划》（达市府发〔2022〕18号）的要求。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67" w:type="pct"/>
            <w:noWrap w:val="0"/>
            <w:vAlign w:val="center"/>
          </w:tcPr>
          <w:p>
            <w:pPr>
              <w:autoSpaceDE w:val="0"/>
              <w:autoSpaceDN w:val="0"/>
              <w:adjustRightInd w:val="0"/>
              <w:snapToGrid w:val="0"/>
              <w:jc w:val="center"/>
              <w:rPr>
                <w:kern w:val="0"/>
                <w:sz w:val="24"/>
              </w:rPr>
            </w:pPr>
            <w:r>
              <w:rPr>
                <w:kern w:val="0"/>
                <w:sz w:val="24"/>
              </w:rPr>
              <w:t>其他符合性分析</w:t>
            </w:r>
          </w:p>
        </w:tc>
        <w:tc>
          <w:tcPr>
            <w:tcW w:w="4333" w:type="pct"/>
            <w:gridSpan w:val="3"/>
            <w:noWrap w:val="0"/>
            <w:vAlign w:val="center"/>
          </w:tcPr>
          <w:p>
            <w:pPr>
              <w:spacing w:line="360" w:lineRule="auto"/>
              <w:jc w:val="left"/>
              <w:rPr>
                <w:b/>
                <w:bCs/>
                <w:kern w:val="0"/>
                <w:sz w:val="24"/>
              </w:rPr>
            </w:pPr>
            <w:r>
              <w:rPr>
                <w:b/>
                <w:bCs/>
                <w:kern w:val="0"/>
                <w:sz w:val="24"/>
              </w:rPr>
              <w:t>1、项目产业政策符合性分析</w:t>
            </w:r>
          </w:p>
          <w:p>
            <w:pPr>
              <w:pStyle w:val="2"/>
              <w:spacing w:before="0" w:after="0" w:line="360" w:lineRule="auto"/>
              <w:ind w:right="0" w:firstLine="480" w:firstLineChars="200"/>
              <w:rPr>
                <w:sz w:val="24"/>
                <w:szCs w:val="24"/>
              </w:rPr>
            </w:pPr>
            <w:r>
              <w:rPr>
                <w:sz w:val="24"/>
                <w:szCs w:val="24"/>
              </w:rPr>
              <w:t>本项目为城市污水处理厂建设项目，属于市政环保设施。根据《国民经济行业分类》（GB/T 4754-2017），本项目属于D4620 污水处理及再生利用，属于国家发展和改革委员会《产业结构调整指导目录（2021年修正本）》中“鼓励类”中“四十三、环境保护与资源节约综合利用”中“15、“三废”综合利用与治理技术、装备和工程”。同时，不属于《禁止用地项目目录（2012年本）》及《限制用地项目目录（2012年本）》中禁止和限制项目及其它相关法律法规要求淘汰和限制的产业。</w:t>
            </w:r>
          </w:p>
          <w:p>
            <w:pPr>
              <w:pStyle w:val="2"/>
              <w:spacing w:before="0" w:after="0" w:line="360" w:lineRule="auto"/>
              <w:ind w:right="0" w:firstLine="480" w:firstLineChars="200"/>
              <w:rPr>
                <w:sz w:val="24"/>
                <w:szCs w:val="24"/>
              </w:rPr>
            </w:pPr>
            <w:r>
              <w:rPr>
                <w:sz w:val="24"/>
                <w:szCs w:val="24"/>
              </w:rPr>
              <w:t>2023年5月24日，本项目取得了渠县发展和改革局发</w:t>
            </w:r>
            <w:r>
              <w:rPr>
                <w:sz w:val="24"/>
              </w:rPr>
              <w:t>《达州市通川区发展和改革局关于双龙镇污水处理厂改扩建项目的立项批复》（通区发改审[2023]53号，见附件2），同意项目实施。</w:t>
            </w:r>
          </w:p>
          <w:p>
            <w:pPr>
              <w:pStyle w:val="2"/>
              <w:spacing w:before="0" w:after="0" w:line="360" w:lineRule="auto"/>
              <w:ind w:right="0" w:firstLine="480" w:firstLineChars="200"/>
              <w:rPr>
                <w:sz w:val="24"/>
                <w:szCs w:val="24"/>
              </w:rPr>
            </w:pPr>
            <w:r>
              <w:rPr>
                <w:sz w:val="24"/>
                <w:szCs w:val="24"/>
              </w:rPr>
              <w:t>因此，本项目的建设符合国家现行产业政策。</w:t>
            </w:r>
          </w:p>
          <w:p>
            <w:pPr>
              <w:pStyle w:val="2"/>
              <w:spacing w:before="0" w:after="0" w:line="360" w:lineRule="auto"/>
              <w:ind w:right="0"/>
              <w:rPr>
                <w:b/>
                <w:bCs/>
                <w:sz w:val="24"/>
              </w:rPr>
            </w:pPr>
            <w:r>
              <w:rPr>
                <w:b/>
                <w:bCs/>
                <w:sz w:val="24"/>
                <w:szCs w:val="24"/>
              </w:rPr>
              <w:t>2、与国家及地方有关水污染防治规划文件符合性分析</w:t>
            </w:r>
          </w:p>
          <w:p>
            <w:pPr>
              <w:widowControl/>
              <w:spacing w:line="360" w:lineRule="auto"/>
              <w:ind w:firstLine="480" w:firstLineChars="200"/>
              <w:rPr>
                <w:sz w:val="24"/>
              </w:rPr>
            </w:pPr>
            <w:r>
              <w:rPr>
                <w:sz w:val="24"/>
              </w:rPr>
              <w:t>根据《国务院关于印发水污染防治行动计划的通知》（国发〔2015〕17号）以及《四川省人民政府&lt;关于印发水污染防治行动计划四川省工作方案的通知&gt;》（川府发〔2015〕59号）等相关规范文件分析，具体分析详见下表1-1所示。</w:t>
            </w:r>
          </w:p>
          <w:p>
            <w:pPr>
              <w:widowControl/>
              <w:spacing w:line="276" w:lineRule="auto"/>
              <w:jc w:val="center"/>
              <w:rPr>
                <w:rFonts w:eastAsia="黑体"/>
                <w:sz w:val="24"/>
              </w:rPr>
            </w:pPr>
            <w:r>
              <w:rPr>
                <w:rFonts w:eastAsia="黑体"/>
                <w:sz w:val="24"/>
              </w:rPr>
              <w:t>表1-1    与相关水污染防治行动计划的符合性分析一览表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908"/>
              <w:gridCol w:w="4818"/>
              <w:gridCol w:w="1530"/>
              <w:gridCol w:w="5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0" w:type="pct"/>
                  <w:shd w:val="clear" w:color="auto" w:fill="CCFFFF"/>
                  <w:noWrap w:val="0"/>
                  <w:vAlign w:val="center"/>
                </w:tcPr>
                <w:p>
                  <w:pPr>
                    <w:pStyle w:val="2"/>
                    <w:spacing w:before="0" w:after="0" w:line="240" w:lineRule="auto"/>
                    <w:ind w:right="0"/>
                    <w:jc w:val="center"/>
                    <w:rPr>
                      <w:b/>
                      <w:bCs/>
                      <w:sz w:val="21"/>
                      <w:szCs w:val="21"/>
                    </w:rPr>
                  </w:pPr>
                  <w:r>
                    <w:rPr>
                      <w:b/>
                      <w:bCs/>
                      <w:sz w:val="21"/>
                      <w:szCs w:val="21"/>
                    </w:rPr>
                    <w:t>名称</w:t>
                  </w:r>
                </w:p>
              </w:tc>
              <w:tc>
                <w:tcPr>
                  <w:tcW w:w="3076" w:type="pct"/>
                  <w:shd w:val="clear" w:color="auto" w:fill="CCFFFF"/>
                  <w:noWrap w:val="0"/>
                  <w:vAlign w:val="center"/>
                </w:tcPr>
                <w:p>
                  <w:pPr>
                    <w:pStyle w:val="2"/>
                    <w:spacing w:before="0" w:after="0" w:line="240" w:lineRule="auto"/>
                    <w:ind w:right="0"/>
                    <w:jc w:val="center"/>
                    <w:rPr>
                      <w:b/>
                      <w:bCs/>
                      <w:sz w:val="21"/>
                      <w:szCs w:val="21"/>
                    </w:rPr>
                  </w:pPr>
                  <w:r>
                    <w:rPr>
                      <w:b/>
                      <w:bCs/>
                      <w:sz w:val="21"/>
                      <w:szCs w:val="21"/>
                    </w:rPr>
                    <w:t>具体内容</w:t>
                  </w:r>
                </w:p>
              </w:tc>
              <w:tc>
                <w:tcPr>
                  <w:tcW w:w="977" w:type="pct"/>
                  <w:shd w:val="clear" w:color="auto" w:fill="CCFFFF"/>
                  <w:noWrap w:val="0"/>
                  <w:vAlign w:val="center"/>
                </w:tcPr>
                <w:p>
                  <w:pPr>
                    <w:pStyle w:val="2"/>
                    <w:spacing w:before="0" w:after="0" w:line="240" w:lineRule="auto"/>
                    <w:ind w:right="0"/>
                    <w:jc w:val="center"/>
                    <w:rPr>
                      <w:b/>
                      <w:bCs/>
                      <w:sz w:val="21"/>
                      <w:szCs w:val="21"/>
                    </w:rPr>
                  </w:pPr>
                  <w:r>
                    <w:rPr>
                      <w:b/>
                      <w:bCs/>
                      <w:sz w:val="21"/>
                      <w:szCs w:val="21"/>
                    </w:rPr>
                    <w:t>项目情况</w:t>
                  </w:r>
                </w:p>
              </w:tc>
              <w:tc>
                <w:tcPr>
                  <w:tcW w:w="367" w:type="pct"/>
                  <w:shd w:val="clear" w:color="auto" w:fill="CCFFFF"/>
                  <w:noWrap w:val="0"/>
                  <w:vAlign w:val="center"/>
                </w:tcPr>
                <w:p>
                  <w:pPr>
                    <w:pStyle w:val="2"/>
                    <w:spacing w:before="0" w:after="0" w:line="240" w:lineRule="auto"/>
                    <w:ind w:right="0"/>
                    <w:jc w:val="center"/>
                    <w:rPr>
                      <w:b/>
                      <w:bCs/>
                      <w:sz w:val="21"/>
                      <w:szCs w:val="21"/>
                    </w:rPr>
                  </w:pPr>
                  <w:r>
                    <w:rPr>
                      <w:b/>
                      <w:bCs/>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0" w:type="pct"/>
                  <w:noWrap w:val="0"/>
                  <w:vAlign w:val="center"/>
                </w:tcPr>
                <w:p>
                  <w:pPr>
                    <w:pStyle w:val="2"/>
                    <w:spacing w:before="0" w:after="0" w:line="240" w:lineRule="auto"/>
                    <w:ind w:right="0"/>
                    <w:jc w:val="center"/>
                    <w:rPr>
                      <w:sz w:val="21"/>
                      <w:szCs w:val="21"/>
                    </w:rPr>
                  </w:pPr>
                  <w:r>
                    <w:rPr>
                      <w:sz w:val="21"/>
                      <w:szCs w:val="21"/>
                    </w:rPr>
                    <w:t>国发〔2015〕17号</w:t>
                  </w:r>
                </w:p>
              </w:tc>
              <w:tc>
                <w:tcPr>
                  <w:tcW w:w="3076" w:type="pct"/>
                  <w:noWrap w:val="0"/>
                  <w:vAlign w:val="center"/>
                </w:tcPr>
                <w:p>
                  <w:pPr>
                    <w:pStyle w:val="2"/>
                    <w:spacing w:before="0" w:after="0" w:line="240" w:lineRule="auto"/>
                    <w:ind w:right="0"/>
                    <w:rPr>
                      <w:sz w:val="21"/>
                      <w:szCs w:val="21"/>
                    </w:rPr>
                  </w:pPr>
                  <w:r>
                    <w:rPr>
                      <w:sz w:val="21"/>
                      <w:szCs w:val="21"/>
                    </w:rPr>
                    <w:t>第一条“全面控制污染物排放”中的“（二）、强化城镇生活污染治理。加快城镇污水处理设施建设与改建。现有城镇污水处理设施，要因地制宜进行改建，2020年底前达到相应排放标准或再生利用要求。敏感区域（重点湖泊、重点水库、近岸海域汇水区域）城镇污水处理设施应于2017年底前全面达到一级A排放标准。建成区水体水质达不到地表水Ⅳ类标准的城市，新建城镇污水处理设施要执行一级A排放标准。按照国家新型城镇化规划要求，到2020年，全国所有县城和重点镇具备污水收集处理能力，县城、城市污水处理率分别达到85%、95%左右。京津冀、长三角、珠三角等区域提前一年完成。”</w:t>
                  </w:r>
                </w:p>
              </w:tc>
              <w:tc>
                <w:tcPr>
                  <w:tcW w:w="977" w:type="pct"/>
                  <w:vMerge w:val="restart"/>
                  <w:noWrap w:val="0"/>
                  <w:vAlign w:val="center"/>
                </w:tcPr>
                <w:p>
                  <w:pPr>
                    <w:pStyle w:val="2"/>
                    <w:spacing w:before="0" w:after="0"/>
                    <w:ind w:right="0"/>
                    <w:rPr>
                      <w:sz w:val="21"/>
                      <w:szCs w:val="21"/>
                    </w:rPr>
                  </w:pPr>
                  <w:r>
                    <w:rPr>
                      <w:sz w:val="21"/>
                      <w:szCs w:val="21"/>
                    </w:rPr>
                    <w:t>本项目属于双龙镇污水处理厂改扩建项目，出水水质执行《城镇污水处理厂污染物排放标准》（GB18918-2002）一级A标准后排入双龙河。项目建成后，有利于双龙镇城镇的发展，将双龙镇城镇生活污水收集处理达标后排放。同时项目建设可削减大量进入双龙河的污染物，具有环境正效应。</w:t>
                  </w:r>
                </w:p>
              </w:tc>
              <w:tc>
                <w:tcPr>
                  <w:tcW w:w="367" w:type="pct"/>
                  <w:noWrap w:val="0"/>
                  <w:vAlign w:val="center"/>
                </w:tcPr>
                <w:p>
                  <w:pPr>
                    <w:pStyle w:val="2"/>
                    <w:spacing w:before="0" w:after="0" w:line="240" w:lineRule="auto"/>
                    <w:ind w:right="0"/>
                    <w:jc w:val="center"/>
                    <w:rPr>
                      <w:sz w:val="21"/>
                      <w:szCs w:val="21"/>
                    </w:rPr>
                  </w:pPr>
                  <w:r>
                    <w:rPr>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0" w:type="pct"/>
                  <w:noWrap w:val="0"/>
                  <w:vAlign w:val="center"/>
                </w:tcPr>
                <w:p>
                  <w:pPr>
                    <w:pStyle w:val="2"/>
                    <w:spacing w:before="0" w:after="0" w:line="240" w:lineRule="auto"/>
                    <w:ind w:right="0"/>
                    <w:jc w:val="center"/>
                    <w:rPr>
                      <w:sz w:val="21"/>
                      <w:szCs w:val="21"/>
                    </w:rPr>
                  </w:pPr>
                  <w:r>
                    <w:rPr>
                      <w:sz w:val="21"/>
                      <w:szCs w:val="21"/>
                    </w:rPr>
                    <w:t>川府发〔2015〕59号</w:t>
                  </w:r>
                </w:p>
              </w:tc>
              <w:tc>
                <w:tcPr>
                  <w:tcW w:w="3076" w:type="pct"/>
                  <w:noWrap w:val="0"/>
                  <w:vAlign w:val="center"/>
                </w:tcPr>
                <w:p>
                  <w:pPr>
                    <w:pStyle w:val="2"/>
                    <w:ind w:right="0"/>
                    <w:rPr>
                      <w:sz w:val="21"/>
                      <w:szCs w:val="21"/>
                    </w:rPr>
                  </w:pPr>
                  <w:r>
                    <w:rPr>
                      <w:sz w:val="21"/>
                      <w:szCs w:val="21"/>
                    </w:rPr>
                    <w:t>“一、全面控制污染物排放(二)强化城镇生活污染治理。4.加快城镇污水处理设施建设与改造</w:t>
                  </w:r>
                  <w:r>
                    <w:rPr>
                      <w:rFonts w:hint="eastAsia"/>
                      <w:sz w:val="21"/>
                      <w:szCs w:val="21"/>
                      <w:lang w:eastAsia="zh-CN"/>
                    </w:rPr>
                    <w:t>”“</w:t>
                  </w:r>
                  <w:r>
                    <w:rPr>
                      <w:sz w:val="21"/>
                      <w:szCs w:val="21"/>
                    </w:rPr>
                    <w:t>2020年底前，城镇污水处理设施达到相应排放标准或再生利用要求；各市(州)行政区域内水体水质达不到地表水</w:t>
                  </w:r>
                  <w:r>
                    <w:rPr>
                      <w:rFonts w:hint="eastAsia"/>
                      <w:sz w:val="21"/>
                      <w:szCs w:val="21"/>
                    </w:rPr>
                    <w:t>Ⅳ类</w:t>
                  </w:r>
                  <w:r>
                    <w:rPr>
                      <w:sz w:val="21"/>
                      <w:szCs w:val="21"/>
                    </w:rPr>
                    <w:t>标准的城镇，新建城镇污水处理设施要执行一级A排放标准；到2020年，全省所有县城和重点镇具备污水收集处理能力，县城、城市污水处理率分别达到85%、95%左右</w:t>
                  </w:r>
                  <w:r>
                    <w:rPr>
                      <w:rFonts w:hint="eastAsia"/>
                      <w:sz w:val="21"/>
                      <w:szCs w:val="21"/>
                      <w:lang w:eastAsia="zh-CN"/>
                    </w:rPr>
                    <w:t>”“</w:t>
                  </w:r>
                  <w:r>
                    <w:rPr>
                      <w:sz w:val="21"/>
                      <w:szCs w:val="21"/>
                    </w:rPr>
                    <w:t>5.全面加强配套管网建设。重点对城中村、老旧城区、</w:t>
                  </w:r>
                  <w:r>
                    <w:rPr>
                      <w:rFonts w:hint="eastAsia"/>
                      <w:sz w:val="21"/>
                      <w:szCs w:val="21"/>
                      <w:lang w:eastAsia="zh-CN"/>
                    </w:rPr>
                    <w:t>城乡接合部</w:t>
                  </w:r>
                  <w:r>
                    <w:rPr>
                      <w:sz w:val="21"/>
                      <w:szCs w:val="21"/>
                    </w:rPr>
                    <w:t>以及现有合流制排水系统实施污水截流收集、雨污分流、初期雨水收集强化改造，加快推进项目实施进度。难以改造的，应采取截流、调蓄、治理等措施；新建污水处理设施的配套管网应同步设计、同步建设、同步投运。”</w:t>
                  </w:r>
                </w:p>
              </w:tc>
              <w:tc>
                <w:tcPr>
                  <w:tcW w:w="977" w:type="pct"/>
                  <w:vMerge w:val="continue"/>
                  <w:noWrap w:val="0"/>
                  <w:vAlign w:val="center"/>
                </w:tcPr>
                <w:p>
                  <w:pPr>
                    <w:pStyle w:val="2"/>
                    <w:spacing w:before="0" w:after="0" w:line="240" w:lineRule="auto"/>
                    <w:ind w:right="0"/>
                    <w:rPr>
                      <w:sz w:val="21"/>
                      <w:szCs w:val="21"/>
                    </w:rPr>
                  </w:pPr>
                </w:p>
              </w:tc>
              <w:tc>
                <w:tcPr>
                  <w:tcW w:w="367" w:type="pct"/>
                  <w:noWrap w:val="0"/>
                  <w:vAlign w:val="center"/>
                </w:tcPr>
                <w:p>
                  <w:pPr>
                    <w:pStyle w:val="2"/>
                    <w:spacing w:before="0" w:after="0" w:line="240" w:lineRule="auto"/>
                    <w:ind w:right="0"/>
                    <w:jc w:val="center"/>
                    <w:rPr>
                      <w:sz w:val="21"/>
                      <w:szCs w:val="21"/>
                    </w:rPr>
                  </w:pPr>
                  <w:r>
                    <w:rPr>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0" w:type="pct"/>
                  <w:noWrap w:val="0"/>
                  <w:vAlign w:val="center"/>
                </w:tcPr>
                <w:p>
                  <w:pPr>
                    <w:snapToGrid w:val="0"/>
                    <w:jc w:val="center"/>
                    <w:rPr>
                      <w:szCs w:val="21"/>
                    </w:rPr>
                  </w:pPr>
                  <w:r>
                    <w:rPr>
                      <w:szCs w:val="21"/>
                    </w:rPr>
                    <w:t>《四川省打赢碧水保卫战实施方案》</w:t>
                  </w:r>
                </w:p>
              </w:tc>
              <w:tc>
                <w:tcPr>
                  <w:tcW w:w="3076" w:type="pct"/>
                  <w:noWrap w:val="0"/>
                  <w:vAlign w:val="center"/>
                </w:tcPr>
                <w:p>
                  <w:pPr>
                    <w:pStyle w:val="286"/>
                    <w:snapToGrid w:val="0"/>
                    <w:rPr>
                      <w:sz w:val="21"/>
                      <w:szCs w:val="21"/>
                    </w:rPr>
                  </w:pPr>
                  <w:r>
                    <w:rPr>
                      <w:sz w:val="21"/>
                      <w:szCs w:val="21"/>
                    </w:rPr>
                    <w:t>（一）实施城乡生活污染处理设施建设补短板工程。加快城镇生活污水处理设施建设……坚持新建生活污水处理设施与配套管网同步设计、同步建设、同步投运，着力解决部分地区生活污水溢流直排、进水浓度过低、收集处理能力不足等问题。</w:t>
                  </w:r>
                </w:p>
              </w:tc>
              <w:tc>
                <w:tcPr>
                  <w:tcW w:w="977" w:type="pct"/>
                  <w:vMerge w:val="continue"/>
                  <w:noWrap w:val="0"/>
                  <w:vAlign w:val="center"/>
                </w:tcPr>
                <w:p>
                  <w:pPr>
                    <w:pStyle w:val="2"/>
                    <w:spacing w:before="0" w:after="0" w:line="240" w:lineRule="auto"/>
                    <w:ind w:right="0"/>
                    <w:rPr>
                      <w:sz w:val="21"/>
                      <w:szCs w:val="21"/>
                    </w:rPr>
                  </w:pPr>
                </w:p>
              </w:tc>
              <w:tc>
                <w:tcPr>
                  <w:tcW w:w="367" w:type="pct"/>
                  <w:noWrap w:val="0"/>
                  <w:vAlign w:val="center"/>
                </w:tcPr>
                <w:p>
                  <w:pPr>
                    <w:pStyle w:val="2"/>
                    <w:spacing w:before="0" w:after="0" w:line="240" w:lineRule="auto"/>
                    <w:ind w:right="0"/>
                    <w:jc w:val="center"/>
                    <w:rPr>
                      <w:sz w:val="21"/>
                      <w:szCs w:val="21"/>
                    </w:rPr>
                  </w:pPr>
                  <w:r>
                    <w:rPr>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0" w:type="pct"/>
                  <w:vMerge w:val="restart"/>
                  <w:noWrap w:val="0"/>
                  <w:vAlign w:val="center"/>
                </w:tcPr>
                <w:p>
                  <w:pPr>
                    <w:snapToGrid w:val="0"/>
                    <w:jc w:val="center"/>
                    <w:rPr>
                      <w:szCs w:val="21"/>
                    </w:rPr>
                  </w:pPr>
                  <w:r>
                    <w:rPr>
                      <w:szCs w:val="21"/>
                    </w:rPr>
                    <w:t>《四川省打好环保基础设施建设攻坚战实施方案》</w:t>
                  </w:r>
                </w:p>
              </w:tc>
              <w:tc>
                <w:tcPr>
                  <w:tcW w:w="3076" w:type="pct"/>
                  <w:noWrap w:val="0"/>
                  <w:vAlign w:val="center"/>
                </w:tcPr>
                <w:p>
                  <w:pPr>
                    <w:pStyle w:val="286"/>
                    <w:snapToGrid w:val="0"/>
                    <w:jc w:val="both"/>
                    <w:rPr>
                      <w:sz w:val="21"/>
                      <w:szCs w:val="21"/>
                    </w:rPr>
                  </w:pPr>
                  <w:r>
                    <w:rPr>
                      <w:sz w:val="21"/>
                      <w:szCs w:val="21"/>
                    </w:rPr>
                    <w:t>（二）全面加强生活污水垃圾处理设施建设。科学规划城镇生活污水垃圾处理设施……重点强化污水管网等配套设施系统布局……着重加快岷江、沱江等重点流域和乡镇以上城镇污水垃圾处理设施建设，流域内新建、提标改造应达到《四川省岷江、沱江流域水污染物排放标准》要求。深化完善“9+3”重点湖库等敏感区域内城镇生活污水处理设施建设，实现稳定达标排放。</w:t>
                  </w:r>
                </w:p>
              </w:tc>
              <w:tc>
                <w:tcPr>
                  <w:tcW w:w="977" w:type="pct"/>
                  <w:vMerge w:val="continue"/>
                  <w:noWrap w:val="0"/>
                  <w:vAlign w:val="center"/>
                </w:tcPr>
                <w:p>
                  <w:pPr>
                    <w:pStyle w:val="2"/>
                    <w:spacing w:before="0" w:after="0" w:line="240" w:lineRule="auto"/>
                    <w:ind w:right="0"/>
                    <w:rPr>
                      <w:sz w:val="21"/>
                      <w:szCs w:val="21"/>
                    </w:rPr>
                  </w:pPr>
                </w:p>
              </w:tc>
              <w:tc>
                <w:tcPr>
                  <w:tcW w:w="367" w:type="pct"/>
                  <w:noWrap w:val="0"/>
                  <w:vAlign w:val="center"/>
                </w:tcPr>
                <w:p>
                  <w:pPr>
                    <w:pStyle w:val="2"/>
                    <w:spacing w:before="0" w:after="0" w:line="240" w:lineRule="auto"/>
                    <w:ind w:right="0"/>
                    <w:jc w:val="center"/>
                    <w:rPr>
                      <w:sz w:val="21"/>
                      <w:szCs w:val="21"/>
                    </w:rPr>
                  </w:pPr>
                  <w:r>
                    <w:rPr>
                      <w:sz w:val="21"/>
                      <w:szCs w:val="21"/>
                    </w:rPr>
                    <w:t xml:space="preserve">符合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0" w:type="pct"/>
                  <w:vMerge w:val="continue"/>
                  <w:noWrap w:val="0"/>
                  <w:vAlign w:val="center"/>
                </w:tcPr>
                <w:p>
                  <w:pPr>
                    <w:snapToGrid w:val="0"/>
                    <w:jc w:val="center"/>
                    <w:rPr>
                      <w:szCs w:val="21"/>
                    </w:rPr>
                  </w:pPr>
                </w:p>
              </w:tc>
              <w:tc>
                <w:tcPr>
                  <w:tcW w:w="3076" w:type="pct"/>
                  <w:noWrap w:val="0"/>
                  <w:vAlign w:val="center"/>
                </w:tcPr>
                <w:p>
                  <w:pPr>
                    <w:pStyle w:val="286"/>
                    <w:snapToGrid w:val="0"/>
                    <w:jc w:val="both"/>
                    <w:rPr>
                      <w:sz w:val="21"/>
                      <w:szCs w:val="21"/>
                    </w:rPr>
                  </w:pPr>
                  <w:r>
                    <w:rPr>
                      <w:sz w:val="21"/>
                      <w:szCs w:val="21"/>
                    </w:rPr>
                    <w:t>（四）加快生活污水垃圾处理配套设施建设。严格执行《城镇污水排入排水管网许可管理办法》，加强对污水排入城镇排水管网的管理，保障城镇排水与污水处理设施安全运行。强化城镇生活污水收集系统，按照雨污分流原则加大污水管网建设力度。结合城市排水防涝设施建设规划、排水专项规划、海绵城市专项规划、黑臭水体整治计划等要求，加快实施老旧污水管网和合流制排水管网改造。新建污水处理设施配套管网应同步设计、同步建设、同步投运。</w:t>
                  </w:r>
                </w:p>
              </w:tc>
              <w:tc>
                <w:tcPr>
                  <w:tcW w:w="977" w:type="pct"/>
                  <w:vMerge w:val="continue"/>
                  <w:noWrap w:val="0"/>
                  <w:vAlign w:val="center"/>
                </w:tcPr>
                <w:p>
                  <w:pPr>
                    <w:pStyle w:val="2"/>
                    <w:spacing w:before="0" w:after="0" w:line="240" w:lineRule="auto"/>
                    <w:ind w:right="0"/>
                    <w:rPr>
                      <w:sz w:val="21"/>
                      <w:szCs w:val="21"/>
                    </w:rPr>
                  </w:pPr>
                </w:p>
              </w:tc>
              <w:tc>
                <w:tcPr>
                  <w:tcW w:w="367" w:type="pct"/>
                  <w:noWrap w:val="0"/>
                  <w:vAlign w:val="center"/>
                </w:tcPr>
                <w:p>
                  <w:pPr>
                    <w:pStyle w:val="2"/>
                    <w:spacing w:before="0" w:after="0" w:line="240" w:lineRule="auto"/>
                    <w:ind w:right="0"/>
                    <w:jc w:val="center"/>
                    <w:rPr>
                      <w:sz w:val="21"/>
                      <w:szCs w:val="21"/>
                    </w:rPr>
                  </w:pPr>
                  <w:r>
                    <w:rPr>
                      <w:sz w:val="21"/>
                      <w:szCs w:val="21"/>
                    </w:rPr>
                    <w:t>符合</w:t>
                  </w:r>
                </w:p>
              </w:tc>
            </w:tr>
          </w:tbl>
          <w:p>
            <w:pPr>
              <w:widowControl/>
              <w:spacing w:before="120" w:beforeLines="50" w:line="360" w:lineRule="auto"/>
              <w:rPr>
                <w:b/>
                <w:bCs/>
                <w:sz w:val="24"/>
              </w:rPr>
            </w:pPr>
            <w:r>
              <w:rPr>
                <w:b/>
                <w:bCs/>
                <w:sz w:val="24"/>
              </w:rPr>
              <w:t>3、“三线一单”符合性分析</w:t>
            </w:r>
          </w:p>
          <w:p>
            <w:pPr>
              <w:widowControl/>
              <w:spacing w:line="360" w:lineRule="auto"/>
              <w:ind w:firstLine="480" w:firstLineChars="200"/>
              <w:rPr>
                <w:sz w:val="24"/>
              </w:rPr>
            </w:pPr>
            <w:r>
              <w:rPr>
                <w:sz w:val="24"/>
              </w:rPr>
              <w:t>2021年12月27日，四川省生态环境厅办公室发布《关于印发&lt;产业园区规划环评“三线一单”符合性分析技术要点（试行）&gt;和&lt;项目环评“三线一单”符合性分析技术要点（试行）&gt;的通知》（川环办函</w:t>
            </w:r>
            <w:r>
              <w:rPr>
                <w:rFonts w:hint="eastAsia"/>
                <w:sz w:val="24"/>
              </w:rPr>
              <w:t>〔2021〕</w:t>
            </w:r>
            <w:r>
              <w:rPr>
                <w:sz w:val="24"/>
              </w:rPr>
              <w:t>469号），本次评价结合四川省“三线一单”符合性分析系统、《四川省达州市“三线一单”优化完善工作成果》（2021.5）及《达州市人民政府关于落实生态保护红线、环境质量底线、资源利用上线制定生态环境准入清单实施生态环境分区管控的通知》（达市府发</w:t>
            </w:r>
            <w:r>
              <w:rPr>
                <w:rFonts w:hint="eastAsia"/>
                <w:sz w:val="24"/>
              </w:rPr>
              <w:t>〔2021〕</w:t>
            </w:r>
            <w:r>
              <w:rPr>
                <w:sz w:val="24"/>
              </w:rPr>
              <w:t>17号），按川环办函</w:t>
            </w:r>
            <w:r>
              <w:rPr>
                <w:rFonts w:hint="eastAsia"/>
                <w:sz w:val="24"/>
              </w:rPr>
              <w:t>〔2021〕</w:t>
            </w:r>
            <w:r>
              <w:rPr>
                <w:sz w:val="24"/>
              </w:rPr>
              <w:t>469号要求对本项目“三线一单”符合性分析如下。</w:t>
            </w:r>
          </w:p>
          <w:p>
            <w:pPr>
              <w:widowControl/>
              <w:spacing w:line="360" w:lineRule="auto"/>
              <w:ind w:firstLine="480" w:firstLineChars="200"/>
              <w:rPr>
                <w:sz w:val="24"/>
                <w:u w:val="single"/>
              </w:rPr>
            </w:pPr>
            <w:r>
              <w:rPr>
                <w:sz w:val="24"/>
                <w:u w:val="single"/>
              </w:rPr>
              <w:t>本项目为污染类建设项目，位于园区外项目，因此，本项目需分析环境管控单元及生态环境准入清单。</w:t>
            </w:r>
          </w:p>
          <w:p>
            <w:pPr>
              <w:widowControl/>
              <w:spacing w:line="360" w:lineRule="auto"/>
              <w:ind w:firstLine="482" w:firstLineChars="200"/>
              <w:rPr>
                <w:b/>
                <w:bCs/>
                <w:sz w:val="24"/>
              </w:rPr>
            </w:pPr>
            <w:r>
              <w:rPr>
                <w:b/>
                <w:bCs/>
                <w:sz w:val="24"/>
              </w:rPr>
              <w:t>（1）项目涉及的环境管控单元</w:t>
            </w:r>
          </w:p>
          <w:p>
            <w:pPr>
              <w:widowControl/>
              <w:spacing w:line="360" w:lineRule="auto"/>
              <w:ind w:firstLine="482" w:firstLineChars="200"/>
              <w:rPr>
                <w:b/>
                <w:bCs/>
                <w:sz w:val="24"/>
              </w:rPr>
            </w:pPr>
            <w:r>
              <w:rPr>
                <w:b/>
                <w:bCs/>
                <w:sz w:val="24"/>
              </w:rPr>
              <w:t>1）项目涉及的环境管控单元</w:t>
            </w:r>
          </w:p>
          <w:p>
            <w:pPr>
              <w:widowControl/>
              <w:spacing w:line="360" w:lineRule="auto"/>
              <w:ind w:firstLine="480" w:firstLineChars="200"/>
              <w:rPr>
                <w:sz w:val="24"/>
              </w:rPr>
            </w:pPr>
            <w:r>
              <w:rPr>
                <w:sz w:val="24"/>
              </w:rPr>
              <w:t>本项目为双龙镇污水处理厂改扩建项目，根据四川省“三线一单”符合性分析系统（http://103.203.219.138:8083/gis2/n_index.html）和“三线一单”符合性分析系统。</w:t>
            </w:r>
          </w:p>
          <w:p>
            <w:pPr>
              <w:widowControl/>
              <w:spacing w:line="360" w:lineRule="auto"/>
              <w:ind w:firstLine="480" w:firstLineChars="200"/>
              <w:rPr>
                <w:sz w:val="24"/>
              </w:rPr>
            </w:pPr>
            <w:r>
              <w:rPr>
                <w:sz w:val="24"/>
              </w:rPr>
              <w:t>本项目位于通川区中心城区环境综合管控单元城镇重点管控单元（管控单元编码：ZH51170220001，管控单元名称：通川区中心城区），本项目涉及到环境单元4个，涉及的管控单元见下表。</w:t>
            </w:r>
          </w:p>
          <w:p>
            <w:pPr>
              <w:jc w:val="center"/>
              <w:rPr>
                <w:rFonts w:eastAsia="黑体"/>
                <w:bCs/>
                <w:sz w:val="24"/>
              </w:rPr>
            </w:pPr>
            <w:r>
              <w:rPr>
                <w:rFonts w:eastAsia="黑体"/>
                <w:bCs/>
                <w:sz w:val="24"/>
              </w:rPr>
              <w:t>表1-2    本项目涉及环境管控单元情况一览表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43"/>
              <w:gridCol w:w="1270"/>
              <w:gridCol w:w="850"/>
              <w:gridCol w:w="746"/>
              <w:gridCol w:w="1421"/>
              <w:gridCol w:w="17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7" w:type="pct"/>
                  <w:shd w:val="clear" w:color="auto" w:fill="CCFFFF"/>
                  <w:noWrap w:val="0"/>
                  <w:vAlign w:val="center"/>
                </w:tcPr>
                <w:p>
                  <w:pPr>
                    <w:widowControl/>
                    <w:jc w:val="center"/>
                    <w:rPr>
                      <w:b/>
                      <w:bCs/>
                      <w:kern w:val="0"/>
                    </w:rPr>
                  </w:pPr>
                  <w:r>
                    <w:rPr>
                      <w:b/>
                      <w:bCs/>
                      <w:kern w:val="0"/>
                    </w:rPr>
                    <w:t>环境管控单元</w:t>
                  </w:r>
                </w:p>
                <w:p>
                  <w:pPr>
                    <w:widowControl/>
                    <w:jc w:val="center"/>
                    <w:rPr>
                      <w:b/>
                      <w:bCs/>
                      <w:kern w:val="0"/>
                    </w:rPr>
                  </w:pPr>
                  <w:r>
                    <w:rPr>
                      <w:b/>
                      <w:bCs/>
                      <w:kern w:val="0"/>
                    </w:rPr>
                    <w:t>编码</w:t>
                  </w:r>
                </w:p>
              </w:tc>
              <w:tc>
                <w:tcPr>
                  <w:tcW w:w="811" w:type="pct"/>
                  <w:shd w:val="clear" w:color="auto" w:fill="CCFFFF"/>
                  <w:noWrap w:val="0"/>
                  <w:vAlign w:val="center"/>
                </w:tcPr>
                <w:p>
                  <w:pPr>
                    <w:widowControl/>
                    <w:jc w:val="center"/>
                    <w:rPr>
                      <w:b/>
                      <w:bCs/>
                      <w:kern w:val="0"/>
                    </w:rPr>
                  </w:pPr>
                  <w:r>
                    <w:rPr>
                      <w:b/>
                      <w:bCs/>
                      <w:kern w:val="0"/>
                    </w:rPr>
                    <w:t>环境管控单元名称</w:t>
                  </w:r>
                </w:p>
              </w:tc>
              <w:tc>
                <w:tcPr>
                  <w:tcW w:w="543" w:type="pct"/>
                  <w:shd w:val="clear" w:color="auto" w:fill="CCFFFF"/>
                  <w:noWrap w:val="0"/>
                  <w:vAlign w:val="center"/>
                </w:tcPr>
                <w:p>
                  <w:pPr>
                    <w:widowControl/>
                    <w:jc w:val="center"/>
                    <w:rPr>
                      <w:b/>
                      <w:bCs/>
                      <w:kern w:val="0"/>
                    </w:rPr>
                  </w:pPr>
                  <w:r>
                    <w:rPr>
                      <w:b/>
                      <w:bCs/>
                      <w:kern w:val="0"/>
                    </w:rPr>
                    <w:t>所属市（州）</w:t>
                  </w:r>
                </w:p>
              </w:tc>
              <w:tc>
                <w:tcPr>
                  <w:tcW w:w="476" w:type="pct"/>
                  <w:shd w:val="clear" w:color="auto" w:fill="CCFFFF"/>
                  <w:noWrap w:val="0"/>
                  <w:vAlign w:val="center"/>
                </w:tcPr>
                <w:p>
                  <w:pPr>
                    <w:widowControl/>
                    <w:jc w:val="center"/>
                    <w:rPr>
                      <w:b/>
                      <w:bCs/>
                      <w:kern w:val="0"/>
                    </w:rPr>
                  </w:pPr>
                  <w:r>
                    <w:rPr>
                      <w:b/>
                      <w:bCs/>
                      <w:kern w:val="0"/>
                    </w:rPr>
                    <w:t>所属区县</w:t>
                  </w:r>
                </w:p>
              </w:tc>
              <w:tc>
                <w:tcPr>
                  <w:tcW w:w="907" w:type="pct"/>
                  <w:shd w:val="clear" w:color="auto" w:fill="CCFFFF"/>
                  <w:noWrap w:val="0"/>
                  <w:vAlign w:val="center"/>
                </w:tcPr>
                <w:p>
                  <w:pPr>
                    <w:widowControl/>
                    <w:jc w:val="center"/>
                    <w:rPr>
                      <w:b/>
                      <w:bCs/>
                      <w:kern w:val="0"/>
                    </w:rPr>
                  </w:pPr>
                  <w:r>
                    <w:rPr>
                      <w:b/>
                      <w:bCs/>
                      <w:kern w:val="0"/>
                    </w:rPr>
                    <w:t>准入清单</w:t>
                  </w:r>
                </w:p>
                <w:p>
                  <w:pPr>
                    <w:widowControl/>
                    <w:jc w:val="center"/>
                    <w:rPr>
                      <w:b/>
                      <w:bCs/>
                      <w:kern w:val="0"/>
                    </w:rPr>
                  </w:pPr>
                  <w:r>
                    <w:rPr>
                      <w:b/>
                      <w:bCs/>
                      <w:kern w:val="0"/>
                    </w:rPr>
                    <w:t>类型</w:t>
                  </w:r>
                </w:p>
              </w:tc>
              <w:tc>
                <w:tcPr>
                  <w:tcW w:w="1086" w:type="pct"/>
                  <w:shd w:val="clear" w:color="auto" w:fill="CCFFFF"/>
                  <w:noWrap w:val="0"/>
                  <w:vAlign w:val="center"/>
                </w:tcPr>
                <w:p>
                  <w:pPr>
                    <w:widowControl/>
                    <w:jc w:val="center"/>
                    <w:rPr>
                      <w:b/>
                      <w:bCs/>
                      <w:kern w:val="0"/>
                    </w:rPr>
                  </w:pPr>
                  <w:r>
                    <w:rPr>
                      <w:b/>
                      <w:bCs/>
                      <w:kern w:val="0"/>
                    </w:rPr>
                    <w:t>管控类型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7" w:type="pct"/>
                  <w:noWrap w:val="0"/>
                  <w:vAlign w:val="center"/>
                </w:tcPr>
                <w:p>
                  <w:pPr>
                    <w:pStyle w:val="112"/>
                    <w:widowControl/>
                    <w:spacing w:line="240" w:lineRule="auto"/>
                    <w:ind w:firstLine="0" w:firstLineChars="0"/>
                    <w:jc w:val="center"/>
                    <w:rPr>
                      <w:rFonts w:eastAsia="宋体"/>
                      <w:sz w:val="21"/>
                    </w:rPr>
                  </w:pPr>
                  <w:r>
                    <w:rPr>
                      <w:rFonts w:eastAsia="宋体"/>
                      <w:sz w:val="21"/>
                    </w:rPr>
                    <w:t>ZH51170220001</w:t>
                  </w:r>
                </w:p>
              </w:tc>
              <w:tc>
                <w:tcPr>
                  <w:tcW w:w="811" w:type="pct"/>
                  <w:noWrap w:val="0"/>
                  <w:vAlign w:val="center"/>
                </w:tcPr>
                <w:p>
                  <w:pPr>
                    <w:pStyle w:val="112"/>
                    <w:widowControl/>
                    <w:spacing w:line="240" w:lineRule="auto"/>
                    <w:ind w:firstLine="0" w:firstLineChars="0"/>
                    <w:jc w:val="center"/>
                    <w:rPr>
                      <w:rFonts w:eastAsia="宋体"/>
                      <w:sz w:val="21"/>
                    </w:rPr>
                  </w:pPr>
                  <w:r>
                    <w:rPr>
                      <w:rFonts w:eastAsia="宋体"/>
                      <w:sz w:val="21"/>
                    </w:rPr>
                    <w:t>通川区中心城区</w:t>
                  </w:r>
                </w:p>
              </w:tc>
              <w:tc>
                <w:tcPr>
                  <w:tcW w:w="543" w:type="pct"/>
                  <w:noWrap w:val="0"/>
                  <w:vAlign w:val="center"/>
                </w:tcPr>
                <w:p>
                  <w:pPr>
                    <w:pStyle w:val="112"/>
                    <w:widowControl/>
                    <w:spacing w:line="240" w:lineRule="auto"/>
                    <w:ind w:firstLine="0" w:firstLineChars="0"/>
                    <w:jc w:val="center"/>
                    <w:rPr>
                      <w:rFonts w:eastAsia="宋体"/>
                      <w:sz w:val="21"/>
                    </w:rPr>
                  </w:pPr>
                  <w:r>
                    <w:rPr>
                      <w:rFonts w:eastAsia="宋体"/>
                      <w:sz w:val="21"/>
                    </w:rPr>
                    <w:t>达州市</w:t>
                  </w:r>
                </w:p>
              </w:tc>
              <w:tc>
                <w:tcPr>
                  <w:tcW w:w="476" w:type="pct"/>
                  <w:noWrap w:val="0"/>
                  <w:vAlign w:val="center"/>
                </w:tcPr>
                <w:p>
                  <w:pPr>
                    <w:pStyle w:val="112"/>
                    <w:widowControl/>
                    <w:spacing w:line="240" w:lineRule="auto"/>
                    <w:ind w:firstLine="0" w:firstLineChars="0"/>
                    <w:jc w:val="center"/>
                    <w:rPr>
                      <w:rFonts w:eastAsia="宋体"/>
                      <w:sz w:val="21"/>
                    </w:rPr>
                  </w:pPr>
                  <w:r>
                    <w:rPr>
                      <w:rFonts w:eastAsia="宋体"/>
                      <w:sz w:val="21"/>
                    </w:rPr>
                    <w:t>通川区</w:t>
                  </w:r>
                </w:p>
              </w:tc>
              <w:tc>
                <w:tcPr>
                  <w:tcW w:w="907" w:type="pct"/>
                  <w:noWrap w:val="0"/>
                  <w:vAlign w:val="center"/>
                </w:tcPr>
                <w:p>
                  <w:pPr>
                    <w:pStyle w:val="112"/>
                    <w:widowControl/>
                    <w:spacing w:line="240" w:lineRule="auto"/>
                    <w:ind w:firstLine="0" w:firstLineChars="0"/>
                    <w:jc w:val="center"/>
                    <w:rPr>
                      <w:rFonts w:eastAsia="宋体"/>
                      <w:sz w:val="21"/>
                    </w:rPr>
                  </w:pPr>
                  <w:r>
                    <w:rPr>
                      <w:rFonts w:eastAsia="宋体"/>
                      <w:sz w:val="21"/>
                    </w:rPr>
                    <w:t>环境管控单元</w:t>
                  </w:r>
                </w:p>
              </w:tc>
              <w:tc>
                <w:tcPr>
                  <w:tcW w:w="1086" w:type="pct"/>
                  <w:noWrap w:val="0"/>
                  <w:vAlign w:val="center"/>
                </w:tcPr>
                <w:p>
                  <w:pPr>
                    <w:pStyle w:val="112"/>
                    <w:widowControl/>
                    <w:spacing w:line="240" w:lineRule="auto"/>
                    <w:ind w:firstLine="0" w:firstLineChars="0"/>
                    <w:jc w:val="center"/>
                    <w:rPr>
                      <w:rFonts w:eastAsia="宋体"/>
                      <w:sz w:val="21"/>
                    </w:rPr>
                  </w:pPr>
                  <w:r>
                    <w:rPr>
                      <w:rFonts w:eastAsia="宋体"/>
                      <w:sz w:val="21"/>
                    </w:rPr>
                    <w:t>环境综合管控单元城镇重点管控单元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7" w:type="pct"/>
                  <w:noWrap w:val="0"/>
                  <w:vAlign w:val="center"/>
                </w:tcPr>
                <w:p>
                  <w:pPr>
                    <w:pStyle w:val="112"/>
                    <w:widowControl/>
                    <w:spacing w:line="240" w:lineRule="auto"/>
                    <w:ind w:firstLine="0" w:firstLineChars="0"/>
                    <w:jc w:val="center"/>
                    <w:rPr>
                      <w:rFonts w:eastAsia="宋体"/>
                      <w:sz w:val="21"/>
                    </w:rPr>
                  </w:pPr>
                  <w:r>
                    <w:rPr>
                      <w:rFonts w:eastAsia="宋体"/>
                      <w:sz w:val="21"/>
                    </w:rPr>
                    <w:t>YS5117022220001</w:t>
                  </w:r>
                </w:p>
              </w:tc>
              <w:tc>
                <w:tcPr>
                  <w:tcW w:w="811" w:type="pct"/>
                  <w:noWrap w:val="0"/>
                  <w:vAlign w:val="center"/>
                </w:tcPr>
                <w:p>
                  <w:pPr>
                    <w:pStyle w:val="112"/>
                    <w:widowControl/>
                    <w:spacing w:line="240" w:lineRule="auto"/>
                    <w:ind w:firstLine="0" w:firstLineChars="0"/>
                    <w:jc w:val="center"/>
                    <w:rPr>
                      <w:rFonts w:eastAsia="宋体"/>
                      <w:sz w:val="21"/>
                    </w:rPr>
                  </w:pPr>
                  <w:r>
                    <w:rPr>
                      <w:rFonts w:eastAsia="宋体"/>
                      <w:sz w:val="21"/>
                    </w:rPr>
                    <w:t>州河通川区车家河控制单元</w:t>
                  </w:r>
                </w:p>
              </w:tc>
              <w:tc>
                <w:tcPr>
                  <w:tcW w:w="543" w:type="pct"/>
                  <w:noWrap w:val="0"/>
                  <w:vAlign w:val="center"/>
                </w:tcPr>
                <w:p>
                  <w:pPr>
                    <w:pStyle w:val="112"/>
                    <w:widowControl/>
                    <w:spacing w:line="240" w:lineRule="auto"/>
                    <w:ind w:firstLine="0" w:firstLineChars="0"/>
                    <w:jc w:val="center"/>
                    <w:rPr>
                      <w:rFonts w:eastAsia="宋体"/>
                      <w:sz w:val="21"/>
                    </w:rPr>
                  </w:pPr>
                  <w:r>
                    <w:rPr>
                      <w:rFonts w:eastAsia="宋体"/>
                      <w:sz w:val="21"/>
                    </w:rPr>
                    <w:t>达州市</w:t>
                  </w:r>
                </w:p>
              </w:tc>
              <w:tc>
                <w:tcPr>
                  <w:tcW w:w="476" w:type="pct"/>
                  <w:noWrap w:val="0"/>
                  <w:vAlign w:val="center"/>
                </w:tcPr>
                <w:p>
                  <w:pPr>
                    <w:pStyle w:val="112"/>
                    <w:widowControl/>
                    <w:spacing w:line="240" w:lineRule="auto"/>
                    <w:ind w:firstLine="0" w:firstLineChars="0"/>
                    <w:jc w:val="center"/>
                    <w:rPr>
                      <w:rFonts w:eastAsia="宋体"/>
                      <w:sz w:val="21"/>
                    </w:rPr>
                  </w:pPr>
                  <w:r>
                    <w:rPr>
                      <w:rFonts w:eastAsia="宋体"/>
                      <w:sz w:val="21"/>
                    </w:rPr>
                    <w:t>通川区</w:t>
                  </w:r>
                </w:p>
              </w:tc>
              <w:tc>
                <w:tcPr>
                  <w:tcW w:w="907" w:type="pct"/>
                  <w:noWrap w:val="0"/>
                  <w:vAlign w:val="center"/>
                </w:tcPr>
                <w:p>
                  <w:pPr>
                    <w:pStyle w:val="112"/>
                    <w:widowControl/>
                    <w:spacing w:line="240" w:lineRule="auto"/>
                    <w:ind w:firstLine="0" w:firstLineChars="0"/>
                    <w:jc w:val="center"/>
                    <w:rPr>
                      <w:rFonts w:eastAsia="宋体"/>
                      <w:sz w:val="21"/>
                    </w:rPr>
                  </w:pPr>
                  <w:r>
                    <w:rPr>
                      <w:rFonts w:eastAsia="宋体"/>
                      <w:sz w:val="21"/>
                    </w:rPr>
                    <w:t>水环境管控分区</w:t>
                  </w:r>
                </w:p>
              </w:tc>
              <w:tc>
                <w:tcPr>
                  <w:tcW w:w="1086" w:type="pct"/>
                  <w:noWrap w:val="0"/>
                  <w:vAlign w:val="center"/>
                </w:tcPr>
                <w:p>
                  <w:pPr>
                    <w:pStyle w:val="112"/>
                    <w:widowControl/>
                    <w:spacing w:line="240" w:lineRule="auto"/>
                    <w:ind w:firstLine="0" w:firstLineChars="0"/>
                    <w:jc w:val="center"/>
                    <w:rPr>
                      <w:rFonts w:eastAsia="宋体"/>
                      <w:sz w:val="21"/>
                    </w:rPr>
                  </w:pPr>
                  <w:r>
                    <w:rPr>
                      <w:rFonts w:eastAsia="宋体"/>
                      <w:sz w:val="21"/>
                    </w:rPr>
                    <w:t>水环境城镇生活污染重点管控区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7" w:type="pct"/>
                  <w:noWrap w:val="0"/>
                  <w:vAlign w:val="center"/>
                </w:tcPr>
                <w:p>
                  <w:pPr>
                    <w:pStyle w:val="112"/>
                    <w:widowControl/>
                    <w:spacing w:line="240" w:lineRule="auto"/>
                    <w:ind w:firstLine="0" w:firstLineChars="0"/>
                    <w:jc w:val="center"/>
                    <w:rPr>
                      <w:rFonts w:eastAsia="宋体"/>
                      <w:sz w:val="21"/>
                    </w:rPr>
                  </w:pPr>
                  <w:r>
                    <w:rPr>
                      <w:rFonts w:eastAsia="宋体"/>
                      <w:sz w:val="21"/>
                    </w:rPr>
                    <w:t>YS5117022340005</w:t>
                  </w:r>
                </w:p>
              </w:tc>
              <w:tc>
                <w:tcPr>
                  <w:tcW w:w="811" w:type="pct"/>
                  <w:noWrap w:val="0"/>
                  <w:vAlign w:val="center"/>
                </w:tcPr>
                <w:p>
                  <w:pPr>
                    <w:pStyle w:val="112"/>
                    <w:widowControl/>
                    <w:spacing w:line="240" w:lineRule="auto"/>
                    <w:ind w:firstLine="0" w:firstLineChars="0"/>
                    <w:jc w:val="center"/>
                    <w:rPr>
                      <w:rFonts w:eastAsia="宋体"/>
                      <w:sz w:val="21"/>
                    </w:rPr>
                  </w:pPr>
                  <w:r>
                    <w:rPr>
                      <w:rFonts w:eastAsia="宋体"/>
                      <w:sz w:val="21"/>
                    </w:rPr>
                    <w:t>通川区中心城区</w:t>
                  </w:r>
                </w:p>
              </w:tc>
              <w:tc>
                <w:tcPr>
                  <w:tcW w:w="543" w:type="pct"/>
                  <w:noWrap w:val="0"/>
                  <w:vAlign w:val="center"/>
                </w:tcPr>
                <w:p>
                  <w:pPr>
                    <w:pStyle w:val="112"/>
                    <w:widowControl/>
                    <w:spacing w:line="240" w:lineRule="auto"/>
                    <w:ind w:firstLine="0" w:firstLineChars="0"/>
                    <w:jc w:val="center"/>
                    <w:rPr>
                      <w:rFonts w:eastAsia="宋体"/>
                      <w:sz w:val="21"/>
                    </w:rPr>
                  </w:pPr>
                  <w:r>
                    <w:rPr>
                      <w:rFonts w:eastAsia="宋体"/>
                      <w:sz w:val="21"/>
                    </w:rPr>
                    <w:t>达州市</w:t>
                  </w:r>
                </w:p>
              </w:tc>
              <w:tc>
                <w:tcPr>
                  <w:tcW w:w="476" w:type="pct"/>
                  <w:noWrap w:val="0"/>
                  <w:vAlign w:val="center"/>
                </w:tcPr>
                <w:p>
                  <w:pPr>
                    <w:pStyle w:val="112"/>
                    <w:widowControl/>
                    <w:spacing w:line="240" w:lineRule="auto"/>
                    <w:ind w:firstLine="0" w:firstLineChars="0"/>
                    <w:jc w:val="center"/>
                    <w:rPr>
                      <w:rFonts w:eastAsia="宋体"/>
                      <w:sz w:val="21"/>
                    </w:rPr>
                  </w:pPr>
                  <w:r>
                    <w:rPr>
                      <w:rFonts w:eastAsia="宋体"/>
                      <w:sz w:val="21"/>
                    </w:rPr>
                    <w:t>通川区</w:t>
                  </w:r>
                </w:p>
              </w:tc>
              <w:tc>
                <w:tcPr>
                  <w:tcW w:w="907" w:type="pct"/>
                  <w:noWrap w:val="0"/>
                  <w:vAlign w:val="center"/>
                </w:tcPr>
                <w:p>
                  <w:pPr>
                    <w:pStyle w:val="112"/>
                    <w:widowControl/>
                    <w:spacing w:line="240" w:lineRule="auto"/>
                    <w:ind w:firstLine="0" w:firstLineChars="0"/>
                    <w:jc w:val="center"/>
                    <w:rPr>
                      <w:rFonts w:eastAsia="宋体"/>
                      <w:sz w:val="21"/>
                    </w:rPr>
                  </w:pPr>
                  <w:r>
                    <w:rPr>
                      <w:rFonts w:eastAsia="宋体"/>
                      <w:sz w:val="21"/>
                    </w:rPr>
                    <w:t>大气环境管控分区</w:t>
                  </w:r>
                </w:p>
              </w:tc>
              <w:tc>
                <w:tcPr>
                  <w:tcW w:w="1086" w:type="pct"/>
                  <w:noWrap w:val="0"/>
                  <w:vAlign w:val="center"/>
                </w:tcPr>
                <w:p>
                  <w:pPr>
                    <w:pStyle w:val="112"/>
                    <w:widowControl/>
                    <w:spacing w:line="240" w:lineRule="auto"/>
                    <w:ind w:firstLine="0" w:firstLineChars="0"/>
                    <w:jc w:val="center"/>
                    <w:rPr>
                      <w:rFonts w:eastAsia="宋体"/>
                      <w:sz w:val="21"/>
                    </w:rPr>
                  </w:pPr>
                  <w:r>
                    <w:rPr>
                      <w:rFonts w:eastAsia="宋体"/>
                      <w:sz w:val="21"/>
                    </w:rPr>
                    <w:t>大气环境受体敏感重点管控区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7" w:type="pct"/>
                  <w:noWrap w:val="0"/>
                  <w:vAlign w:val="center"/>
                </w:tcPr>
                <w:p>
                  <w:pPr>
                    <w:pStyle w:val="112"/>
                    <w:widowControl/>
                    <w:spacing w:line="240" w:lineRule="auto"/>
                    <w:ind w:firstLine="0" w:firstLineChars="0"/>
                    <w:jc w:val="center"/>
                    <w:rPr>
                      <w:rFonts w:eastAsia="宋体"/>
                      <w:sz w:val="21"/>
                    </w:rPr>
                  </w:pPr>
                  <w:r>
                    <w:rPr>
                      <w:rFonts w:eastAsia="宋体"/>
                      <w:sz w:val="21"/>
                    </w:rPr>
                    <w:t>YS5117021410001</w:t>
                  </w:r>
                </w:p>
              </w:tc>
              <w:tc>
                <w:tcPr>
                  <w:tcW w:w="811" w:type="pct"/>
                  <w:noWrap w:val="0"/>
                  <w:vAlign w:val="center"/>
                </w:tcPr>
                <w:p>
                  <w:pPr>
                    <w:pStyle w:val="112"/>
                    <w:widowControl/>
                    <w:spacing w:line="240" w:lineRule="auto"/>
                    <w:ind w:firstLine="0" w:firstLineChars="0"/>
                    <w:jc w:val="center"/>
                    <w:rPr>
                      <w:rFonts w:eastAsia="宋体"/>
                      <w:sz w:val="21"/>
                    </w:rPr>
                  </w:pPr>
                  <w:r>
                    <w:rPr>
                      <w:rFonts w:eastAsia="宋体"/>
                      <w:sz w:val="21"/>
                    </w:rPr>
                    <w:t>通川区土壤优先保护区</w:t>
                  </w:r>
                </w:p>
              </w:tc>
              <w:tc>
                <w:tcPr>
                  <w:tcW w:w="543" w:type="pct"/>
                  <w:noWrap w:val="0"/>
                  <w:vAlign w:val="center"/>
                </w:tcPr>
                <w:p>
                  <w:pPr>
                    <w:pStyle w:val="112"/>
                    <w:widowControl/>
                    <w:spacing w:line="240" w:lineRule="auto"/>
                    <w:ind w:firstLine="0" w:firstLineChars="0"/>
                    <w:jc w:val="center"/>
                    <w:rPr>
                      <w:rFonts w:eastAsia="宋体"/>
                      <w:sz w:val="21"/>
                    </w:rPr>
                  </w:pPr>
                  <w:r>
                    <w:rPr>
                      <w:rFonts w:eastAsia="宋体"/>
                      <w:sz w:val="21"/>
                    </w:rPr>
                    <w:t>达州市</w:t>
                  </w:r>
                </w:p>
              </w:tc>
              <w:tc>
                <w:tcPr>
                  <w:tcW w:w="476" w:type="pct"/>
                  <w:noWrap w:val="0"/>
                  <w:vAlign w:val="center"/>
                </w:tcPr>
                <w:p>
                  <w:pPr>
                    <w:pStyle w:val="112"/>
                    <w:widowControl/>
                    <w:spacing w:line="240" w:lineRule="auto"/>
                    <w:ind w:firstLine="0" w:firstLineChars="0"/>
                    <w:jc w:val="center"/>
                    <w:rPr>
                      <w:rFonts w:eastAsia="宋体"/>
                      <w:sz w:val="21"/>
                    </w:rPr>
                  </w:pPr>
                  <w:r>
                    <w:rPr>
                      <w:rFonts w:eastAsia="宋体"/>
                      <w:sz w:val="21"/>
                    </w:rPr>
                    <w:t>通川区</w:t>
                  </w:r>
                </w:p>
              </w:tc>
              <w:tc>
                <w:tcPr>
                  <w:tcW w:w="907" w:type="pct"/>
                  <w:noWrap w:val="0"/>
                  <w:vAlign w:val="center"/>
                </w:tcPr>
                <w:p>
                  <w:pPr>
                    <w:pStyle w:val="112"/>
                    <w:widowControl/>
                    <w:spacing w:line="240" w:lineRule="auto"/>
                    <w:ind w:firstLine="0" w:firstLineChars="0"/>
                    <w:jc w:val="center"/>
                    <w:rPr>
                      <w:rFonts w:eastAsia="宋体"/>
                      <w:sz w:val="21"/>
                    </w:rPr>
                  </w:pPr>
                  <w:r>
                    <w:rPr>
                      <w:rFonts w:eastAsia="宋体"/>
                      <w:sz w:val="21"/>
                    </w:rPr>
                    <w:t>土壤污染风险管控分区</w:t>
                  </w:r>
                </w:p>
              </w:tc>
              <w:tc>
                <w:tcPr>
                  <w:tcW w:w="1086" w:type="pct"/>
                  <w:noWrap w:val="0"/>
                  <w:vAlign w:val="center"/>
                </w:tcPr>
                <w:p>
                  <w:pPr>
                    <w:pStyle w:val="112"/>
                    <w:widowControl/>
                    <w:spacing w:line="240" w:lineRule="auto"/>
                    <w:ind w:firstLine="0" w:firstLineChars="0"/>
                    <w:jc w:val="center"/>
                    <w:rPr>
                      <w:rFonts w:eastAsia="宋体"/>
                      <w:sz w:val="21"/>
                    </w:rPr>
                  </w:pPr>
                  <w:r>
                    <w:rPr>
                      <w:rFonts w:eastAsia="宋体"/>
                      <w:sz w:val="21"/>
                    </w:rPr>
                    <w:t>农用地优先保护区</w:t>
                  </w:r>
                </w:p>
              </w:tc>
            </w:tr>
          </w:tbl>
          <w:p>
            <w:pPr>
              <w:widowControl/>
              <w:spacing w:line="360" w:lineRule="auto"/>
              <w:jc w:val="center"/>
              <w:rPr>
                <w:sz w:val="24"/>
              </w:rPr>
            </w:pPr>
            <w:r>
              <w:rPr>
                <w:sz w:val="28"/>
                <w:szCs w:val="28"/>
              </w:rPr>
              <w:drawing>
                <wp:inline distT="0" distB="0" distL="114300" distR="114300">
                  <wp:extent cx="4965700" cy="2979420"/>
                  <wp:effectExtent l="0" t="0" r="6350" b="1143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8"/>
                          <a:stretch>
                            <a:fillRect/>
                          </a:stretch>
                        </pic:blipFill>
                        <pic:spPr>
                          <a:xfrm>
                            <a:off x="0" y="0"/>
                            <a:ext cx="4965700" cy="2979420"/>
                          </a:xfrm>
                          <a:prstGeom prst="rect">
                            <a:avLst/>
                          </a:prstGeom>
                          <a:noFill/>
                          <a:ln>
                            <a:noFill/>
                          </a:ln>
                        </pic:spPr>
                      </pic:pic>
                    </a:graphicData>
                  </a:graphic>
                </wp:inline>
              </w:drawing>
            </w:r>
          </w:p>
          <w:p>
            <w:pPr>
              <w:autoSpaceDE w:val="0"/>
              <w:autoSpaceDN w:val="0"/>
              <w:spacing w:line="360" w:lineRule="auto"/>
              <w:jc w:val="center"/>
              <w:outlineLvl w:val="2"/>
              <w:rPr>
                <w:rFonts w:eastAsia="黑体"/>
                <w:sz w:val="24"/>
              </w:rPr>
            </w:pPr>
            <w:r>
              <w:rPr>
                <w:rFonts w:eastAsia="黑体"/>
                <w:sz w:val="24"/>
              </w:rPr>
              <w:t>图1-1    项目涉及管控单元情况图</w:t>
            </w:r>
          </w:p>
          <w:p>
            <w:pPr>
              <w:adjustRightInd w:val="0"/>
              <w:snapToGrid w:val="0"/>
              <w:spacing w:line="360" w:lineRule="auto"/>
              <w:ind w:firstLine="480" w:firstLineChars="200"/>
              <w:jc w:val="left"/>
              <w:rPr>
                <w:b/>
                <w:bCs/>
                <w:kern w:val="0"/>
                <w:sz w:val="24"/>
              </w:rPr>
            </w:pPr>
            <w:r>
              <w:rPr>
                <w:sz w:val="24"/>
                <w:lang w:bidi="ar"/>
              </w:rPr>
              <w:t>2）</w:t>
            </w:r>
            <w:r>
              <w:rPr>
                <w:b/>
                <w:bCs/>
                <w:kern w:val="0"/>
                <w:sz w:val="24"/>
              </w:rPr>
              <w:t>项目与达州市生态红线、环境管控单元的位置关系</w:t>
            </w:r>
          </w:p>
          <w:p>
            <w:pPr>
              <w:widowControl/>
              <w:spacing w:line="360" w:lineRule="auto"/>
              <w:ind w:firstLine="480" w:firstLineChars="200"/>
              <w:rPr>
                <w:sz w:val="24"/>
                <w:lang w:bidi="ar"/>
              </w:rPr>
            </w:pPr>
            <w:r>
              <w:rPr>
                <w:kern w:val="0"/>
                <w:sz w:val="24"/>
              </w:rPr>
              <w:t>项目与《达州市生态保护红线分布图》（2021.</w:t>
            </w:r>
            <w:r>
              <w:rPr>
                <w:rFonts w:hint="eastAsia"/>
                <w:kern w:val="0"/>
                <w:sz w:val="24"/>
                <w:lang w:eastAsia="zh-CN"/>
              </w:rPr>
              <w:t>5）</w:t>
            </w:r>
            <w:r>
              <w:rPr>
                <w:kern w:val="0"/>
                <w:sz w:val="24"/>
              </w:rPr>
              <w:t>《达州市综合环境管控单元分布图》（2021.5）中的位置关系见下图，本项目不位于达州市生态红线范围内。</w:t>
            </w:r>
          </w:p>
          <w:p>
            <w:pPr>
              <w:pStyle w:val="2"/>
              <w:spacing w:before="0" w:after="0" w:line="360" w:lineRule="auto"/>
              <w:ind w:right="0"/>
              <w:jc w:val="center"/>
              <w:rPr>
                <w:rFonts w:eastAsia="仿宋_GB2312"/>
                <w:spacing w:val="-4"/>
                <w:sz w:val="28"/>
                <w:szCs w:val="28"/>
              </w:rPr>
            </w:pPr>
            <w:r>
              <w:rPr>
                <w:rFonts w:eastAsia="仿宋_GB2312"/>
                <w:spacing w:val="-4"/>
                <w:sz w:val="28"/>
                <w:szCs w:val="28"/>
              </w:rPr>
              <mc:AlternateContent>
                <mc:Choice Requires="wps">
                  <w:drawing>
                    <wp:anchor distT="0" distB="0" distL="114300" distR="114300" simplePos="0" relativeHeight="251664384" behindDoc="0" locked="0" layoutInCell="1" allowOverlap="1">
                      <wp:simplePos x="0" y="0"/>
                      <wp:positionH relativeFrom="column">
                        <wp:posOffset>1439545</wp:posOffset>
                      </wp:positionH>
                      <wp:positionV relativeFrom="paragraph">
                        <wp:posOffset>1632585</wp:posOffset>
                      </wp:positionV>
                      <wp:extent cx="629920" cy="350520"/>
                      <wp:effectExtent l="0" t="0" r="0" b="0"/>
                      <wp:wrapNone/>
                      <wp:docPr id="6" name="矩形 18"/>
                      <wp:cNvGraphicFramePr/>
                      <a:graphic xmlns:a="http://schemas.openxmlformats.org/drawingml/2006/main">
                        <a:graphicData uri="http://schemas.microsoft.com/office/word/2010/wordprocessingShape">
                          <wps:wsp>
                            <wps:cNvSpPr/>
                            <wps:spPr>
                              <a:xfrm>
                                <a:off x="0" y="0"/>
                                <a:ext cx="629920" cy="350520"/>
                              </a:xfrm>
                              <a:prstGeom prst="rect">
                                <a:avLst/>
                              </a:prstGeom>
                              <a:noFill/>
                              <a:ln>
                                <a:noFill/>
                              </a:ln>
                            </wps:spPr>
                            <wps:txbx>
                              <w:txbxContent>
                                <w:p>
                                  <w:pPr>
                                    <w:rPr>
                                      <w:rFonts w:hint="eastAsia"/>
                                      <w:b/>
                                      <w:bCs/>
                                      <w:color w:val="FF0000"/>
                                    </w:rPr>
                                  </w:pPr>
                                  <w:r>
                                    <w:rPr>
                                      <w:rFonts w:hint="eastAsia"/>
                                      <w:b/>
                                      <w:bCs/>
                                      <w:color w:val="FF0000"/>
                                    </w:rPr>
                                    <w:t>本项目</w:t>
                                  </w:r>
                                </w:p>
                              </w:txbxContent>
                            </wps:txbx>
                            <wps:bodyPr wrap="square" upright="1"/>
                          </wps:wsp>
                        </a:graphicData>
                      </a:graphic>
                    </wp:anchor>
                  </w:drawing>
                </mc:Choice>
                <mc:Fallback>
                  <w:pict>
                    <v:rect id="矩形 18" o:spid="_x0000_s1026" o:spt="1" style="position:absolute;left:0pt;margin-left:113.35pt;margin-top:128.55pt;height:27.6pt;width:49.6pt;z-index:251664384;mso-width-relative:page;mso-height-relative:page;" filled="f" stroked="f" coordsize="21600,21600" o:gfxdata="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b158&#10;T9wAAAALAQAADwAAAAAAAAABACAAAAAiAAAAZHJzL2Rvd25yZXYueG1sUEsBAhQAFAAAAAgAh07i&#10;QA2uv36sAQAATwMAAA4AAAAAAAAAAQAgAAAAKwEAAGRycy9lMm9Eb2MueG1sUEsFBgAAAAAGAAYA&#10;WQEAAEkFAAAAAA==&#10;">
                      <v:fill on="f" focussize="0,0"/>
                      <v:stroke on="f"/>
                      <v:imagedata o:title=""/>
                      <o:lock v:ext="edit" aspectratio="f"/>
                      <v:textbox>
                        <w:txbxContent>
                          <w:p>
                            <w:pPr>
                              <w:rPr>
                                <w:rFonts w:hint="eastAsia"/>
                                <w:b/>
                                <w:bCs/>
                                <w:color w:val="FF0000"/>
                              </w:rPr>
                            </w:pPr>
                            <w:r>
                              <w:rPr>
                                <w:rFonts w:hint="eastAsia"/>
                                <w:b/>
                                <w:bCs/>
                                <w:color w:val="FF0000"/>
                              </w:rPr>
                              <w:t>本项目</w:t>
                            </w:r>
                          </w:p>
                        </w:txbxContent>
                      </v:textbox>
                    </v:rect>
                  </w:pict>
                </mc:Fallback>
              </mc:AlternateContent>
            </w:r>
            <w:r>
              <w:rPr>
                <w:rFonts w:eastAsia="仿宋_GB2312"/>
                <w:spacing w:val="-4"/>
                <w:sz w:val="28"/>
                <w:szCs w:val="28"/>
              </w:rPr>
              <mc:AlternateContent>
                <mc:Choice Requires="wps">
                  <w:drawing>
                    <wp:anchor distT="0" distB="0" distL="114300" distR="114300" simplePos="0" relativeHeight="251662336" behindDoc="0" locked="0" layoutInCell="1" allowOverlap="1">
                      <wp:simplePos x="0" y="0"/>
                      <wp:positionH relativeFrom="column">
                        <wp:posOffset>1600835</wp:posOffset>
                      </wp:positionH>
                      <wp:positionV relativeFrom="paragraph">
                        <wp:posOffset>1925320</wp:posOffset>
                      </wp:positionV>
                      <wp:extent cx="64770" cy="64770"/>
                      <wp:effectExtent l="4445" t="4445" r="6985" b="6985"/>
                      <wp:wrapNone/>
                      <wp:docPr id="4" name="椭圆 16"/>
                      <wp:cNvGraphicFramePr/>
                      <a:graphic xmlns:a="http://schemas.openxmlformats.org/drawingml/2006/main">
                        <a:graphicData uri="http://schemas.microsoft.com/office/word/2010/wordprocessingShape">
                          <wps:wsp>
                            <wps:cNvSpPr/>
                            <wps:spPr>
                              <a:xfrm>
                                <a:off x="0" y="0"/>
                                <a:ext cx="64770" cy="64770"/>
                              </a:xfrm>
                              <a:prstGeom prst="ellipse">
                                <a:avLst/>
                              </a:prstGeom>
                              <a:solidFill>
                                <a:srgbClr val="FF0000"/>
                              </a:solidFill>
                              <a:ln w="9525" cap="flat" cmpd="sng">
                                <a:solidFill>
                                  <a:srgbClr val="FF0000"/>
                                </a:solidFill>
                                <a:prstDash val="solid"/>
                                <a:headEnd type="none" w="med" len="med"/>
                                <a:tailEnd type="none" w="med" len="med"/>
                              </a:ln>
                            </wps:spPr>
                            <wps:bodyPr wrap="square" upright="1"/>
                          </wps:wsp>
                        </a:graphicData>
                      </a:graphic>
                    </wp:anchor>
                  </w:drawing>
                </mc:Choice>
                <mc:Fallback>
                  <w:pict>
                    <v:shape id="椭圆 16" o:spid="_x0000_s1026" o:spt="3" type="#_x0000_t3" style="position:absolute;left:0pt;margin-left:126.05pt;margin-top:151.6pt;height:5.1pt;width:5.1pt;z-index:251662336;mso-width-relative:page;mso-height-relative:page;" fillcolor="#FF0000" filled="t" stroked="t" coordsize="21600,21600" o:gfxdata="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Fa+E9gAAAALAQAADwAAAAAAAAABACAAAAAiAAAAZHJzL2Rvd25yZXYu&#10;eG1sUEsBAhQAFAAAAAgAh07iQJzAVQ37AQAAIwQAAA4AAAAAAAAAAQAgAAAAJwEAAGRycy9lMm9E&#10;b2MueG1sUEsFBgAAAAAGAAYAWQEAAJQFAAAAAA==&#10;">
                      <v:fill on="t" focussize="0,0"/>
                      <v:stroke color="#FF0000" joinstyle="round"/>
                      <v:imagedata o:title=""/>
                      <o:lock v:ext="edit" aspectratio="f"/>
                    </v:shape>
                  </w:pict>
                </mc:Fallback>
              </mc:AlternateContent>
            </w:r>
            <w:r>
              <w:rPr>
                <w:rFonts w:eastAsia="仿宋_GB2312"/>
                <w:spacing w:val="-4"/>
                <w:sz w:val="28"/>
                <w:szCs w:val="28"/>
              </w:rPr>
              <mc:AlternateContent>
                <mc:Choice Requires="wps">
                  <w:drawing>
                    <wp:anchor distT="0" distB="0" distL="114300" distR="114300" simplePos="0" relativeHeight="251663360" behindDoc="0" locked="0" layoutInCell="1" allowOverlap="1">
                      <wp:simplePos x="0" y="0"/>
                      <wp:positionH relativeFrom="column">
                        <wp:posOffset>1634490</wp:posOffset>
                      </wp:positionH>
                      <wp:positionV relativeFrom="paragraph">
                        <wp:posOffset>1816100</wp:posOffset>
                      </wp:positionV>
                      <wp:extent cx="60960" cy="134620"/>
                      <wp:effectExtent l="4445" t="1905" r="10795" b="15875"/>
                      <wp:wrapNone/>
                      <wp:docPr id="5" name="自选图形 17"/>
                      <wp:cNvGraphicFramePr/>
                      <a:graphic xmlns:a="http://schemas.openxmlformats.org/drawingml/2006/main">
                        <a:graphicData uri="http://schemas.microsoft.com/office/word/2010/wordprocessingShape">
                          <wps:wsp>
                            <wps:cNvCnPr/>
                            <wps:spPr>
                              <a:xfrm flipV="1">
                                <a:off x="0" y="0"/>
                                <a:ext cx="60960" cy="13462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flip:y;margin-left:128.7pt;margin-top:143pt;height:10.6pt;width:4.8pt;z-index:251663360;mso-width-relative:page;mso-height-relative:page;" filled="f" stroked="t" coordsize="21600,21600" o:gfxdata="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ZQHY22AAAAAsBAAAPAAAAAAAAAAEAIAAAACIAAABkcnMvZG93&#10;bnJldi54bWxQSwECFAAUAAAACACHTuJAxO87mAACAADxAwAADgAAAAAAAAABACAAAAAnAQAAZHJz&#10;L2Uyb0RvYy54bWxQSwUGAAAAAAYABgBZAQAAmQUAAAAA&#10;">
                      <v:fill on="f" focussize="0,0"/>
                      <v:stroke color="#000000" joinstyle="round"/>
                      <v:imagedata o:title=""/>
                      <o:lock v:ext="edit" aspectratio="f"/>
                    </v:shape>
                  </w:pict>
                </mc:Fallback>
              </mc:AlternateContent>
            </w:r>
            <w:r>
              <w:rPr>
                <w:rFonts w:eastAsia="仿宋_GB2312"/>
                <w:spacing w:val="-4"/>
                <w:sz w:val="28"/>
                <w:szCs w:val="28"/>
              </w:rPr>
              <w:drawing>
                <wp:inline distT="0" distB="0" distL="114300" distR="114300">
                  <wp:extent cx="4884420" cy="3442970"/>
                  <wp:effectExtent l="0" t="0" r="11430" b="5080"/>
                  <wp:docPr id="10" name="图片 15" descr="G:\1\达州成果\现阶段成果\达州5月出图\生态保护红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G:\1\达州成果\现阶段成果\达州5月出图\生态保护红线.jpg"/>
                          <pic:cNvPicPr>
                            <a:picLocks noChangeAspect="1"/>
                          </pic:cNvPicPr>
                        </pic:nvPicPr>
                        <pic:blipFill>
                          <a:blip r:embed="rId9"/>
                          <a:stretch>
                            <a:fillRect/>
                          </a:stretch>
                        </pic:blipFill>
                        <pic:spPr>
                          <a:xfrm>
                            <a:off x="0" y="0"/>
                            <a:ext cx="4884420" cy="3442970"/>
                          </a:xfrm>
                          <a:prstGeom prst="rect">
                            <a:avLst/>
                          </a:prstGeom>
                          <a:noFill/>
                          <a:ln>
                            <a:noFill/>
                          </a:ln>
                        </pic:spPr>
                      </pic:pic>
                    </a:graphicData>
                  </a:graphic>
                </wp:inline>
              </w:drawing>
            </w:r>
          </w:p>
          <w:p>
            <w:pPr>
              <w:pStyle w:val="2"/>
              <w:spacing w:after="0" w:line="240" w:lineRule="auto"/>
              <w:ind w:right="0"/>
              <w:jc w:val="center"/>
              <w:rPr>
                <w:rFonts w:eastAsia="黑体"/>
                <w:spacing w:val="1"/>
                <w:sz w:val="24"/>
                <w:szCs w:val="24"/>
              </w:rPr>
            </w:pPr>
            <w:r>
              <w:rPr>
                <w:rFonts w:eastAsia="黑体"/>
                <w:spacing w:val="1"/>
                <w:sz w:val="24"/>
                <w:szCs w:val="24"/>
              </w:rPr>
              <w:t>图1-2    项目与达州市生态保护红线的位置关系（调整后）</w:t>
            </w:r>
          </w:p>
          <w:p>
            <w:pPr>
              <w:pStyle w:val="2"/>
              <w:spacing w:before="0" w:after="0" w:line="360" w:lineRule="auto"/>
              <w:ind w:right="0"/>
              <w:jc w:val="center"/>
            </w:pPr>
            <w:r>
              <mc:AlternateContent>
                <mc:Choice Requires="wps">
                  <w:drawing>
                    <wp:anchor distT="0" distB="0" distL="114300" distR="114300" simplePos="0" relativeHeight="251666432" behindDoc="0" locked="0" layoutInCell="1" allowOverlap="1">
                      <wp:simplePos x="0" y="0"/>
                      <wp:positionH relativeFrom="column">
                        <wp:posOffset>1863725</wp:posOffset>
                      </wp:positionH>
                      <wp:positionV relativeFrom="paragraph">
                        <wp:posOffset>2153920</wp:posOffset>
                      </wp:positionV>
                      <wp:extent cx="691515" cy="349250"/>
                      <wp:effectExtent l="0" t="0" r="0" b="0"/>
                      <wp:wrapNone/>
                      <wp:docPr id="8" name="矩形 24"/>
                      <wp:cNvGraphicFramePr/>
                      <a:graphic xmlns:a="http://schemas.openxmlformats.org/drawingml/2006/main">
                        <a:graphicData uri="http://schemas.microsoft.com/office/word/2010/wordprocessingShape">
                          <wps:wsp>
                            <wps:cNvSpPr/>
                            <wps:spPr>
                              <a:xfrm>
                                <a:off x="0" y="0"/>
                                <a:ext cx="691515" cy="349250"/>
                              </a:xfrm>
                              <a:prstGeom prst="rect">
                                <a:avLst/>
                              </a:prstGeom>
                              <a:noFill/>
                              <a:ln w="12700" cap="flat" cmpd="sng" algn="ctr">
                                <a:noFill/>
                                <a:prstDash val="solid"/>
                                <a:miter lim="800000"/>
                              </a:ln>
                              <a:effectLst/>
                            </wps:spPr>
                            <wps:txbx>
                              <w:txbxContent>
                                <w:p>
                                  <w:pPr>
                                    <w:jc w:val="center"/>
                                    <w:rPr>
                                      <w:b/>
                                      <w:bCs/>
                                      <w:color w:val="FF0000"/>
                                    </w:rPr>
                                  </w:pPr>
                                  <w:r>
                                    <w:rPr>
                                      <w:rFonts w:hint="eastAsia"/>
                                      <w:b/>
                                      <w:bCs/>
                                      <w:color w:val="FF0000"/>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4" o:spid="_x0000_s1026" o:spt="1" style="position:absolute;left:0pt;margin-left:146.75pt;margin-top:169.6pt;height:27.5pt;width:54.45pt;z-index:251666432;v-text-anchor:middle;mso-width-relative:page;mso-height-relative:page;" filled="f" stroked="f" coordsize="21600,21600" o:gfxdata="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Ff0gfNkAAAALAQAADwAAAAAAAAABACAAAAAiAAAAZHJzL2Rvd25yZXYueG1sUEsB&#10;AhQAFAAAAAgAh07iQJhrvvZmAgAAuwQAAA4AAAAAAAAAAQAgAAAAKAEAAGRycy9lMm9Eb2MueG1s&#10;UEsFBgAAAAAGAAYAWQEAAAAGAAAAAA==&#10;">
                      <v:fill on="f" focussize="0,0"/>
                      <v:stroke on="f" weight="1pt" miterlimit="8" joinstyle="miter"/>
                      <v:imagedata o:title=""/>
                      <o:lock v:ext="edit" aspectratio="f"/>
                      <v:textbox>
                        <w:txbxContent>
                          <w:p>
                            <w:pPr>
                              <w:jc w:val="center"/>
                              <w:rPr>
                                <w:b/>
                                <w:bCs/>
                                <w:color w:val="FF0000"/>
                              </w:rPr>
                            </w:pPr>
                            <w:r>
                              <w:rPr>
                                <w:rFonts w:hint="eastAsia"/>
                                <w:b/>
                                <w:bCs/>
                                <w:color w:val="FF0000"/>
                              </w:rPr>
                              <w:t>本项目</w:t>
                            </w:r>
                          </w:p>
                        </w:txbxContent>
                      </v:textbox>
                    </v: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1946910</wp:posOffset>
                      </wp:positionH>
                      <wp:positionV relativeFrom="paragraph">
                        <wp:posOffset>1924685</wp:posOffset>
                      </wp:positionV>
                      <wp:extent cx="162560" cy="234315"/>
                      <wp:effectExtent l="5080" t="3810" r="22860" b="9525"/>
                      <wp:wrapNone/>
                      <wp:docPr id="7" name="直接连接符 23"/>
                      <wp:cNvGraphicFramePr/>
                      <a:graphic xmlns:a="http://schemas.openxmlformats.org/drawingml/2006/main">
                        <a:graphicData uri="http://schemas.microsoft.com/office/word/2010/wordprocessingShape">
                          <wps:wsp>
                            <wps:cNvCnPr/>
                            <wps:spPr>
                              <a:xfrm>
                                <a:off x="0" y="0"/>
                                <a:ext cx="162395" cy="234426"/>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id="直接连接符 23" o:spid="_x0000_s1026" o:spt="20" style="position:absolute;left:0pt;margin-left:153.3pt;margin-top:151.55pt;height:18.45pt;width:12.8pt;z-index:251665408;mso-width-relative:page;mso-height-relative:page;" filled="f" stroked="t" coordsize="21600,21600" o:gfxdata="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qIt8DZAAAACwEAAA8AAAAAAAAAAQAgAAAAIgAAAGRycy9kb3ducmV2&#10;LnhtbFBLAQIUABQAAAAIAIdO4kBhLUfH+wEAANkDAAAOAAAAAAAAAAEAIAAAACgBAABkcnMvZTJv&#10;RG9jLnhtbFBLBQYAAAAABgAGAFkBAACVBQAAAAA=&#10;">
                      <v:fill on="f" focussize="0,0"/>
                      <v:stroke weight="1pt" color="#000000" miterlimit="8" joinstyle="miter"/>
                      <v:imagedata o:title=""/>
                      <o:lock v:ext="edit" aspectratio="f"/>
                    </v:line>
                  </w:pict>
                </mc:Fallback>
              </mc:AlternateContent>
            </w:r>
            <w:r>
              <w:drawing>
                <wp:inline distT="0" distB="0" distL="114300" distR="114300">
                  <wp:extent cx="4966335" cy="3515995"/>
                  <wp:effectExtent l="0" t="0" r="5715" b="8255"/>
                  <wp:docPr id="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pic:cNvPicPr>
                            <a:picLocks noChangeAspect="1"/>
                          </pic:cNvPicPr>
                        </pic:nvPicPr>
                        <pic:blipFill>
                          <a:blip r:embed="rId10"/>
                          <a:stretch>
                            <a:fillRect/>
                          </a:stretch>
                        </pic:blipFill>
                        <pic:spPr>
                          <a:xfrm>
                            <a:off x="0" y="0"/>
                            <a:ext cx="4966335" cy="3515995"/>
                          </a:xfrm>
                          <a:prstGeom prst="rect">
                            <a:avLst/>
                          </a:prstGeom>
                          <a:noFill/>
                          <a:ln>
                            <a:noFill/>
                          </a:ln>
                        </pic:spPr>
                      </pic:pic>
                    </a:graphicData>
                  </a:graphic>
                </wp:inline>
              </w:drawing>
            </w:r>
          </w:p>
          <w:p>
            <w:pPr>
              <w:pStyle w:val="2"/>
              <w:spacing w:before="0" w:after="0" w:line="360" w:lineRule="auto"/>
              <w:ind w:right="0"/>
              <w:jc w:val="center"/>
              <w:rPr>
                <w:sz w:val="24"/>
                <w:szCs w:val="24"/>
                <w:lang w:bidi="ar"/>
              </w:rPr>
            </w:pPr>
            <w:r>
              <w:rPr>
                <w:rFonts w:eastAsia="黑体"/>
                <w:spacing w:val="1"/>
                <w:sz w:val="24"/>
                <w:szCs w:val="24"/>
              </w:rPr>
              <w:t>图1-3    项目与达州市综合环境管控单元的位置关系</w:t>
            </w:r>
          </w:p>
          <w:p>
            <w:pPr>
              <w:autoSpaceDE w:val="0"/>
              <w:autoSpaceDN w:val="0"/>
              <w:spacing w:line="360" w:lineRule="auto"/>
              <w:ind w:firstLine="482" w:firstLineChars="200"/>
              <w:outlineLvl w:val="2"/>
              <w:rPr>
                <w:b/>
                <w:bCs/>
                <w:sz w:val="24"/>
              </w:rPr>
            </w:pPr>
            <w:r>
              <w:rPr>
                <w:b/>
                <w:bCs/>
                <w:sz w:val="24"/>
              </w:rPr>
              <w:t>（2）生态环境准入清单符合性分析</w:t>
            </w:r>
          </w:p>
          <w:p>
            <w:pPr>
              <w:autoSpaceDE w:val="0"/>
              <w:autoSpaceDN w:val="0"/>
              <w:spacing w:line="360" w:lineRule="auto"/>
              <w:ind w:firstLine="480" w:firstLineChars="200"/>
              <w:outlineLvl w:val="2"/>
              <w:rPr>
                <w:sz w:val="24"/>
              </w:rPr>
            </w:pPr>
            <w:r>
              <w:rPr>
                <w:sz w:val="24"/>
              </w:rPr>
              <w:t>本项目位于达州市通川区，结合《四川省达州市“三线一单”优化完善工作成果》（2021.5），本项目为双龙镇污水处理厂改扩建项目，本项目位于</w:t>
            </w:r>
            <w:r>
              <w:rPr>
                <w:b/>
                <w:bCs/>
                <w:sz w:val="24"/>
              </w:rPr>
              <w:t>城镇重点管控单元</w:t>
            </w:r>
            <w:r>
              <w:rPr>
                <w:sz w:val="24"/>
              </w:rPr>
              <w:t>，本次评价从空间布局约束、污染物排放管控、环境风险防控、资源开发效率等四个维度进行普适性清单管控要求进行符合性分析。</w:t>
            </w:r>
          </w:p>
          <w:p>
            <w:pPr>
              <w:pStyle w:val="2"/>
              <w:spacing w:before="0" w:after="0" w:line="360" w:lineRule="auto"/>
              <w:ind w:right="0" w:firstLine="480" w:firstLineChars="200"/>
              <w:rPr>
                <w:lang w:bidi="ar"/>
              </w:rPr>
            </w:pPr>
            <w:r>
              <w:rPr>
                <w:sz w:val="24"/>
                <w:szCs w:val="24"/>
                <w:lang w:bidi="ar"/>
              </w:rPr>
              <w:t>本次评价参照四川省“三线一单”符合性分析系统分析结果，分别从空间布局约束、污染物排放管控、环境风险防控、资源开发效率等四个维度进行单元级清单管控要求符合性分析。具体如下表。</w:t>
            </w:r>
          </w:p>
        </w:tc>
      </w:tr>
    </w:tbl>
    <w:p>
      <w:pPr>
        <w:autoSpaceDE w:val="0"/>
        <w:autoSpaceDN w:val="0"/>
        <w:adjustRightInd w:val="0"/>
        <w:snapToGrid w:val="0"/>
        <w:jc w:val="center"/>
        <w:rPr>
          <w:kern w:val="0"/>
          <w:szCs w:val="21"/>
        </w:rPr>
        <w:sectPr>
          <w:footerReference r:id="rId5" w:type="default"/>
          <w:pgSz w:w="11906" w:h="16838"/>
          <w:pgMar w:top="1701" w:right="1531" w:bottom="1701" w:left="1531" w:header="851" w:footer="1077" w:gutter="0"/>
          <w:pgNumType w:start="1"/>
          <w:cols w:space="720" w:num="1"/>
          <w:docGrid w:linePitch="312" w:charSpace="0"/>
        </w:sectPr>
      </w:pPr>
    </w:p>
    <w:p>
      <w:pPr>
        <w:jc w:val="center"/>
        <w:rPr>
          <w:rFonts w:eastAsia="黑体"/>
          <w:sz w:val="24"/>
        </w:rPr>
      </w:pPr>
      <w:r>
        <w:rPr>
          <w:rFonts w:eastAsia="黑体"/>
          <w:sz w:val="24"/>
        </w:rPr>
        <w:t>表1-3    本项目生态环境准入清单符合性分析一览表</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694"/>
        <w:gridCol w:w="266"/>
        <w:gridCol w:w="737"/>
        <w:gridCol w:w="1335"/>
        <w:gridCol w:w="6511"/>
        <w:gridCol w:w="2312"/>
        <w:gridCol w:w="6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859" w:type="pct"/>
            <w:gridSpan w:val="5"/>
            <w:shd w:val="clear" w:color="auto" w:fill="CCFFFF"/>
            <w:noWrap w:val="0"/>
            <w:vAlign w:val="center"/>
          </w:tcPr>
          <w:p>
            <w:pPr>
              <w:adjustRightInd w:val="0"/>
              <w:snapToGrid w:val="0"/>
              <w:contextualSpacing/>
              <w:jc w:val="center"/>
              <w:rPr>
                <w:b/>
                <w:bCs/>
                <w:szCs w:val="21"/>
              </w:rPr>
            </w:pPr>
            <w:r>
              <w:rPr>
                <w:b/>
                <w:bCs/>
                <w:szCs w:val="21"/>
              </w:rPr>
              <w:t>“三线一单”具体要求</w:t>
            </w:r>
          </w:p>
        </w:tc>
        <w:tc>
          <w:tcPr>
            <w:tcW w:w="881" w:type="pct"/>
            <w:vMerge w:val="restart"/>
            <w:shd w:val="clear" w:color="auto" w:fill="CCFFFF"/>
            <w:noWrap w:val="0"/>
            <w:vAlign w:val="center"/>
          </w:tcPr>
          <w:p>
            <w:pPr>
              <w:adjustRightInd w:val="0"/>
              <w:snapToGrid w:val="0"/>
              <w:contextualSpacing/>
              <w:jc w:val="center"/>
              <w:rPr>
                <w:b/>
                <w:bCs/>
                <w:szCs w:val="21"/>
              </w:rPr>
            </w:pPr>
            <w:r>
              <w:rPr>
                <w:b/>
                <w:bCs/>
                <w:szCs w:val="21"/>
              </w:rPr>
              <w:t>项目对应情况介绍</w:t>
            </w:r>
          </w:p>
        </w:tc>
        <w:tc>
          <w:tcPr>
            <w:tcW w:w="260" w:type="pct"/>
            <w:vMerge w:val="restart"/>
            <w:shd w:val="clear" w:color="auto" w:fill="CCFFFF"/>
            <w:noWrap w:val="0"/>
            <w:vAlign w:val="center"/>
          </w:tcPr>
          <w:p>
            <w:pPr>
              <w:adjustRightInd w:val="0"/>
              <w:snapToGrid w:val="0"/>
              <w:contextualSpacing/>
              <w:jc w:val="center"/>
              <w:rPr>
                <w:b/>
                <w:bCs/>
                <w:szCs w:val="21"/>
              </w:rPr>
            </w:pPr>
            <w:r>
              <w:rPr>
                <w:b/>
                <w:bCs/>
                <w:szCs w:val="21"/>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903" w:type="pct"/>
            <w:gridSpan w:val="3"/>
            <w:shd w:val="clear" w:color="auto" w:fill="CCFFFF"/>
            <w:noWrap w:val="0"/>
            <w:vAlign w:val="center"/>
          </w:tcPr>
          <w:p>
            <w:pPr>
              <w:adjustRightInd w:val="0"/>
              <w:snapToGrid w:val="0"/>
              <w:contextualSpacing/>
              <w:jc w:val="center"/>
              <w:rPr>
                <w:b/>
                <w:bCs/>
                <w:szCs w:val="21"/>
              </w:rPr>
            </w:pPr>
            <w:r>
              <w:rPr>
                <w:b/>
                <w:bCs/>
                <w:szCs w:val="21"/>
              </w:rPr>
              <w:t>类别</w:t>
            </w:r>
          </w:p>
        </w:tc>
        <w:tc>
          <w:tcPr>
            <w:tcW w:w="2956" w:type="pct"/>
            <w:gridSpan w:val="2"/>
            <w:shd w:val="clear" w:color="auto" w:fill="CCFFFF"/>
            <w:noWrap w:val="0"/>
            <w:vAlign w:val="center"/>
          </w:tcPr>
          <w:p>
            <w:pPr>
              <w:adjustRightInd w:val="0"/>
              <w:snapToGrid w:val="0"/>
              <w:contextualSpacing/>
              <w:jc w:val="center"/>
              <w:rPr>
                <w:b/>
                <w:bCs/>
                <w:szCs w:val="21"/>
              </w:rPr>
            </w:pPr>
            <w:r>
              <w:rPr>
                <w:b/>
                <w:bCs/>
                <w:szCs w:val="21"/>
              </w:rPr>
              <w:t>对应管控要求</w:t>
            </w:r>
          </w:p>
        </w:tc>
        <w:tc>
          <w:tcPr>
            <w:tcW w:w="881" w:type="pct"/>
            <w:vMerge w:val="continue"/>
            <w:shd w:val="clear" w:color="auto" w:fill="CCFFFF"/>
            <w:noWrap w:val="0"/>
            <w:vAlign w:val="center"/>
          </w:tcPr>
          <w:p>
            <w:pPr>
              <w:adjustRightInd w:val="0"/>
              <w:snapToGrid w:val="0"/>
              <w:contextualSpacing/>
              <w:jc w:val="left"/>
              <w:rPr>
                <w:b/>
                <w:bCs/>
                <w:szCs w:val="21"/>
              </w:rPr>
            </w:pPr>
          </w:p>
        </w:tc>
        <w:tc>
          <w:tcPr>
            <w:tcW w:w="260" w:type="pct"/>
            <w:vMerge w:val="continue"/>
            <w:shd w:val="clear" w:color="auto" w:fill="CCFFFF"/>
            <w:noWrap w:val="0"/>
            <w:vAlign w:val="center"/>
          </w:tcPr>
          <w:p>
            <w:pPr>
              <w:adjustRightInd w:val="0"/>
              <w:snapToGrid w:val="0"/>
              <w:contextualSpacing/>
              <w:jc w:val="left"/>
              <w:rPr>
                <w:b/>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3" w:type="pct"/>
            <w:vMerge w:val="restart"/>
            <w:noWrap w:val="0"/>
            <w:vAlign w:val="center"/>
          </w:tcPr>
          <w:p>
            <w:pPr>
              <w:adjustRightInd w:val="0"/>
              <w:snapToGrid w:val="0"/>
              <w:contextualSpacing/>
              <w:rPr>
                <w:szCs w:val="21"/>
              </w:rPr>
            </w:pPr>
            <w:r>
              <w:rPr>
                <w:szCs w:val="21"/>
              </w:rPr>
              <w:t>达州市通川区环境综合管控单元城镇重点管控单元（通川区中心城区、ZH51170220001）</w:t>
            </w:r>
          </w:p>
        </w:tc>
        <w:tc>
          <w:tcPr>
            <w:tcW w:w="105" w:type="pct"/>
            <w:vMerge w:val="restart"/>
            <w:noWrap w:val="0"/>
            <w:vAlign w:val="center"/>
          </w:tcPr>
          <w:p>
            <w:pPr>
              <w:adjustRightInd w:val="0"/>
              <w:snapToGrid w:val="0"/>
              <w:contextualSpacing/>
              <w:jc w:val="left"/>
              <w:rPr>
                <w:szCs w:val="21"/>
              </w:rPr>
            </w:pPr>
            <w:r>
              <w:rPr>
                <w:szCs w:val="21"/>
              </w:rPr>
              <w:t>普适性清单管控</w:t>
            </w:r>
          </w:p>
        </w:tc>
        <w:tc>
          <w:tcPr>
            <w:tcW w:w="315" w:type="pct"/>
            <w:vMerge w:val="restart"/>
            <w:noWrap w:val="0"/>
            <w:vAlign w:val="center"/>
          </w:tcPr>
          <w:p>
            <w:pPr>
              <w:widowControl/>
              <w:jc w:val="center"/>
              <w:rPr>
                <w:szCs w:val="21"/>
              </w:rPr>
            </w:pPr>
            <w:r>
              <w:rPr>
                <w:szCs w:val="21"/>
              </w:rPr>
              <w:t>空间布局约束</w:t>
            </w:r>
          </w:p>
        </w:tc>
        <w:tc>
          <w:tcPr>
            <w:tcW w:w="519" w:type="pct"/>
            <w:noWrap w:val="0"/>
            <w:vAlign w:val="center"/>
          </w:tcPr>
          <w:p>
            <w:pPr>
              <w:widowControl/>
              <w:shd w:val="clear" w:color="auto" w:fill="FFFFFF"/>
              <w:jc w:val="center"/>
              <w:rPr>
                <w:szCs w:val="21"/>
              </w:rPr>
            </w:pPr>
            <w:r>
              <w:rPr>
                <w:szCs w:val="21"/>
              </w:rPr>
              <w:t>禁止开发建设活动的要求</w:t>
            </w:r>
          </w:p>
        </w:tc>
        <w:tc>
          <w:tcPr>
            <w:tcW w:w="2437" w:type="pct"/>
            <w:noWrap w:val="0"/>
            <w:vAlign w:val="center"/>
          </w:tcPr>
          <w:p>
            <w:pPr>
              <w:rPr>
                <w:kern w:val="0"/>
                <w:szCs w:val="21"/>
              </w:rPr>
            </w:pPr>
            <w:r>
              <w:rPr>
                <w:kern w:val="0"/>
                <w:szCs w:val="21"/>
              </w:rPr>
              <w:t>-禁止在长江干支流岸线一公里范围内新建、扩建化工园区和化工项目。禁止在长江干流岸线三公里范围内和重要支流岸线一公里范围内新建、改建、扩建尾矿库；但是以提升安全、生态环境保护水平为目的的改建除外。</w:t>
            </w:r>
          </w:p>
          <w:p>
            <w:pPr>
              <w:rPr>
                <w:kern w:val="0"/>
                <w:szCs w:val="21"/>
              </w:rPr>
            </w:pPr>
            <w:r>
              <w:rPr>
                <w:kern w:val="0"/>
                <w:szCs w:val="21"/>
              </w:rPr>
              <w:t>-原则上禁止新建工业企业（新建工业企业原则上都应在工业园区内建设）。</w:t>
            </w:r>
          </w:p>
          <w:p>
            <w:pPr>
              <w:rPr>
                <w:kern w:val="0"/>
                <w:szCs w:val="21"/>
              </w:rPr>
            </w:pPr>
            <w:r>
              <w:rPr>
                <w:kern w:val="0"/>
                <w:szCs w:val="21"/>
              </w:rPr>
              <w:t>-禁止在居民区、学校、医疗和养老机构等周边新建有色金属冶炼、焦化、化工、铅蓄电池制造等行业企业，有序搬迁或依法关闭对土壤造成严重污染的现有企业。</w:t>
            </w:r>
          </w:p>
          <w:p>
            <w:pPr>
              <w:rPr>
                <w:kern w:val="0"/>
                <w:szCs w:val="21"/>
              </w:rPr>
            </w:pPr>
            <w:r>
              <w:rPr>
                <w:kern w:val="0"/>
                <w:szCs w:val="21"/>
              </w:rPr>
              <w:t>-禁止在长江流域河湖管理范围内倾倒、填埋、堆放、弃置、处理固体废物。</w:t>
            </w:r>
          </w:p>
        </w:tc>
        <w:tc>
          <w:tcPr>
            <w:tcW w:w="881" w:type="pct"/>
            <w:noWrap w:val="0"/>
            <w:vAlign w:val="center"/>
          </w:tcPr>
          <w:p>
            <w:pPr>
              <w:adjustRightInd w:val="0"/>
              <w:snapToGrid w:val="0"/>
              <w:contextualSpacing/>
              <w:rPr>
                <w:szCs w:val="21"/>
              </w:rPr>
            </w:pPr>
            <w:r>
              <w:rPr>
                <w:szCs w:val="21"/>
              </w:rPr>
              <w:t>本项目位于达州市通川区双龙镇，项目为污水处理厂改扩建项目，不属于禁止开发建设活动。</w:t>
            </w:r>
          </w:p>
        </w:tc>
        <w:tc>
          <w:tcPr>
            <w:tcW w:w="260" w:type="pct"/>
            <w:vMerge w:val="restart"/>
            <w:noWrap w:val="0"/>
            <w:vAlign w:val="center"/>
          </w:tcPr>
          <w:p>
            <w:pPr>
              <w:adjustRightInd w:val="0"/>
              <w:snapToGrid w:val="0"/>
              <w:contextualSpacing/>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3" w:type="pct"/>
            <w:vMerge w:val="continue"/>
            <w:noWrap w:val="0"/>
            <w:vAlign w:val="center"/>
          </w:tcPr>
          <w:p>
            <w:pPr>
              <w:adjustRightInd w:val="0"/>
              <w:snapToGrid w:val="0"/>
              <w:contextualSpacing/>
              <w:jc w:val="left"/>
              <w:rPr>
                <w:szCs w:val="21"/>
              </w:rPr>
            </w:pPr>
          </w:p>
        </w:tc>
        <w:tc>
          <w:tcPr>
            <w:tcW w:w="105" w:type="pct"/>
            <w:vMerge w:val="continue"/>
            <w:noWrap w:val="0"/>
            <w:vAlign w:val="center"/>
          </w:tcPr>
          <w:p>
            <w:pPr>
              <w:adjustRightInd w:val="0"/>
              <w:snapToGrid w:val="0"/>
              <w:contextualSpacing/>
              <w:jc w:val="left"/>
              <w:rPr>
                <w:szCs w:val="21"/>
              </w:rPr>
            </w:pPr>
          </w:p>
        </w:tc>
        <w:tc>
          <w:tcPr>
            <w:tcW w:w="315" w:type="pct"/>
            <w:vMerge w:val="continue"/>
            <w:noWrap w:val="0"/>
            <w:vAlign w:val="center"/>
          </w:tcPr>
          <w:p>
            <w:pPr>
              <w:widowControl/>
              <w:jc w:val="center"/>
              <w:rPr>
                <w:szCs w:val="21"/>
              </w:rPr>
            </w:pPr>
          </w:p>
        </w:tc>
        <w:tc>
          <w:tcPr>
            <w:tcW w:w="519" w:type="pct"/>
            <w:noWrap w:val="0"/>
            <w:vAlign w:val="center"/>
          </w:tcPr>
          <w:p>
            <w:pPr>
              <w:widowControl/>
              <w:shd w:val="clear" w:color="auto" w:fill="FFFFFF"/>
              <w:jc w:val="center"/>
              <w:rPr>
                <w:szCs w:val="21"/>
              </w:rPr>
            </w:pPr>
            <w:r>
              <w:rPr>
                <w:szCs w:val="21"/>
              </w:rPr>
              <w:t>限制开发建设活动的要求</w:t>
            </w:r>
          </w:p>
        </w:tc>
        <w:tc>
          <w:tcPr>
            <w:tcW w:w="2437" w:type="pct"/>
            <w:noWrap w:val="0"/>
            <w:vAlign w:val="center"/>
          </w:tcPr>
          <w:p>
            <w:pPr>
              <w:rPr>
                <w:kern w:val="0"/>
                <w:szCs w:val="21"/>
              </w:rPr>
            </w:pPr>
            <w:r>
              <w:rPr>
                <w:kern w:val="0"/>
                <w:szCs w:val="21"/>
              </w:rPr>
              <w:t>-现有工业企业不得新增污染物排放。</w:t>
            </w:r>
          </w:p>
          <w:p>
            <w:pPr>
              <w:rPr>
                <w:kern w:val="0"/>
                <w:szCs w:val="21"/>
              </w:rPr>
            </w:pPr>
            <w:r>
              <w:rPr>
                <w:kern w:val="0"/>
                <w:szCs w:val="21"/>
              </w:rPr>
              <w:t>-允许企业以提升安全、生态环境保护水平为目的的改建，引导企业结合推进新型城镇化、产业结构调整和化解过剩产能等，退城入园，有序搬迁。</w:t>
            </w:r>
          </w:p>
          <w:p>
            <w:pPr>
              <w:rPr>
                <w:kern w:val="0"/>
                <w:szCs w:val="21"/>
              </w:rPr>
            </w:pPr>
            <w:r>
              <w:rPr>
                <w:kern w:val="0"/>
                <w:szCs w:val="21"/>
              </w:rPr>
              <w:t>-严格控制在城镇空间范围内新布设工业园区。若新布局工业园区，应符合达州市国土空间规划，并结合区域环境特点、三线成果、园区产业类别，充分论证选址的环境合理性。</w:t>
            </w:r>
          </w:p>
          <w:p>
            <w:pPr>
              <w:rPr>
                <w:kern w:val="0"/>
                <w:szCs w:val="21"/>
              </w:rPr>
            </w:pPr>
            <w:r>
              <w:rPr>
                <w:kern w:val="0"/>
                <w:szCs w:val="21"/>
              </w:rPr>
              <w:t>-严格控制新增建设用地规模，法定城乡规划除外</w:t>
            </w:r>
          </w:p>
        </w:tc>
        <w:tc>
          <w:tcPr>
            <w:tcW w:w="881" w:type="pct"/>
            <w:noWrap w:val="0"/>
            <w:vAlign w:val="center"/>
          </w:tcPr>
          <w:p>
            <w:pPr>
              <w:adjustRightInd w:val="0"/>
              <w:snapToGrid w:val="0"/>
              <w:contextualSpacing/>
              <w:rPr>
                <w:szCs w:val="21"/>
              </w:rPr>
            </w:pPr>
            <w:r>
              <w:rPr>
                <w:szCs w:val="21"/>
              </w:rPr>
              <w:t>本项目位于达州市通川区双龙镇，项目为污水处理厂改扩建项目，不属于限制开发活动。</w:t>
            </w:r>
          </w:p>
        </w:tc>
        <w:tc>
          <w:tcPr>
            <w:tcW w:w="260" w:type="pct"/>
            <w:vMerge w:val="continue"/>
            <w:noWrap w:val="0"/>
            <w:vAlign w:val="center"/>
          </w:tcPr>
          <w:p>
            <w:pPr>
              <w:adjustRightInd w:val="0"/>
              <w:snapToGrid w:val="0"/>
              <w:contextualSpacing/>
              <w:jc w:val="left"/>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3" w:type="pct"/>
            <w:vMerge w:val="continue"/>
            <w:noWrap w:val="0"/>
            <w:vAlign w:val="center"/>
          </w:tcPr>
          <w:p>
            <w:pPr>
              <w:adjustRightInd w:val="0"/>
              <w:snapToGrid w:val="0"/>
              <w:contextualSpacing/>
              <w:jc w:val="left"/>
              <w:rPr>
                <w:szCs w:val="21"/>
              </w:rPr>
            </w:pPr>
          </w:p>
        </w:tc>
        <w:tc>
          <w:tcPr>
            <w:tcW w:w="105" w:type="pct"/>
            <w:vMerge w:val="continue"/>
            <w:noWrap w:val="0"/>
            <w:vAlign w:val="center"/>
          </w:tcPr>
          <w:p>
            <w:pPr>
              <w:adjustRightInd w:val="0"/>
              <w:snapToGrid w:val="0"/>
              <w:contextualSpacing/>
              <w:jc w:val="left"/>
              <w:rPr>
                <w:szCs w:val="21"/>
              </w:rPr>
            </w:pPr>
          </w:p>
        </w:tc>
        <w:tc>
          <w:tcPr>
            <w:tcW w:w="315" w:type="pct"/>
            <w:vMerge w:val="continue"/>
            <w:noWrap w:val="0"/>
            <w:vAlign w:val="center"/>
          </w:tcPr>
          <w:p>
            <w:pPr>
              <w:widowControl/>
              <w:jc w:val="center"/>
              <w:rPr>
                <w:szCs w:val="21"/>
              </w:rPr>
            </w:pPr>
          </w:p>
        </w:tc>
        <w:tc>
          <w:tcPr>
            <w:tcW w:w="519" w:type="pct"/>
            <w:noWrap w:val="0"/>
            <w:vAlign w:val="center"/>
          </w:tcPr>
          <w:p>
            <w:pPr>
              <w:widowControl/>
              <w:shd w:val="clear" w:color="auto" w:fill="FFFFFF"/>
              <w:jc w:val="center"/>
              <w:rPr>
                <w:szCs w:val="21"/>
              </w:rPr>
            </w:pPr>
            <w:r>
              <w:rPr>
                <w:szCs w:val="21"/>
              </w:rPr>
              <w:t>不符合空间布局要求活动的退出要求</w:t>
            </w:r>
          </w:p>
        </w:tc>
        <w:tc>
          <w:tcPr>
            <w:tcW w:w="2437" w:type="pct"/>
            <w:noWrap w:val="0"/>
            <w:vAlign w:val="center"/>
          </w:tcPr>
          <w:p>
            <w:pPr>
              <w:rPr>
                <w:szCs w:val="21"/>
              </w:rPr>
            </w:pPr>
            <w:r>
              <w:rPr>
                <w:szCs w:val="21"/>
              </w:rPr>
              <w:t>-现有工业企业适时进行有序退出。</w:t>
            </w:r>
          </w:p>
          <w:p>
            <w:pPr>
              <w:rPr>
                <w:szCs w:val="21"/>
              </w:rPr>
            </w:pPr>
            <w:r>
              <w:rPr>
                <w:szCs w:val="21"/>
              </w:rPr>
              <w:t>-按照相关规划和要求，清理整顿非法采砂、非法码头，全面清除不合规码头。</w:t>
            </w:r>
          </w:p>
          <w:p>
            <w:pPr>
              <w:rPr>
                <w:szCs w:val="21"/>
              </w:rPr>
            </w:pPr>
            <w:r>
              <w:rPr>
                <w:szCs w:val="21"/>
              </w:rPr>
              <w:t>-在全市范围深入开展集中整治“散乱污”工业企业，对不符合产业政策和规划布局的，一律责令停产、限期搬迁或关停；</w:t>
            </w:r>
          </w:p>
          <w:p>
            <w:pPr>
              <w:rPr>
                <w:szCs w:val="21"/>
              </w:rPr>
            </w:pPr>
            <w:r>
              <w:rPr>
                <w:szCs w:val="21"/>
              </w:rPr>
              <w:t>-有序搬迁或依法关闭对土壤造成严重污染的现有企业。</w:t>
            </w:r>
          </w:p>
          <w:p>
            <w:pPr>
              <w:rPr>
                <w:szCs w:val="21"/>
              </w:rPr>
            </w:pPr>
            <w:r>
              <w:rPr>
                <w:szCs w:val="21"/>
              </w:rPr>
              <w:t>-到2025年，城镇人口密集区现有不符合安全和卫生防护距离要求的危险化学品生产企业搬迁进入规范化工园区或关闭退出。</w:t>
            </w:r>
          </w:p>
          <w:p>
            <w:pPr>
              <w:rPr>
                <w:szCs w:val="21"/>
              </w:rPr>
            </w:pPr>
            <w:r>
              <w:rPr>
                <w:szCs w:val="21"/>
              </w:rPr>
              <w:t>-不断优化长江经济带化工行业空间布局，有效控制化工污染。推进化工企业搬迁入园，加强化工园区基础设施建设。</w:t>
            </w:r>
          </w:p>
        </w:tc>
        <w:tc>
          <w:tcPr>
            <w:tcW w:w="881" w:type="pct"/>
            <w:noWrap w:val="0"/>
            <w:vAlign w:val="center"/>
          </w:tcPr>
          <w:p>
            <w:pPr>
              <w:adjustRightInd w:val="0"/>
              <w:snapToGrid w:val="0"/>
              <w:contextualSpacing/>
              <w:rPr>
                <w:szCs w:val="21"/>
              </w:rPr>
            </w:pPr>
            <w:r>
              <w:rPr>
                <w:szCs w:val="21"/>
              </w:rPr>
              <w:t>本项目位于达州市通川区双龙镇，属于污水处理及再生利用行业，不属于退出行业。</w:t>
            </w:r>
          </w:p>
        </w:tc>
        <w:tc>
          <w:tcPr>
            <w:tcW w:w="260" w:type="pct"/>
            <w:vMerge w:val="continue"/>
            <w:noWrap w:val="0"/>
            <w:vAlign w:val="center"/>
          </w:tcPr>
          <w:p>
            <w:pPr>
              <w:adjustRightInd w:val="0"/>
              <w:snapToGrid w:val="0"/>
              <w:contextualSpacing/>
              <w:jc w:val="left"/>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3" w:type="pct"/>
            <w:vMerge w:val="continue"/>
            <w:noWrap w:val="0"/>
            <w:vAlign w:val="center"/>
          </w:tcPr>
          <w:p>
            <w:pPr>
              <w:adjustRightInd w:val="0"/>
              <w:snapToGrid w:val="0"/>
              <w:contextualSpacing/>
              <w:jc w:val="left"/>
              <w:rPr>
                <w:szCs w:val="21"/>
              </w:rPr>
            </w:pPr>
          </w:p>
        </w:tc>
        <w:tc>
          <w:tcPr>
            <w:tcW w:w="105" w:type="pct"/>
            <w:vMerge w:val="continue"/>
            <w:noWrap w:val="0"/>
            <w:vAlign w:val="center"/>
          </w:tcPr>
          <w:p>
            <w:pPr>
              <w:adjustRightInd w:val="0"/>
              <w:snapToGrid w:val="0"/>
              <w:contextualSpacing/>
              <w:jc w:val="left"/>
              <w:rPr>
                <w:szCs w:val="21"/>
              </w:rPr>
            </w:pPr>
          </w:p>
        </w:tc>
        <w:tc>
          <w:tcPr>
            <w:tcW w:w="315" w:type="pct"/>
            <w:vMerge w:val="restart"/>
            <w:noWrap w:val="0"/>
            <w:vAlign w:val="center"/>
          </w:tcPr>
          <w:p>
            <w:pPr>
              <w:widowControl/>
              <w:jc w:val="center"/>
              <w:rPr>
                <w:szCs w:val="21"/>
              </w:rPr>
            </w:pPr>
            <w:r>
              <w:rPr>
                <w:szCs w:val="21"/>
              </w:rPr>
              <w:t>污染物排放管控</w:t>
            </w:r>
          </w:p>
        </w:tc>
        <w:tc>
          <w:tcPr>
            <w:tcW w:w="519" w:type="pct"/>
            <w:noWrap w:val="0"/>
            <w:vAlign w:val="center"/>
          </w:tcPr>
          <w:p>
            <w:pPr>
              <w:widowControl/>
              <w:shd w:val="clear" w:color="auto" w:fill="FFFFFF"/>
              <w:jc w:val="center"/>
              <w:rPr>
                <w:szCs w:val="21"/>
              </w:rPr>
            </w:pPr>
            <w:r>
              <w:rPr>
                <w:szCs w:val="21"/>
              </w:rPr>
              <w:t>允许排放量要求</w:t>
            </w:r>
          </w:p>
        </w:tc>
        <w:tc>
          <w:tcPr>
            <w:tcW w:w="2437" w:type="pct"/>
            <w:noWrap w:val="0"/>
            <w:vAlign w:val="center"/>
          </w:tcPr>
          <w:p>
            <w:pPr>
              <w:widowControl/>
              <w:shd w:val="clear" w:color="auto" w:fill="FFFFFF"/>
              <w:rPr>
                <w:szCs w:val="21"/>
              </w:rPr>
            </w:pPr>
            <w:r>
              <w:rPr>
                <w:szCs w:val="21"/>
              </w:rPr>
              <w:t>达州市2025年水污染物允许排放量COD33136.93t，氨氮2055.16t，TP252.53t；</w:t>
            </w:r>
          </w:p>
        </w:tc>
        <w:tc>
          <w:tcPr>
            <w:tcW w:w="881" w:type="pct"/>
            <w:noWrap w:val="0"/>
            <w:vAlign w:val="center"/>
          </w:tcPr>
          <w:p>
            <w:pPr>
              <w:adjustRightInd w:val="0"/>
              <w:snapToGrid w:val="0"/>
              <w:contextualSpacing/>
              <w:rPr>
                <w:szCs w:val="21"/>
              </w:rPr>
            </w:pPr>
            <w:r>
              <w:rPr>
                <w:szCs w:val="21"/>
              </w:rPr>
              <w:t>本项目属于污水处理及再生利用行业，本项目属于改扩建污水处理厂，污水处理量增加500m</w:t>
            </w:r>
            <w:r>
              <w:rPr>
                <w:szCs w:val="21"/>
                <w:vertAlign w:val="superscript"/>
              </w:rPr>
              <w:t>3</w:t>
            </w:r>
            <w:r>
              <w:rPr>
                <w:szCs w:val="21"/>
              </w:rPr>
              <w:t>/d，COD、氨氮排放量远远小于允许排放量。</w:t>
            </w:r>
          </w:p>
        </w:tc>
        <w:tc>
          <w:tcPr>
            <w:tcW w:w="260" w:type="pct"/>
            <w:noWrap w:val="0"/>
            <w:vAlign w:val="center"/>
          </w:tcPr>
          <w:p>
            <w:pPr>
              <w:adjustRightInd w:val="0"/>
              <w:snapToGrid w:val="0"/>
              <w:contextualSpacing/>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3" w:type="pct"/>
            <w:vMerge w:val="continue"/>
            <w:noWrap w:val="0"/>
            <w:vAlign w:val="center"/>
          </w:tcPr>
          <w:p>
            <w:pPr>
              <w:adjustRightInd w:val="0"/>
              <w:snapToGrid w:val="0"/>
              <w:contextualSpacing/>
              <w:jc w:val="left"/>
              <w:rPr>
                <w:szCs w:val="21"/>
              </w:rPr>
            </w:pPr>
          </w:p>
        </w:tc>
        <w:tc>
          <w:tcPr>
            <w:tcW w:w="105" w:type="pct"/>
            <w:vMerge w:val="continue"/>
            <w:noWrap w:val="0"/>
            <w:vAlign w:val="center"/>
          </w:tcPr>
          <w:p>
            <w:pPr>
              <w:adjustRightInd w:val="0"/>
              <w:snapToGrid w:val="0"/>
              <w:contextualSpacing/>
              <w:jc w:val="left"/>
              <w:rPr>
                <w:szCs w:val="21"/>
              </w:rPr>
            </w:pPr>
          </w:p>
        </w:tc>
        <w:tc>
          <w:tcPr>
            <w:tcW w:w="315" w:type="pct"/>
            <w:vMerge w:val="continue"/>
            <w:noWrap w:val="0"/>
            <w:vAlign w:val="center"/>
          </w:tcPr>
          <w:p>
            <w:pPr>
              <w:widowControl/>
              <w:jc w:val="center"/>
              <w:rPr>
                <w:szCs w:val="21"/>
              </w:rPr>
            </w:pPr>
          </w:p>
        </w:tc>
        <w:tc>
          <w:tcPr>
            <w:tcW w:w="519" w:type="pct"/>
            <w:noWrap w:val="0"/>
            <w:vAlign w:val="center"/>
          </w:tcPr>
          <w:p>
            <w:pPr>
              <w:widowControl/>
              <w:shd w:val="clear" w:color="auto" w:fill="FFFFFF"/>
              <w:jc w:val="center"/>
              <w:rPr>
                <w:szCs w:val="21"/>
              </w:rPr>
            </w:pPr>
            <w:r>
              <w:rPr>
                <w:szCs w:val="21"/>
              </w:rPr>
              <w:t>现有源提标升级改造</w:t>
            </w:r>
          </w:p>
        </w:tc>
        <w:tc>
          <w:tcPr>
            <w:tcW w:w="2437" w:type="pct"/>
            <w:noWrap w:val="0"/>
            <w:vAlign w:val="center"/>
          </w:tcPr>
          <w:p>
            <w:pPr>
              <w:widowControl/>
              <w:shd w:val="clear" w:color="auto" w:fill="FFFFFF"/>
              <w:rPr>
                <w:szCs w:val="21"/>
              </w:rPr>
            </w:pPr>
            <w:r>
              <w:rPr>
                <w:szCs w:val="21"/>
              </w:rPr>
              <w:t>-到2025年，水环境敏感地区污水处理基本达到一级A排放标准。</w:t>
            </w:r>
          </w:p>
          <w:p>
            <w:pPr>
              <w:widowControl/>
              <w:shd w:val="clear" w:color="auto" w:fill="FFFFFF"/>
              <w:rPr>
                <w:szCs w:val="21"/>
              </w:rPr>
            </w:pPr>
            <w:r>
              <w:rPr>
                <w:szCs w:val="21"/>
              </w:rPr>
              <w:t>-燃气锅炉升级改造，达到特别排放限值。</w:t>
            </w:r>
          </w:p>
          <w:p>
            <w:pPr>
              <w:widowControl/>
              <w:shd w:val="clear" w:color="auto" w:fill="FFFFFF"/>
              <w:rPr>
                <w:szCs w:val="21"/>
              </w:rPr>
            </w:pPr>
            <w:r>
              <w:rPr>
                <w:szCs w:val="21"/>
              </w:rPr>
              <w:t>-城市污水处理厂进水生化需氧量（BOD）浓度低于100mgL的，要围绕服务片区管网，系统排查进水浓度偏低的原因，科学确定水质提升目标，制定并实施“一厂一策”系统化整治方案，稳步提升污水收集处理设施效能。</w:t>
            </w:r>
          </w:p>
        </w:tc>
        <w:tc>
          <w:tcPr>
            <w:tcW w:w="881" w:type="pct"/>
            <w:noWrap w:val="0"/>
            <w:vAlign w:val="center"/>
          </w:tcPr>
          <w:p>
            <w:pPr>
              <w:adjustRightInd w:val="0"/>
              <w:snapToGrid w:val="0"/>
              <w:contextualSpacing/>
              <w:rPr>
                <w:szCs w:val="21"/>
              </w:rPr>
            </w:pPr>
            <w:r>
              <w:rPr>
                <w:szCs w:val="21"/>
              </w:rPr>
              <w:t>本项目属于污水处理厂改扩建项目，属于污水处理及再生利用行业，项目排水执行《城镇污水处理厂污染物排放标准》（GB18918-2002）一级A标准后排入双龙河。</w:t>
            </w:r>
          </w:p>
        </w:tc>
        <w:tc>
          <w:tcPr>
            <w:tcW w:w="260" w:type="pct"/>
            <w:noWrap w:val="0"/>
            <w:vAlign w:val="center"/>
          </w:tcPr>
          <w:p>
            <w:pPr>
              <w:adjustRightInd w:val="0"/>
              <w:snapToGrid w:val="0"/>
              <w:contextualSpacing/>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3" w:type="pct"/>
            <w:vMerge w:val="continue"/>
            <w:noWrap w:val="0"/>
            <w:vAlign w:val="center"/>
          </w:tcPr>
          <w:p>
            <w:pPr>
              <w:adjustRightInd w:val="0"/>
              <w:snapToGrid w:val="0"/>
              <w:contextualSpacing/>
              <w:jc w:val="left"/>
              <w:rPr>
                <w:szCs w:val="21"/>
              </w:rPr>
            </w:pPr>
          </w:p>
        </w:tc>
        <w:tc>
          <w:tcPr>
            <w:tcW w:w="105" w:type="pct"/>
            <w:vMerge w:val="continue"/>
            <w:noWrap w:val="0"/>
            <w:vAlign w:val="center"/>
          </w:tcPr>
          <w:p>
            <w:pPr>
              <w:adjustRightInd w:val="0"/>
              <w:snapToGrid w:val="0"/>
              <w:contextualSpacing/>
              <w:jc w:val="left"/>
              <w:rPr>
                <w:szCs w:val="21"/>
              </w:rPr>
            </w:pPr>
          </w:p>
        </w:tc>
        <w:tc>
          <w:tcPr>
            <w:tcW w:w="315" w:type="pct"/>
            <w:vMerge w:val="continue"/>
            <w:noWrap w:val="0"/>
            <w:vAlign w:val="center"/>
          </w:tcPr>
          <w:p>
            <w:pPr>
              <w:widowControl/>
              <w:jc w:val="center"/>
              <w:rPr>
                <w:szCs w:val="21"/>
              </w:rPr>
            </w:pPr>
          </w:p>
        </w:tc>
        <w:tc>
          <w:tcPr>
            <w:tcW w:w="519" w:type="pct"/>
            <w:noWrap w:val="0"/>
            <w:vAlign w:val="center"/>
          </w:tcPr>
          <w:p>
            <w:pPr>
              <w:widowControl/>
              <w:shd w:val="clear" w:color="auto" w:fill="FFFFFF"/>
              <w:jc w:val="center"/>
              <w:rPr>
                <w:szCs w:val="21"/>
              </w:rPr>
            </w:pPr>
            <w:r>
              <w:rPr>
                <w:szCs w:val="21"/>
              </w:rPr>
              <w:t>其他污染物排放管控要求</w:t>
            </w:r>
          </w:p>
        </w:tc>
        <w:tc>
          <w:tcPr>
            <w:tcW w:w="2437" w:type="pct"/>
            <w:noWrap w:val="0"/>
            <w:vAlign w:val="center"/>
          </w:tcPr>
          <w:p>
            <w:pPr>
              <w:widowControl/>
              <w:shd w:val="clear" w:color="auto" w:fill="FFFFFF"/>
              <w:rPr>
                <w:szCs w:val="21"/>
              </w:rPr>
            </w:pPr>
            <w:r>
              <w:rPr>
                <w:szCs w:val="21"/>
              </w:rPr>
              <w:t>新增源等量或倍量替代：-上一年度水环境质量未完成目标的，新建排放水污染的建设项目按照总量管控要求进行倍量削减替代。</w:t>
            </w:r>
          </w:p>
          <w:p>
            <w:pPr>
              <w:widowControl/>
              <w:shd w:val="clear" w:color="auto" w:fill="FFFFFF"/>
              <w:rPr>
                <w:szCs w:val="21"/>
              </w:rPr>
            </w:pPr>
            <w:r>
              <w:rPr>
                <w:szCs w:val="21"/>
              </w:rPr>
              <w:t>-上一年度空气质量年平均浓度不达标的城市，建设项目新增相关污染物按照总量管控要求进行倍量削减替代。加快城市天然气利用，增加天然气对煤炭和石油的替代，提高天然气民用、交通、发电、工业领域天然气消费比重。</w:t>
            </w:r>
          </w:p>
          <w:p>
            <w:pPr>
              <w:shd w:val="clear" w:color="auto" w:fill="FFFFFF"/>
              <w:rPr>
                <w:szCs w:val="21"/>
              </w:rPr>
            </w:pPr>
            <w:r>
              <w:rPr>
                <w:szCs w:val="21"/>
              </w:rPr>
              <w:t>污染物排放绩效水平准入要求：严格落实建设工地管理要求，做好扬尘污染管控工作。</w:t>
            </w:r>
          </w:p>
          <w:p>
            <w:pPr>
              <w:shd w:val="clear" w:color="auto" w:fill="FFFFFF"/>
              <w:rPr>
                <w:szCs w:val="21"/>
              </w:rPr>
            </w:pPr>
            <w:r>
              <w:rPr>
                <w:szCs w:val="21"/>
              </w:rPr>
              <w:t>-从事机动车修理、印刷、服装干洗、研发等排放挥发性有机污染物的生产作业，应当按照有关技术规范进行综合治理。禁止露天和敞开式喷漆作业；包装印刷业必须使用符合环保要求的油墨；餐饮服务业油烟和废水必须经处理达到相应排放标准要求。</w:t>
            </w:r>
          </w:p>
          <w:p>
            <w:pPr>
              <w:shd w:val="clear" w:color="auto" w:fill="FFFFFF"/>
              <w:rPr>
                <w:szCs w:val="21"/>
              </w:rPr>
            </w:pPr>
            <w:r>
              <w:rPr>
                <w:szCs w:val="21"/>
              </w:rPr>
              <w:t>-建材行业原料破碎、生产、运输、装卸等各环节严格落实抑尘措施，有效控制粉尘无组织排放。-到2023年，城市污泥无害化处置率和资源化利用率进一步提高，力争达州市鲜家坝、周家坝城市生活污水处理厂污泥无害化处置率达92%、各县（市）城市达85%；城市生活污水资源化利用水平明显提升。-到2023年基本实现原生生活垃圾“零填埋”，鼓励跨区域统筹建设焚烧处理设施，在生活垃圾日清运量不足300吨的地区探索开展小型生活垃圾焚烧设施试点；生活垃圾回收利用率力争达30%以上。</w:t>
            </w:r>
          </w:p>
          <w:p>
            <w:pPr>
              <w:shd w:val="clear" w:color="auto" w:fill="FFFFFF"/>
              <w:rPr>
                <w:szCs w:val="21"/>
              </w:rPr>
            </w:pPr>
            <w:r>
              <w:rPr>
                <w:szCs w:val="21"/>
              </w:rPr>
              <w:t>-实施密闭化收运，推广干湿分类收运。强化垃圾渗滤液、焚烧飞灰安全处置，城市生活垃圾无害化处理率保持100%。</w:t>
            </w:r>
          </w:p>
          <w:p>
            <w:pPr>
              <w:shd w:val="clear" w:color="auto" w:fill="FFFFFF"/>
              <w:rPr>
                <w:szCs w:val="21"/>
              </w:rPr>
            </w:pPr>
            <w:r>
              <w:rPr>
                <w:szCs w:val="21"/>
              </w:rPr>
              <w:t>-到2023年，力争全省生活垃圾焚烧处理能力占比达60%以上，地级以上城市具备厨余垃圾集中处理能力；县城生活垃圾无害化处理率保持95%以上，乡镇及行</w:t>
            </w:r>
            <w:r>
              <w:rPr>
                <w:rFonts w:hint="eastAsia"/>
                <w:szCs w:val="21"/>
              </w:rPr>
              <w:t>政治生活</w:t>
            </w:r>
            <w:r>
              <w:rPr>
                <w:szCs w:val="21"/>
              </w:rPr>
              <w:t>垃圾收转运处置体系基本实现全覆盖；</w:t>
            </w:r>
          </w:p>
          <w:p>
            <w:pPr>
              <w:widowControl/>
              <w:shd w:val="clear" w:color="auto" w:fill="FFFFFF"/>
              <w:rPr>
                <w:szCs w:val="21"/>
              </w:rPr>
            </w:pPr>
            <w:r>
              <w:rPr>
                <w:szCs w:val="21"/>
              </w:rPr>
              <w:t>-2030年，渠江流域用水总量控制在31.61亿m</w:t>
            </w:r>
            <w:r>
              <w:rPr>
                <w:szCs w:val="21"/>
                <w:vertAlign w:val="superscript"/>
              </w:rPr>
              <w:t>3</w:t>
            </w:r>
            <w:r>
              <w:rPr>
                <w:szCs w:val="21"/>
              </w:rPr>
              <w:t>以内，渠江干流COD排放总量限制在4.89万t/a内、NH</w:t>
            </w:r>
            <w:r>
              <w:rPr>
                <w:szCs w:val="21"/>
                <w:vertAlign w:val="subscript"/>
              </w:rPr>
              <w:t>3</w:t>
            </w:r>
            <w:r>
              <w:rPr>
                <w:szCs w:val="21"/>
              </w:rPr>
              <w:t>-N排放总量限制在0.54万ta内。全面推进节水型社会建设，加强河湖（库）水域岸线保护及管理，加强入河排污口规范化建设，加强工业污染、农业农村污染、船舶港口污染防治。对流域内饮用水源地进行有效保护及规范化建设。-到2025年，基本消除城市建成区生活污水直排口和收集处理率设施空白区，城市生活污水集中收集率力争达到70%以上；城市和县城水处理能力基本满足经济社会发展需要，县城污水处理达到95%以上；</w:t>
            </w:r>
          </w:p>
        </w:tc>
        <w:tc>
          <w:tcPr>
            <w:tcW w:w="881" w:type="pct"/>
            <w:noWrap w:val="0"/>
            <w:vAlign w:val="center"/>
          </w:tcPr>
          <w:p>
            <w:pPr>
              <w:adjustRightInd w:val="0"/>
              <w:snapToGrid w:val="0"/>
              <w:contextualSpacing/>
              <w:rPr>
                <w:szCs w:val="21"/>
              </w:rPr>
            </w:pPr>
            <w:r>
              <w:rPr>
                <w:szCs w:val="21"/>
              </w:rPr>
              <w:t>本项目属于污水处理厂改扩建项目，项目排水执行《城镇污水处理厂污染物排放标准》（GB18918-2002）一级A标准后排入双龙河。</w:t>
            </w:r>
          </w:p>
          <w:p>
            <w:pPr>
              <w:adjustRightInd w:val="0"/>
              <w:snapToGrid w:val="0"/>
              <w:contextualSpacing/>
              <w:rPr>
                <w:szCs w:val="21"/>
              </w:rPr>
            </w:pPr>
            <w:r>
              <w:rPr>
                <w:szCs w:val="21"/>
              </w:rPr>
              <w:t>项目污泥处置实现无害化处置。</w:t>
            </w:r>
          </w:p>
          <w:p>
            <w:pPr>
              <w:adjustRightInd w:val="0"/>
              <w:snapToGrid w:val="0"/>
              <w:contextualSpacing/>
              <w:rPr>
                <w:szCs w:val="21"/>
              </w:rPr>
            </w:pPr>
            <w:r>
              <w:rPr>
                <w:szCs w:val="21"/>
              </w:rPr>
              <w:t>项目的建设有利于改善双龙河的水质，为正效益项目。</w:t>
            </w:r>
          </w:p>
        </w:tc>
        <w:tc>
          <w:tcPr>
            <w:tcW w:w="260" w:type="pct"/>
            <w:noWrap w:val="0"/>
            <w:vAlign w:val="center"/>
          </w:tcPr>
          <w:p>
            <w:pPr>
              <w:adjustRightInd w:val="0"/>
              <w:snapToGrid w:val="0"/>
              <w:contextualSpacing/>
              <w:jc w:val="left"/>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3" w:type="pct"/>
            <w:vMerge w:val="continue"/>
            <w:noWrap w:val="0"/>
            <w:vAlign w:val="center"/>
          </w:tcPr>
          <w:p>
            <w:pPr>
              <w:adjustRightInd w:val="0"/>
              <w:snapToGrid w:val="0"/>
              <w:contextualSpacing/>
              <w:jc w:val="left"/>
              <w:rPr>
                <w:szCs w:val="21"/>
              </w:rPr>
            </w:pPr>
          </w:p>
        </w:tc>
        <w:tc>
          <w:tcPr>
            <w:tcW w:w="105" w:type="pct"/>
            <w:vMerge w:val="continue"/>
            <w:noWrap w:val="0"/>
            <w:vAlign w:val="center"/>
          </w:tcPr>
          <w:p>
            <w:pPr>
              <w:adjustRightInd w:val="0"/>
              <w:snapToGrid w:val="0"/>
              <w:contextualSpacing/>
              <w:jc w:val="left"/>
              <w:rPr>
                <w:szCs w:val="21"/>
              </w:rPr>
            </w:pPr>
          </w:p>
        </w:tc>
        <w:tc>
          <w:tcPr>
            <w:tcW w:w="315" w:type="pct"/>
            <w:vMerge w:val="restart"/>
            <w:noWrap w:val="0"/>
            <w:vAlign w:val="center"/>
          </w:tcPr>
          <w:p>
            <w:pPr>
              <w:widowControl/>
              <w:jc w:val="center"/>
              <w:rPr>
                <w:szCs w:val="21"/>
              </w:rPr>
            </w:pPr>
            <w:r>
              <w:rPr>
                <w:szCs w:val="21"/>
              </w:rPr>
              <w:t>环境风险防控</w:t>
            </w:r>
          </w:p>
        </w:tc>
        <w:tc>
          <w:tcPr>
            <w:tcW w:w="519" w:type="pct"/>
            <w:noWrap w:val="0"/>
            <w:vAlign w:val="center"/>
          </w:tcPr>
          <w:p>
            <w:pPr>
              <w:widowControl/>
              <w:shd w:val="clear" w:color="auto" w:fill="FFFFFF"/>
              <w:jc w:val="center"/>
              <w:rPr>
                <w:szCs w:val="21"/>
              </w:rPr>
            </w:pPr>
            <w:r>
              <w:rPr>
                <w:szCs w:val="21"/>
              </w:rPr>
              <w:t>联防联控要求</w:t>
            </w:r>
          </w:p>
        </w:tc>
        <w:tc>
          <w:tcPr>
            <w:tcW w:w="2437" w:type="pct"/>
            <w:noWrap w:val="0"/>
            <w:vAlign w:val="center"/>
          </w:tcPr>
          <w:p>
            <w:pPr>
              <w:widowControl/>
              <w:shd w:val="clear" w:color="auto" w:fill="FFFFFF"/>
              <w:rPr>
                <w:szCs w:val="21"/>
              </w:rPr>
            </w:pPr>
            <w:r>
              <w:rPr>
                <w:szCs w:val="21"/>
              </w:rPr>
              <w:t>企业环境风险防控要求：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w:t>
            </w:r>
            <w:r>
              <w:rPr>
                <w:rFonts w:hint="eastAsia"/>
                <w:szCs w:val="21"/>
                <w:lang w:eastAsia="zh-CN"/>
              </w:rPr>
              <w:t>大气污染防治</w:t>
            </w:r>
            <w:r>
              <w:rPr>
                <w:szCs w:val="21"/>
              </w:rPr>
              <w:t>合作</w:t>
            </w:r>
          </w:p>
        </w:tc>
        <w:tc>
          <w:tcPr>
            <w:tcW w:w="881" w:type="pct"/>
            <w:noWrap w:val="0"/>
            <w:vAlign w:val="center"/>
          </w:tcPr>
          <w:p>
            <w:pPr>
              <w:adjustRightInd w:val="0"/>
              <w:snapToGrid w:val="0"/>
              <w:contextualSpacing/>
              <w:rPr>
                <w:szCs w:val="21"/>
              </w:rPr>
            </w:pPr>
            <w:r>
              <w:rPr>
                <w:szCs w:val="21"/>
              </w:rPr>
              <w:t>项目不涉及。</w:t>
            </w:r>
          </w:p>
        </w:tc>
        <w:tc>
          <w:tcPr>
            <w:tcW w:w="260" w:type="pct"/>
            <w:noWrap w:val="0"/>
            <w:vAlign w:val="center"/>
          </w:tcPr>
          <w:p>
            <w:pPr>
              <w:adjustRightInd w:val="0"/>
              <w:snapToGrid w:val="0"/>
              <w:contextualSpacing/>
              <w:jc w:val="left"/>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3" w:type="pct"/>
            <w:vMerge w:val="continue"/>
            <w:noWrap w:val="0"/>
            <w:vAlign w:val="center"/>
          </w:tcPr>
          <w:p>
            <w:pPr>
              <w:adjustRightInd w:val="0"/>
              <w:snapToGrid w:val="0"/>
              <w:contextualSpacing/>
              <w:jc w:val="left"/>
              <w:rPr>
                <w:szCs w:val="21"/>
              </w:rPr>
            </w:pPr>
          </w:p>
        </w:tc>
        <w:tc>
          <w:tcPr>
            <w:tcW w:w="105" w:type="pct"/>
            <w:vMerge w:val="continue"/>
            <w:noWrap w:val="0"/>
            <w:vAlign w:val="center"/>
          </w:tcPr>
          <w:p>
            <w:pPr>
              <w:adjustRightInd w:val="0"/>
              <w:snapToGrid w:val="0"/>
              <w:contextualSpacing/>
              <w:jc w:val="left"/>
              <w:rPr>
                <w:szCs w:val="21"/>
              </w:rPr>
            </w:pPr>
          </w:p>
        </w:tc>
        <w:tc>
          <w:tcPr>
            <w:tcW w:w="315" w:type="pct"/>
            <w:vMerge w:val="continue"/>
            <w:noWrap w:val="0"/>
            <w:vAlign w:val="center"/>
          </w:tcPr>
          <w:p>
            <w:pPr>
              <w:widowControl/>
              <w:jc w:val="center"/>
              <w:rPr>
                <w:szCs w:val="21"/>
              </w:rPr>
            </w:pPr>
          </w:p>
        </w:tc>
        <w:tc>
          <w:tcPr>
            <w:tcW w:w="519" w:type="pct"/>
            <w:noWrap w:val="0"/>
            <w:vAlign w:val="center"/>
          </w:tcPr>
          <w:p>
            <w:pPr>
              <w:widowControl/>
              <w:shd w:val="clear" w:color="auto" w:fill="FFFFFF"/>
              <w:jc w:val="center"/>
              <w:rPr>
                <w:szCs w:val="21"/>
              </w:rPr>
            </w:pPr>
            <w:r>
              <w:rPr>
                <w:szCs w:val="21"/>
              </w:rPr>
              <w:t>其他环境风险防控要求</w:t>
            </w:r>
          </w:p>
        </w:tc>
        <w:tc>
          <w:tcPr>
            <w:tcW w:w="2437" w:type="pct"/>
            <w:noWrap w:val="0"/>
            <w:vAlign w:val="center"/>
          </w:tcPr>
          <w:p>
            <w:pPr>
              <w:widowControl/>
              <w:shd w:val="clear" w:color="auto" w:fill="FFFFFF"/>
              <w:rPr>
                <w:szCs w:val="21"/>
              </w:rPr>
            </w:pPr>
            <w:r>
              <w:rPr>
                <w:szCs w:val="21"/>
              </w:rPr>
              <w:t>企业环境风险防控要求：现有涉及五类重金属的企业，不得新增污染物排放，限期退城入园或关停。用地环境风险防控要求：工业企业退出用地，须经评估、修复满足相应用地功能后，方可改变用途。</w:t>
            </w:r>
          </w:p>
        </w:tc>
        <w:tc>
          <w:tcPr>
            <w:tcW w:w="881" w:type="pct"/>
            <w:noWrap w:val="0"/>
            <w:vAlign w:val="center"/>
          </w:tcPr>
          <w:p>
            <w:pPr>
              <w:adjustRightInd w:val="0"/>
              <w:snapToGrid w:val="0"/>
              <w:contextualSpacing/>
              <w:rPr>
                <w:szCs w:val="21"/>
              </w:rPr>
            </w:pPr>
            <w:r>
              <w:rPr>
                <w:szCs w:val="21"/>
              </w:rPr>
              <w:t>项目不涉及。</w:t>
            </w:r>
          </w:p>
        </w:tc>
        <w:tc>
          <w:tcPr>
            <w:tcW w:w="260" w:type="pct"/>
            <w:noWrap w:val="0"/>
            <w:vAlign w:val="center"/>
          </w:tcPr>
          <w:p>
            <w:pPr>
              <w:adjustRightInd w:val="0"/>
              <w:snapToGrid w:val="0"/>
              <w:contextualSpacing/>
              <w:jc w:val="left"/>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3" w:type="pct"/>
            <w:vMerge w:val="continue"/>
            <w:noWrap w:val="0"/>
            <w:vAlign w:val="center"/>
          </w:tcPr>
          <w:p>
            <w:pPr>
              <w:adjustRightInd w:val="0"/>
              <w:snapToGrid w:val="0"/>
              <w:contextualSpacing/>
              <w:jc w:val="left"/>
              <w:rPr>
                <w:szCs w:val="21"/>
              </w:rPr>
            </w:pPr>
          </w:p>
        </w:tc>
        <w:tc>
          <w:tcPr>
            <w:tcW w:w="105" w:type="pct"/>
            <w:vMerge w:val="continue"/>
            <w:noWrap w:val="0"/>
            <w:vAlign w:val="center"/>
          </w:tcPr>
          <w:p>
            <w:pPr>
              <w:adjustRightInd w:val="0"/>
              <w:snapToGrid w:val="0"/>
              <w:contextualSpacing/>
              <w:jc w:val="left"/>
              <w:rPr>
                <w:szCs w:val="21"/>
              </w:rPr>
            </w:pPr>
          </w:p>
        </w:tc>
        <w:tc>
          <w:tcPr>
            <w:tcW w:w="315" w:type="pct"/>
            <w:vMerge w:val="restart"/>
            <w:noWrap w:val="0"/>
            <w:vAlign w:val="center"/>
          </w:tcPr>
          <w:p>
            <w:pPr>
              <w:widowControl/>
              <w:jc w:val="center"/>
              <w:rPr>
                <w:szCs w:val="21"/>
              </w:rPr>
            </w:pPr>
            <w:r>
              <w:rPr>
                <w:szCs w:val="21"/>
              </w:rPr>
              <w:t>资源开发效率要求</w:t>
            </w:r>
          </w:p>
        </w:tc>
        <w:tc>
          <w:tcPr>
            <w:tcW w:w="519" w:type="pct"/>
            <w:noWrap w:val="0"/>
            <w:vAlign w:val="center"/>
          </w:tcPr>
          <w:p>
            <w:pPr>
              <w:widowControl/>
              <w:shd w:val="clear" w:color="auto" w:fill="FFFFFF"/>
              <w:jc w:val="center"/>
              <w:rPr>
                <w:szCs w:val="21"/>
              </w:rPr>
            </w:pPr>
            <w:r>
              <w:rPr>
                <w:szCs w:val="21"/>
              </w:rPr>
              <w:t>水资源利用效率要求</w:t>
            </w:r>
          </w:p>
        </w:tc>
        <w:tc>
          <w:tcPr>
            <w:tcW w:w="2437" w:type="pct"/>
            <w:noWrap w:val="0"/>
            <w:vAlign w:val="center"/>
          </w:tcPr>
          <w:p>
            <w:pPr>
              <w:widowControl/>
              <w:shd w:val="clear" w:color="auto" w:fill="FFFFFF"/>
              <w:rPr>
                <w:szCs w:val="21"/>
              </w:rPr>
            </w:pPr>
            <w:r>
              <w:rPr>
                <w:szCs w:val="21"/>
              </w:rPr>
              <w:t>-到2025年，全国污水收集效能显著提升，县城及城市污水处理能力基本满足当地经济社会发展需要，水环境敏感地区污水处理基本实现提标升级；全国地级及以上缺水城市再生水利用率达到25%以上。</w:t>
            </w:r>
          </w:p>
          <w:p>
            <w:pPr>
              <w:widowControl/>
              <w:shd w:val="clear" w:color="auto" w:fill="FFFFFF"/>
              <w:rPr>
                <w:szCs w:val="21"/>
              </w:rPr>
            </w:pPr>
            <w:r>
              <w:rPr>
                <w:szCs w:val="21"/>
              </w:rPr>
              <w:t>地下水开采要求</w:t>
            </w:r>
          </w:p>
          <w:p>
            <w:pPr>
              <w:widowControl/>
              <w:shd w:val="clear" w:color="auto" w:fill="FFFFFF"/>
              <w:rPr>
                <w:szCs w:val="21"/>
              </w:rPr>
            </w:pPr>
            <w:r>
              <w:rPr>
                <w:szCs w:val="21"/>
              </w:rPr>
              <w:t>以省市下发指标为准</w:t>
            </w:r>
          </w:p>
        </w:tc>
        <w:tc>
          <w:tcPr>
            <w:tcW w:w="881" w:type="pct"/>
            <w:noWrap w:val="0"/>
            <w:vAlign w:val="center"/>
          </w:tcPr>
          <w:p>
            <w:pPr>
              <w:adjustRightInd w:val="0"/>
              <w:snapToGrid w:val="0"/>
              <w:contextualSpacing/>
              <w:rPr>
                <w:szCs w:val="21"/>
              </w:rPr>
            </w:pPr>
            <w:r>
              <w:rPr>
                <w:szCs w:val="21"/>
              </w:rPr>
              <w:t>本项目为污水处理厂改扩建项目，项目的实施提高污水的处理效率。</w:t>
            </w:r>
          </w:p>
        </w:tc>
        <w:tc>
          <w:tcPr>
            <w:tcW w:w="260" w:type="pct"/>
            <w:vMerge w:val="restart"/>
            <w:noWrap w:val="0"/>
            <w:vAlign w:val="center"/>
          </w:tcPr>
          <w:p>
            <w:pPr>
              <w:adjustRightInd w:val="0"/>
              <w:snapToGrid w:val="0"/>
              <w:contextualSpacing/>
              <w:jc w:val="left"/>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3" w:type="pct"/>
            <w:vMerge w:val="continue"/>
            <w:noWrap w:val="0"/>
            <w:vAlign w:val="center"/>
          </w:tcPr>
          <w:p>
            <w:pPr>
              <w:adjustRightInd w:val="0"/>
              <w:snapToGrid w:val="0"/>
              <w:contextualSpacing/>
              <w:jc w:val="left"/>
              <w:rPr>
                <w:szCs w:val="21"/>
              </w:rPr>
            </w:pPr>
          </w:p>
        </w:tc>
        <w:tc>
          <w:tcPr>
            <w:tcW w:w="105" w:type="pct"/>
            <w:vMerge w:val="continue"/>
            <w:noWrap w:val="0"/>
            <w:vAlign w:val="center"/>
          </w:tcPr>
          <w:p>
            <w:pPr>
              <w:adjustRightInd w:val="0"/>
              <w:snapToGrid w:val="0"/>
              <w:contextualSpacing/>
              <w:jc w:val="left"/>
              <w:rPr>
                <w:szCs w:val="21"/>
              </w:rPr>
            </w:pPr>
          </w:p>
        </w:tc>
        <w:tc>
          <w:tcPr>
            <w:tcW w:w="315" w:type="pct"/>
            <w:vMerge w:val="continue"/>
            <w:noWrap w:val="0"/>
            <w:vAlign w:val="center"/>
          </w:tcPr>
          <w:p>
            <w:pPr>
              <w:widowControl/>
              <w:jc w:val="center"/>
              <w:rPr>
                <w:szCs w:val="21"/>
              </w:rPr>
            </w:pPr>
          </w:p>
        </w:tc>
        <w:tc>
          <w:tcPr>
            <w:tcW w:w="519" w:type="pct"/>
            <w:noWrap w:val="0"/>
            <w:vAlign w:val="center"/>
          </w:tcPr>
          <w:p>
            <w:pPr>
              <w:widowControl/>
              <w:shd w:val="clear" w:color="auto" w:fill="FFFFFF"/>
              <w:jc w:val="center"/>
              <w:rPr>
                <w:szCs w:val="21"/>
              </w:rPr>
            </w:pPr>
            <w:r>
              <w:rPr>
                <w:szCs w:val="21"/>
              </w:rPr>
              <w:t>能源利用总量及效率要求</w:t>
            </w:r>
          </w:p>
        </w:tc>
        <w:tc>
          <w:tcPr>
            <w:tcW w:w="2437" w:type="pct"/>
            <w:noWrap w:val="0"/>
            <w:vAlign w:val="center"/>
          </w:tcPr>
          <w:p>
            <w:pPr>
              <w:widowControl/>
              <w:shd w:val="clear" w:color="auto" w:fill="FFFFFF"/>
              <w:rPr>
                <w:szCs w:val="21"/>
              </w:rPr>
            </w:pPr>
            <w:r>
              <w:rPr>
                <w:szCs w:val="21"/>
              </w:rPr>
              <w:t>-严控使用燃煤等高污染燃料，禁止焚烧垃圾。</w:t>
            </w:r>
          </w:p>
          <w:p>
            <w:pPr>
              <w:widowControl/>
              <w:shd w:val="clear" w:color="auto" w:fill="FFFFFF"/>
              <w:rPr>
                <w:szCs w:val="21"/>
              </w:rPr>
            </w:pPr>
            <w:r>
              <w:rPr>
                <w:szCs w:val="21"/>
              </w:rPr>
              <w:t>-全面淘汰每小时10蒸吨以下的燃煤锅炉；在供气管网覆盖不到的其他地区，改用电、新能源或洁净煤。</w:t>
            </w:r>
          </w:p>
          <w:p>
            <w:pPr>
              <w:widowControl/>
              <w:shd w:val="clear" w:color="auto" w:fill="FFFFFF"/>
              <w:rPr>
                <w:szCs w:val="21"/>
              </w:rPr>
            </w:pPr>
            <w:r>
              <w:rPr>
                <w:szCs w:val="21"/>
              </w:rPr>
              <w:t>-地级以上城市建成区禁止新建每小时20蒸吨以下燃煤锅炉；对20蒸吨及以上燃煤锅炉实施脱硫改造，建设高效脱硫设施；对循环流化床锅炉以外的燃煤发电机组一律安装脱硫设施，对燃煤锅炉和工业锅炉现有除尘设施实施升级改造，确保达到新的排放标准和特别排放限值。</w:t>
            </w:r>
          </w:p>
        </w:tc>
        <w:tc>
          <w:tcPr>
            <w:tcW w:w="881" w:type="pct"/>
            <w:noWrap w:val="0"/>
            <w:vAlign w:val="center"/>
          </w:tcPr>
          <w:p>
            <w:pPr>
              <w:adjustRightInd w:val="0"/>
              <w:snapToGrid w:val="0"/>
              <w:contextualSpacing/>
              <w:rPr>
                <w:szCs w:val="21"/>
              </w:rPr>
            </w:pPr>
            <w:r>
              <w:rPr>
                <w:szCs w:val="21"/>
              </w:rPr>
              <w:t>本项目不涉及。</w:t>
            </w:r>
          </w:p>
        </w:tc>
        <w:tc>
          <w:tcPr>
            <w:tcW w:w="260" w:type="pct"/>
            <w:vMerge w:val="continue"/>
            <w:noWrap w:val="0"/>
            <w:vAlign w:val="center"/>
          </w:tcPr>
          <w:p>
            <w:pPr>
              <w:adjustRightInd w:val="0"/>
              <w:snapToGrid w:val="0"/>
              <w:contextualSpacing/>
              <w:jc w:val="left"/>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3" w:type="pct"/>
            <w:vMerge w:val="continue"/>
            <w:noWrap w:val="0"/>
            <w:vAlign w:val="center"/>
          </w:tcPr>
          <w:p>
            <w:pPr>
              <w:adjustRightInd w:val="0"/>
              <w:snapToGrid w:val="0"/>
              <w:contextualSpacing/>
              <w:jc w:val="left"/>
              <w:rPr>
                <w:szCs w:val="21"/>
              </w:rPr>
            </w:pPr>
          </w:p>
        </w:tc>
        <w:tc>
          <w:tcPr>
            <w:tcW w:w="105" w:type="pct"/>
            <w:vMerge w:val="continue"/>
            <w:noWrap w:val="0"/>
            <w:vAlign w:val="center"/>
          </w:tcPr>
          <w:p>
            <w:pPr>
              <w:adjustRightInd w:val="0"/>
              <w:snapToGrid w:val="0"/>
              <w:contextualSpacing/>
              <w:jc w:val="left"/>
              <w:rPr>
                <w:szCs w:val="21"/>
              </w:rPr>
            </w:pPr>
          </w:p>
        </w:tc>
        <w:tc>
          <w:tcPr>
            <w:tcW w:w="315" w:type="pct"/>
            <w:vMerge w:val="continue"/>
            <w:noWrap w:val="0"/>
            <w:vAlign w:val="center"/>
          </w:tcPr>
          <w:p>
            <w:pPr>
              <w:widowControl/>
              <w:jc w:val="center"/>
              <w:rPr>
                <w:szCs w:val="21"/>
              </w:rPr>
            </w:pPr>
          </w:p>
        </w:tc>
        <w:tc>
          <w:tcPr>
            <w:tcW w:w="519" w:type="pct"/>
            <w:noWrap w:val="0"/>
            <w:vAlign w:val="center"/>
          </w:tcPr>
          <w:p>
            <w:pPr>
              <w:widowControl/>
              <w:shd w:val="clear" w:color="auto" w:fill="FFFFFF"/>
              <w:jc w:val="center"/>
              <w:rPr>
                <w:szCs w:val="21"/>
              </w:rPr>
            </w:pPr>
            <w:r>
              <w:rPr>
                <w:szCs w:val="21"/>
              </w:rPr>
              <w:t>禁燃区要求</w:t>
            </w:r>
          </w:p>
        </w:tc>
        <w:tc>
          <w:tcPr>
            <w:tcW w:w="2437" w:type="pct"/>
            <w:noWrap w:val="0"/>
            <w:vAlign w:val="center"/>
          </w:tcPr>
          <w:p>
            <w:pPr>
              <w:widowControl/>
              <w:shd w:val="clear" w:color="auto" w:fill="FFFFFF"/>
              <w:rPr>
                <w:szCs w:val="21"/>
              </w:rPr>
            </w:pPr>
            <w:r>
              <w:rPr>
                <w:szCs w:val="21"/>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widowControl/>
              <w:shd w:val="clear" w:color="auto" w:fill="FFFFFF"/>
              <w:rPr>
                <w:szCs w:val="21"/>
              </w:rPr>
            </w:pPr>
            <w:r>
              <w:rPr>
                <w:szCs w:val="21"/>
              </w:rPr>
              <w:t>-禁燃区内禁止销售、燃用高污染燃料；禁止新建、改建、扩建燃用高污染燃料的设施和设备。</w:t>
            </w:r>
          </w:p>
          <w:p>
            <w:pPr>
              <w:widowControl/>
              <w:shd w:val="clear" w:color="auto" w:fill="FFFFFF"/>
              <w:rPr>
                <w:szCs w:val="21"/>
              </w:rPr>
            </w:pPr>
            <w:r>
              <w:rPr>
                <w:szCs w:val="21"/>
              </w:rPr>
              <w:t>-禁燃区内已建成的高污染燃料燃用设施由辖区人民政府制定限期改造计划，改用天然气、页岩气、液化石油气、电或其他清洁能源。</w:t>
            </w:r>
          </w:p>
        </w:tc>
        <w:tc>
          <w:tcPr>
            <w:tcW w:w="881" w:type="pct"/>
            <w:noWrap w:val="0"/>
            <w:vAlign w:val="center"/>
          </w:tcPr>
          <w:p>
            <w:pPr>
              <w:adjustRightInd w:val="0"/>
              <w:snapToGrid w:val="0"/>
              <w:contextualSpacing/>
              <w:rPr>
                <w:szCs w:val="21"/>
              </w:rPr>
            </w:pPr>
            <w:r>
              <w:rPr>
                <w:szCs w:val="21"/>
              </w:rPr>
              <w:t>本项目不涉及。</w:t>
            </w:r>
          </w:p>
        </w:tc>
        <w:tc>
          <w:tcPr>
            <w:tcW w:w="260" w:type="pct"/>
            <w:vMerge w:val="continue"/>
            <w:noWrap w:val="0"/>
            <w:vAlign w:val="center"/>
          </w:tcPr>
          <w:p>
            <w:pPr>
              <w:adjustRightInd w:val="0"/>
              <w:snapToGrid w:val="0"/>
              <w:contextualSpacing/>
              <w:jc w:val="left"/>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3" w:type="pct"/>
            <w:vMerge w:val="continue"/>
            <w:noWrap w:val="0"/>
            <w:vAlign w:val="center"/>
          </w:tcPr>
          <w:p>
            <w:pPr>
              <w:adjustRightInd w:val="0"/>
              <w:snapToGrid w:val="0"/>
              <w:contextualSpacing/>
              <w:jc w:val="left"/>
              <w:rPr>
                <w:szCs w:val="21"/>
              </w:rPr>
            </w:pPr>
          </w:p>
        </w:tc>
        <w:tc>
          <w:tcPr>
            <w:tcW w:w="105" w:type="pct"/>
            <w:vMerge w:val="restart"/>
            <w:noWrap w:val="0"/>
            <w:vAlign w:val="center"/>
          </w:tcPr>
          <w:p>
            <w:pPr>
              <w:adjustRightInd w:val="0"/>
              <w:snapToGrid w:val="0"/>
              <w:contextualSpacing/>
              <w:jc w:val="left"/>
              <w:rPr>
                <w:szCs w:val="21"/>
              </w:rPr>
            </w:pPr>
            <w:r>
              <w:rPr>
                <w:szCs w:val="21"/>
              </w:rPr>
              <w:t>单元特性管控要求</w:t>
            </w:r>
          </w:p>
        </w:tc>
        <w:tc>
          <w:tcPr>
            <w:tcW w:w="834" w:type="pct"/>
            <w:gridSpan w:val="2"/>
            <w:noWrap w:val="0"/>
            <w:vAlign w:val="center"/>
          </w:tcPr>
          <w:p>
            <w:pPr>
              <w:widowControl/>
              <w:shd w:val="clear" w:color="auto" w:fill="FFFFFF"/>
              <w:jc w:val="center"/>
              <w:rPr>
                <w:szCs w:val="21"/>
              </w:rPr>
            </w:pPr>
            <w:r>
              <w:rPr>
                <w:szCs w:val="21"/>
              </w:rPr>
              <w:t>空间布局约束</w:t>
            </w:r>
          </w:p>
        </w:tc>
        <w:tc>
          <w:tcPr>
            <w:tcW w:w="2437" w:type="pct"/>
            <w:noWrap w:val="0"/>
            <w:vAlign w:val="center"/>
          </w:tcPr>
          <w:p>
            <w:pPr>
              <w:widowControl/>
              <w:shd w:val="clear" w:color="auto" w:fill="FFFFFF"/>
              <w:rPr>
                <w:szCs w:val="21"/>
              </w:rPr>
            </w:pPr>
            <w:r>
              <w:rPr>
                <w:szCs w:val="21"/>
              </w:rPr>
              <w:t>禁止开发建设活动的要求</w:t>
            </w:r>
          </w:p>
          <w:p>
            <w:pPr>
              <w:widowControl/>
              <w:shd w:val="clear" w:color="auto" w:fill="FFFFFF"/>
              <w:rPr>
                <w:szCs w:val="21"/>
              </w:rPr>
            </w:pPr>
            <w:r>
              <w:rPr>
                <w:szCs w:val="21"/>
              </w:rPr>
              <w:t>执行达州市城镇重点管控单元总体要求</w:t>
            </w:r>
          </w:p>
          <w:p>
            <w:pPr>
              <w:widowControl/>
              <w:shd w:val="clear" w:color="auto" w:fill="FFFFFF"/>
              <w:rPr>
                <w:szCs w:val="21"/>
              </w:rPr>
            </w:pPr>
            <w:r>
              <w:rPr>
                <w:szCs w:val="21"/>
              </w:rPr>
              <w:t>限制开发建设活动的要求</w:t>
            </w:r>
          </w:p>
          <w:p>
            <w:pPr>
              <w:widowControl/>
              <w:shd w:val="clear" w:color="auto" w:fill="FFFFFF"/>
              <w:rPr>
                <w:szCs w:val="21"/>
              </w:rPr>
            </w:pPr>
            <w:r>
              <w:rPr>
                <w:szCs w:val="21"/>
              </w:rPr>
              <w:t>城市发展遵循“北控、西扩、南拓、东进、中优”的布局战略其他同达州市城镇重点总体管控要求</w:t>
            </w:r>
          </w:p>
          <w:p>
            <w:pPr>
              <w:widowControl/>
              <w:shd w:val="clear" w:color="auto" w:fill="FFFFFF"/>
              <w:rPr>
                <w:szCs w:val="21"/>
              </w:rPr>
            </w:pPr>
            <w:r>
              <w:rPr>
                <w:szCs w:val="21"/>
              </w:rPr>
              <w:t>允许开发建设活动的要求</w:t>
            </w:r>
          </w:p>
          <w:p>
            <w:pPr>
              <w:widowControl/>
              <w:shd w:val="clear" w:color="auto" w:fill="FFFFFF"/>
              <w:rPr>
                <w:szCs w:val="21"/>
              </w:rPr>
            </w:pPr>
            <w:r>
              <w:rPr>
                <w:szCs w:val="21"/>
              </w:rPr>
              <w:t>不符合空间布局要求活动的退出要求</w:t>
            </w:r>
          </w:p>
          <w:p>
            <w:pPr>
              <w:widowControl/>
              <w:shd w:val="clear" w:color="auto" w:fill="FFFFFF"/>
              <w:rPr>
                <w:szCs w:val="21"/>
              </w:rPr>
            </w:pPr>
            <w:r>
              <w:rPr>
                <w:szCs w:val="21"/>
              </w:rPr>
              <w:t>位于城镇空间内的工业园区外工业企业：具有合法手续的企业，且污染物排放及环境风险满足管理要求的企业，可继续保留，不得新增污染物排放，并进一步加强日常环保监管；如无合法手续，或污染物排放超标、环境风险不可控的企业，限期进行整改提升，通过环保、安全、工艺装备升级等落实整改措施并达到相关标准实现合法生产，整改后仍不能达到要求的，属地政府应按相关要求责令关停并退出尽快创造条件搬迁达钢至经开区第二园区，限制达钢工业用地原地扩展其他同达州市城镇重点总体管控要求</w:t>
            </w:r>
          </w:p>
          <w:p>
            <w:pPr>
              <w:widowControl/>
              <w:shd w:val="clear" w:color="auto" w:fill="FFFFFF"/>
              <w:rPr>
                <w:szCs w:val="21"/>
              </w:rPr>
            </w:pPr>
            <w:r>
              <w:rPr>
                <w:szCs w:val="21"/>
              </w:rPr>
              <w:t>其他空间布局约束要求</w:t>
            </w:r>
          </w:p>
        </w:tc>
        <w:tc>
          <w:tcPr>
            <w:tcW w:w="881" w:type="pct"/>
            <w:noWrap w:val="0"/>
            <w:vAlign w:val="center"/>
          </w:tcPr>
          <w:p>
            <w:pPr>
              <w:adjustRightInd w:val="0"/>
              <w:snapToGrid w:val="0"/>
              <w:contextualSpacing/>
              <w:rPr>
                <w:szCs w:val="21"/>
              </w:rPr>
            </w:pPr>
            <w:r>
              <w:rPr>
                <w:szCs w:val="21"/>
              </w:rPr>
              <w:t>本项目不涉及。</w:t>
            </w:r>
          </w:p>
        </w:tc>
        <w:tc>
          <w:tcPr>
            <w:tcW w:w="260" w:type="pct"/>
            <w:noWrap w:val="0"/>
            <w:vAlign w:val="center"/>
          </w:tcPr>
          <w:p>
            <w:pPr>
              <w:adjustRightInd w:val="0"/>
              <w:snapToGrid w:val="0"/>
              <w:contextualSpacing/>
              <w:jc w:val="left"/>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3" w:type="pct"/>
            <w:vMerge w:val="continue"/>
            <w:noWrap w:val="0"/>
            <w:vAlign w:val="center"/>
          </w:tcPr>
          <w:p>
            <w:pPr>
              <w:adjustRightInd w:val="0"/>
              <w:snapToGrid w:val="0"/>
              <w:contextualSpacing/>
              <w:jc w:val="left"/>
              <w:rPr>
                <w:szCs w:val="21"/>
              </w:rPr>
            </w:pPr>
          </w:p>
        </w:tc>
        <w:tc>
          <w:tcPr>
            <w:tcW w:w="105" w:type="pct"/>
            <w:vMerge w:val="continue"/>
            <w:noWrap w:val="0"/>
            <w:vAlign w:val="center"/>
          </w:tcPr>
          <w:p>
            <w:pPr>
              <w:adjustRightInd w:val="0"/>
              <w:snapToGrid w:val="0"/>
              <w:contextualSpacing/>
              <w:jc w:val="left"/>
              <w:rPr>
                <w:szCs w:val="21"/>
              </w:rPr>
            </w:pPr>
          </w:p>
        </w:tc>
        <w:tc>
          <w:tcPr>
            <w:tcW w:w="834" w:type="pct"/>
            <w:gridSpan w:val="2"/>
            <w:noWrap w:val="0"/>
            <w:vAlign w:val="center"/>
          </w:tcPr>
          <w:p>
            <w:pPr>
              <w:widowControl/>
              <w:shd w:val="clear" w:color="auto" w:fill="FFFFFF"/>
              <w:jc w:val="center"/>
              <w:rPr>
                <w:szCs w:val="21"/>
              </w:rPr>
            </w:pPr>
            <w:r>
              <w:rPr>
                <w:szCs w:val="21"/>
              </w:rPr>
              <w:t>污染物排放管控</w:t>
            </w:r>
          </w:p>
        </w:tc>
        <w:tc>
          <w:tcPr>
            <w:tcW w:w="2437" w:type="pct"/>
            <w:noWrap w:val="0"/>
            <w:vAlign w:val="center"/>
          </w:tcPr>
          <w:p>
            <w:pPr>
              <w:widowControl/>
              <w:shd w:val="clear" w:color="auto" w:fill="FFFFFF"/>
              <w:rPr>
                <w:szCs w:val="21"/>
              </w:rPr>
            </w:pPr>
            <w:r>
              <w:rPr>
                <w:szCs w:val="21"/>
              </w:rPr>
              <w:t>现有源提标升级改造</w:t>
            </w:r>
          </w:p>
          <w:p>
            <w:pPr>
              <w:widowControl/>
              <w:shd w:val="clear" w:color="auto" w:fill="FFFFFF"/>
              <w:rPr>
                <w:szCs w:val="21"/>
              </w:rPr>
            </w:pPr>
            <w:r>
              <w:rPr>
                <w:szCs w:val="21"/>
              </w:rPr>
              <w:t>通川区全域属于四川省大气污染防治重点区域，执行大气污染物特别排放限值。</w:t>
            </w:r>
          </w:p>
          <w:p>
            <w:pPr>
              <w:widowControl/>
              <w:shd w:val="clear" w:color="auto" w:fill="FFFFFF"/>
              <w:rPr>
                <w:szCs w:val="21"/>
              </w:rPr>
            </w:pPr>
            <w:r>
              <w:rPr>
                <w:szCs w:val="21"/>
              </w:rPr>
              <w:t>新增源等量或倍量替代</w:t>
            </w:r>
          </w:p>
          <w:p>
            <w:pPr>
              <w:widowControl/>
              <w:shd w:val="clear" w:color="auto" w:fill="FFFFFF"/>
              <w:rPr>
                <w:szCs w:val="21"/>
              </w:rPr>
            </w:pPr>
            <w:r>
              <w:rPr>
                <w:szCs w:val="21"/>
              </w:rPr>
              <w:t>执行达州市城镇重点管控单元总体要求</w:t>
            </w:r>
          </w:p>
          <w:p>
            <w:pPr>
              <w:widowControl/>
              <w:shd w:val="clear" w:color="auto" w:fill="FFFFFF"/>
              <w:rPr>
                <w:szCs w:val="21"/>
              </w:rPr>
            </w:pPr>
            <w:r>
              <w:rPr>
                <w:szCs w:val="21"/>
              </w:rPr>
              <w:t>新增源排放标准限值</w:t>
            </w:r>
          </w:p>
          <w:p>
            <w:pPr>
              <w:widowControl/>
              <w:shd w:val="clear" w:color="auto" w:fill="FFFFFF"/>
              <w:rPr>
                <w:szCs w:val="21"/>
              </w:rPr>
            </w:pPr>
            <w:r>
              <w:rPr>
                <w:szCs w:val="21"/>
              </w:rPr>
              <w:t>通川区全域属于四川省大气污染防治重点区域，执行大气污染物特别排放限值。其他同达州市城镇重点总体准入要求</w:t>
            </w:r>
          </w:p>
          <w:p>
            <w:pPr>
              <w:widowControl/>
              <w:shd w:val="clear" w:color="auto" w:fill="FFFFFF"/>
              <w:rPr>
                <w:szCs w:val="21"/>
              </w:rPr>
            </w:pPr>
            <w:r>
              <w:rPr>
                <w:szCs w:val="21"/>
              </w:rPr>
              <w:t>污染物排放绩效水平准入要求</w:t>
            </w:r>
          </w:p>
          <w:p>
            <w:pPr>
              <w:widowControl/>
              <w:shd w:val="clear" w:color="auto" w:fill="FFFFFF"/>
              <w:rPr>
                <w:szCs w:val="21"/>
              </w:rPr>
            </w:pPr>
            <w:r>
              <w:rPr>
                <w:szCs w:val="21"/>
              </w:rPr>
              <w:t>-达钢：未纳入淘汰计划的烧结机和球团设备全部实施烟气脱硫，不得设置脱硫设施烟气旁路；所有钢铁烧结及球团应安装脱硝设施；烧结机头、机尾、高炉出铁场、转炉烟气除尘等设施实施升级改造，露天原料场实施封闭改造，原料转运设施建设封闭皮带通廊，转运站和落料点配套抽风收尘装置。-其他同城镇重点管控单元总体准入要求</w:t>
            </w:r>
          </w:p>
          <w:p>
            <w:pPr>
              <w:widowControl/>
              <w:shd w:val="clear" w:color="auto" w:fill="FFFFFF"/>
              <w:rPr>
                <w:szCs w:val="21"/>
              </w:rPr>
            </w:pPr>
            <w:r>
              <w:rPr>
                <w:szCs w:val="21"/>
              </w:rPr>
              <w:t>其他污染物排放管控要求</w:t>
            </w:r>
          </w:p>
        </w:tc>
        <w:tc>
          <w:tcPr>
            <w:tcW w:w="881" w:type="pct"/>
            <w:noWrap w:val="0"/>
            <w:vAlign w:val="center"/>
          </w:tcPr>
          <w:p>
            <w:pPr>
              <w:adjustRightInd w:val="0"/>
              <w:snapToGrid w:val="0"/>
              <w:contextualSpacing/>
              <w:rPr>
                <w:szCs w:val="21"/>
              </w:rPr>
            </w:pPr>
            <w:r>
              <w:rPr>
                <w:szCs w:val="21"/>
              </w:rPr>
              <w:t>本项目运营期产生的废气主要为H</w:t>
            </w:r>
            <w:r>
              <w:rPr>
                <w:szCs w:val="21"/>
                <w:vertAlign w:val="subscript"/>
              </w:rPr>
              <w:t>2</w:t>
            </w:r>
            <w:r>
              <w:rPr>
                <w:szCs w:val="21"/>
              </w:rPr>
              <w:t>S和NH</w:t>
            </w:r>
            <w:r>
              <w:rPr>
                <w:szCs w:val="21"/>
                <w:vertAlign w:val="subscript"/>
              </w:rPr>
              <w:t>3</w:t>
            </w:r>
            <w:r>
              <w:rPr>
                <w:szCs w:val="21"/>
              </w:rPr>
              <w:t>，项目拟将部分池体采取密闭加盖措施，产生的恶臭气体经喷淋塔处理后通过15m高排气筒排放。</w:t>
            </w:r>
          </w:p>
          <w:p>
            <w:pPr>
              <w:adjustRightInd w:val="0"/>
              <w:snapToGrid w:val="0"/>
              <w:contextualSpacing/>
              <w:rPr>
                <w:szCs w:val="21"/>
              </w:rPr>
            </w:pPr>
            <w:r>
              <w:rPr>
                <w:szCs w:val="21"/>
              </w:rPr>
              <w:t>本项目属于污水处理厂改扩建项目，项目排水执行《城镇污水处理厂污染物排放标准》（GB18918-2002）一级A标准后排入双龙河。项目的建设对双龙河流域的保护具有环境正效益，减少城镇生活污水未经处理散排乱排。</w:t>
            </w:r>
          </w:p>
        </w:tc>
        <w:tc>
          <w:tcPr>
            <w:tcW w:w="260" w:type="pct"/>
            <w:noWrap w:val="0"/>
            <w:vAlign w:val="center"/>
          </w:tcPr>
          <w:p>
            <w:pPr>
              <w:adjustRightInd w:val="0"/>
              <w:snapToGrid w:val="0"/>
              <w:contextualSpacing/>
              <w:jc w:val="left"/>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3" w:type="pct"/>
            <w:vMerge w:val="continue"/>
            <w:noWrap w:val="0"/>
            <w:vAlign w:val="center"/>
          </w:tcPr>
          <w:p>
            <w:pPr>
              <w:adjustRightInd w:val="0"/>
              <w:snapToGrid w:val="0"/>
              <w:contextualSpacing/>
              <w:jc w:val="left"/>
              <w:rPr>
                <w:szCs w:val="21"/>
              </w:rPr>
            </w:pPr>
          </w:p>
        </w:tc>
        <w:tc>
          <w:tcPr>
            <w:tcW w:w="105" w:type="pct"/>
            <w:vMerge w:val="continue"/>
            <w:noWrap w:val="0"/>
            <w:vAlign w:val="center"/>
          </w:tcPr>
          <w:p>
            <w:pPr>
              <w:adjustRightInd w:val="0"/>
              <w:snapToGrid w:val="0"/>
              <w:contextualSpacing/>
              <w:jc w:val="left"/>
              <w:rPr>
                <w:szCs w:val="21"/>
              </w:rPr>
            </w:pPr>
          </w:p>
        </w:tc>
        <w:tc>
          <w:tcPr>
            <w:tcW w:w="834" w:type="pct"/>
            <w:gridSpan w:val="2"/>
            <w:noWrap w:val="0"/>
            <w:vAlign w:val="center"/>
          </w:tcPr>
          <w:p>
            <w:pPr>
              <w:widowControl/>
              <w:shd w:val="clear" w:color="auto" w:fill="FFFFFF"/>
              <w:jc w:val="center"/>
              <w:rPr>
                <w:szCs w:val="21"/>
              </w:rPr>
            </w:pPr>
            <w:r>
              <w:rPr>
                <w:szCs w:val="21"/>
              </w:rPr>
              <w:t>环境风险防控</w:t>
            </w:r>
          </w:p>
        </w:tc>
        <w:tc>
          <w:tcPr>
            <w:tcW w:w="2437" w:type="pct"/>
            <w:noWrap w:val="0"/>
            <w:vAlign w:val="center"/>
          </w:tcPr>
          <w:p>
            <w:pPr>
              <w:widowControl/>
              <w:shd w:val="clear" w:color="auto" w:fill="FFFFFF"/>
              <w:rPr>
                <w:szCs w:val="21"/>
              </w:rPr>
            </w:pPr>
            <w:r>
              <w:rPr>
                <w:szCs w:val="21"/>
              </w:rPr>
              <w:t>严格管控类农用地管控要求</w:t>
            </w:r>
          </w:p>
          <w:p>
            <w:pPr>
              <w:widowControl/>
              <w:shd w:val="clear" w:color="auto" w:fill="FFFFFF"/>
              <w:rPr>
                <w:szCs w:val="21"/>
              </w:rPr>
            </w:pPr>
            <w:r>
              <w:rPr>
                <w:szCs w:val="21"/>
              </w:rPr>
              <w:t>执行达州市城镇重点管控单元总体要求</w:t>
            </w:r>
          </w:p>
          <w:p>
            <w:pPr>
              <w:widowControl/>
              <w:shd w:val="clear" w:color="auto" w:fill="FFFFFF"/>
              <w:rPr>
                <w:szCs w:val="21"/>
              </w:rPr>
            </w:pPr>
            <w:r>
              <w:rPr>
                <w:szCs w:val="21"/>
              </w:rPr>
              <w:t>安全利用类农用地管控要求</w:t>
            </w:r>
          </w:p>
          <w:p>
            <w:pPr>
              <w:widowControl/>
              <w:shd w:val="clear" w:color="auto" w:fill="FFFFFF"/>
              <w:rPr>
                <w:szCs w:val="21"/>
              </w:rPr>
            </w:pPr>
            <w:r>
              <w:rPr>
                <w:szCs w:val="21"/>
              </w:rPr>
              <w:t>有一定危险性仓库用地远离市区，按有关规范选址和建设，留够防护距离，原则上安排在铁山山谷。其他同达州市城镇重点总体准入要求</w:t>
            </w:r>
          </w:p>
          <w:p>
            <w:pPr>
              <w:widowControl/>
              <w:shd w:val="clear" w:color="auto" w:fill="FFFFFF"/>
              <w:rPr>
                <w:szCs w:val="21"/>
              </w:rPr>
            </w:pPr>
            <w:r>
              <w:rPr>
                <w:szCs w:val="21"/>
              </w:rPr>
              <w:t>污染地块管控要求</w:t>
            </w:r>
          </w:p>
          <w:p>
            <w:pPr>
              <w:widowControl/>
              <w:shd w:val="clear" w:color="auto" w:fill="FFFFFF"/>
              <w:rPr>
                <w:szCs w:val="21"/>
              </w:rPr>
            </w:pPr>
            <w:r>
              <w:rPr>
                <w:szCs w:val="21"/>
              </w:rPr>
              <w:t>执行达州市城镇重点管控单元总体要求</w:t>
            </w:r>
          </w:p>
          <w:p>
            <w:pPr>
              <w:widowControl/>
              <w:shd w:val="clear" w:color="auto" w:fill="FFFFFF"/>
              <w:rPr>
                <w:szCs w:val="21"/>
              </w:rPr>
            </w:pPr>
            <w:r>
              <w:rPr>
                <w:szCs w:val="21"/>
              </w:rPr>
              <w:t>园区环境风险防控要求</w:t>
            </w:r>
          </w:p>
          <w:p>
            <w:pPr>
              <w:widowControl/>
              <w:shd w:val="clear" w:color="auto" w:fill="FFFFFF"/>
              <w:rPr>
                <w:szCs w:val="21"/>
              </w:rPr>
            </w:pPr>
            <w:r>
              <w:rPr>
                <w:szCs w:val="21"/>
              </w:rPr>
              <w:t>企业环境风险防控要求</w:t>
            </w:r>
          </w:p>
          <w:p>
            <w:pPr>
              <w:widowControl/>
              <w:shd w:val="clear" w:color="auto" w:fill="FFFFFF"/>
              <w:rPr>
                <w:szCs w:val="21"/>
              </w:rPr>
            </w:pPr>
            <w:r>
              <w:rPr>
                <w:szCs w:val="21"/>
              </w:rPr>
              <w:t>执行达州市城镇重点管控单元总体要求</w:t>
            </w:r>
          </w:p>
          <w:p>
            <w:pPr>
              <w:widowControl/>
              <w:shd w:val="clear" w:color="auto" w:fill="FFFFFF"/>
              <w:rPr>
                <w:szCs w:val="21"/>
              </w:rPr>
            </w:pPr>
            <w:r>
              <w:rPr>
                <w:szCs w:val="21"/>
              </w:rPr>
              <w:t>其他环境风险防控要求</w:t>
            </w:r>
          </w:p>
        </w:tc>
        <w:tc>
          <w:tcPr>
            <w:tcW w:w="881" w:type="pct"/>
            <w:noWrap w:val="0"/>
            <w:vAlign w:val="center"/>
          </w:tcPr>
          <w:p>
            <w:pPr>
              <w:adjustRightInd w:val="0"/>
              <w:snapToGrid w:val="0"/>
              <w:contextualSpacing/>
              <w:rPr>
                <w:szCs w:val="21"/>
              </w:rPr>
            </w:pPr>
            <w:r>
              <w:rPr>
                <w:szCs w:val="21"/>
              </w:rPr>
              <w:t>项目环境风险可控，满足要素重点管控单元准入要求。</w:t>
            </w:r>
          </w:p>
        </w:tc>
        <w:tc>
          <w:tcPr>
            <w:tcW w:w="260" w:type="pct"/>
            <w:noWrap w:val="0"/>
            <w:vAlign w:val="center"/>
          </w:tcPr>
          <w:p>
            <w:pPr>
              <w:adjustRightInd w:val="0"/>
              <w:snapToGrid w:val="0"/>
              <w:contextualSpacing/>
              <w:jc w:val="left"/>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3" w:type="pct"/>
            <w:vMerge w:val="continue"/>
            <w:noWrap w:val="0"/>
            <w:vAlign w:val="center"/>
          </w:tcPr>
          <w:p>
            <w:pPr>
              <w:adjustRightInd w:val="0"/>
              <w:snapToGrid w:val="0"/>
              <w:contextualSpacing/>
              <w:jc w:val="left"/>
              <w:rPr>
                <w:szCs w:val="21"/>
              </w:rPr>
            </w:pPr>
          </w:p>
        </w:tc>
        <w:tc>
          <w:tcPr>
            <w:tcW w:w="105" w:type="pct"/>
            <w:vMerge w:val="continue"/>
            <w:noWrap w:val="0"/>
            <w:vAlign w:val="center"/>
          </w:tcPr>
          <w:p>
            <w:pPr>
              <w:adjustRightInd w:val="0"/>
              <w:snapToGrid w:val="0"/>
              <w:contextualSpacing/>
              <w:jc w:val="left"/>
              <w:rPr>
                <w:szCs w:val="21"/>
              </w:rPr>
            </w:pPr>
          </w:p>
        </w:tc>
        <w:tc>
          <w:tcPr>
            <w:tcW w:w="834" w:type="pct"/>
            <w:gridSpan w:val="2"/>
            <w:noWrap w:val="0"/>
            <w:vAlign w:val="center"/>
          </w:tcPr>
          <w:p>
            <w:pPr>
              <w:widowControl/>
              <w:shd w:val="clear" w:color="auto" w:fill="FFFFFF"/>
              <w:jc w:val="center"/>
              <w:rPr>
                <w:szCs w:val="21"/>
              </w:rPr>
            </w:pPr>
            <w:r>
              <w:rPr>
                <w:szCs w:val="21"/>
              </w:rPr>
              <w:t>资源开发效率要求</w:t>
            </w:r>
          </w:p>
        </w:tc>
        <w:tc>
          <w:tcPr>
            <w:tcW w:w="2437" w:type="pct"/>
            <w:noWrap w:val="0"/>
            <w:vAlign w:val="center"/>
          </w:tcPr>
          <w:p>
            <w:pPr>
              <w:widowControl/>
              <w:shd w:val="clear" w:color="auto" w:fill="FFFFFF"/>
              <w:rPr>
                <w:szCs w:val="21"/>
              </w:rPr>
            </w:pPr>
            <w:r>
              <w:rPr>
                <w:szCs w:val="21"/>
              </w:rPr>
              <w:t>水资源利用效率要求</w:t>
            </w:r>
          </w:p>
          <w:p>
            <w:pPr>
              <w:widowControl/>
              <w:shd w:val="clear" w:color="auto" w:fill="FFFFFF"/>
              <w:rPr>
                <w:szCs w:val="21"/>
              </w:rPr>
            </w:pPr>
            <w:r>
              <w:rPr>
                <w:szCs w:val="21"/>
              </w:rPr>
              <w:t>执行达州市城镇重点管控单元总体要求</w:t>
            </w:r>
          </w:p>
          <w:p>
            <w:pPr>
              <w:widowControl/>
              <w:shd w:val="clear" w:color="auto" w:fill="FFFFFF"/>
              <w:rPr>
                <w:szCs w:val="21"/>
              </w:rPr>
            </w:pPr>
            <w:r>
              <w:rPr>
                <w:szCs w:val="21"/>
              </w:rPr>
              <w:t>地下水开采要求</w:t>
            </w:r>
          </w:p>
          <w:p>
            <w:pPr>
              <w:widowControl/>
              <w:shd w:val="clear" w:color="auto" w:fill="FFFFFF"/>
              <w:rPr>
                <w:szCs w:val="21"/>
              </w:rPr>
            </w:pPr>
            <w:r>
              <w:rPr>
                <w:szCs w:val="21"/>
              </w:rPr>
              <w:t>执行达州市城镇重点管控单元总体要求</w:t>
            </w:r>
          </w:p>
          <w:p>
            <w:pPr>
              <w:widowControl/>
              <w:shd w:val="clear" w:color="auto" w:fill="FFFFFF"/>
              <w:rPr>
                <w:szCs w:val="21"/>
              </w:rPr>
            </w:pPr>
            <w:r>
              <w:rPr>
                <w:szCs w:val="21"/>
              </w:rPr>
              <w:t>能源利用效率要求</w:t>
            </w:r>
          </w:p>
          <w:p>
            <w:pPr>
              <w:widowControl/>
              <w:shd w:val="clear" w:color="auto" w:fill="FFFFFF"/>
              <w:rPr>
                <w:szCs w:val="21"/>
              </w:rPr>
            </w:pPr>
            <w:r>
              <w:rPr>
                <w:szCs w:val="21"/>
              </w:rPr>
              <w:t>执行达州市城镇重点管控单元总体要求</w:t>
            </w:r>
          </w:p>
          <w:p>
            <w:pPr>
              <w:widowControl/>
              <w:shd w:val="clear" w:color="auto" w:fill="FFFFFF"/>
              <w:rPr>
                <w:szCs w:val="21"/>
              </w:rPr>
            </w:pPr>
            <w:r>
              <w:rPr>
                <w:szCs w:val="21"/>
              </w:rPr>
              <w:t>其他资源利用效率要求</w:t>
            </w:r>
          </w:p>
          <w:p>
            <w:pPr>
              <w:widowControl/>
              <w:shd w:val="clear" w:color="auto" w:fill="FFFFFF"/>
              <w:rPr>
                <w:szCs w:val="21"/>
              </w:rPr>
            </w:pPr>
            <w:r>
              <w:rPr>
                <w:szCs w:val="21"/>
              </w:rPr>
              <w:t>禁燃区要求：同达州市城镇重点总体准入要求</w:t>
            </w:r>
          </w:p>
        </w:tc>
        <w:tc>
          <w:tcPr>
            <w:tcW w:w="881" w:type="pct"/>
            <w:noWrap w:val="0"/>
            <w:vAlign w:val="center"/>
          </w:tcPr>
          <w:p>
            <w:pPr>
              <w:adjustRightInd w:val="0"/>
              <w:snapToGrid w:val="0"/>
              <w:contextualSpacing/>
              <w:rPr>
                <w:szCs w:val="21"/>
              </w:rPr>
            </w:pPr>
            <w:r>
              <w:rPr>
                <w:szCs w:val="21"/>
              </w:rPr>
              <w:t>项目不使用高污染能源。</w:t>
            </w:r>
          </w:p>
        </w:tc>
        <w:tc>
          <w:tcPr>
            <w:tcW w:w="260" w:type="pct"/>
            <w:noWrap w:val="0"/>
            <w:vAlign w:val="center"/>
          </w:tcPr>
          <w:p>
            <w:pPr>
              <w:adjustRightInd w:val="0"/>
              <w:snapToGrid w:val="0"/>
              <w:contextualSpacing/>
              <w:jc w:val="left"/>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88" w:type="pct"/>
            <w:gridSpan w:val="2"/>
            <w:vMerge w:val="restart"/>
            <w:noWrap w:val="0"/>
            <w:vAlign w:val="center"/>
          </w:tcPr>
          <w:p>
            <w:pPr>
              <w:adjustRightInd w:val="0"/>
              <w:snapToGrid w:val="0"/>
              <w:contextualSpacing/>
              <w:rPr>
                <w:szCs w:val="21"/>
              </w:rPr>
            </w:pPr>
            <w:r>
              <w:rPr>
                <w:szCs w:val="21"/>
              </w:rPr>
              <w:t>水环境城镇生活污染重点管控区-州河通川区车家河控制单元-YS5117022220001</w:t>
            </w:r>
          </w:p>
        </w:tc>
        <w:tc>
          <w:tcPr>
            <w:tcW w:w="315" w:type="pct"/>
            <w:vMerge w:val="restart"/>
            <w:noWrap w:val="0"/>
            <w:vAlign w:val="center"/>
          </w:tcPr>
          <w:p>
            <w:pPr>
              <w:widowControl/>
              <w:jc w:val="center"/>
              <w:rPr>
                <w:szCs w:val="21"/>
              </w:rPr>
            </w:pPr>
            <w:r>
              <w:rPr>
                <w:szCs w:val="21"/>
              </w:rPr>
              <w:t>普适性清单</w:t>
            </w:r>
          </w:p>
        </w:tc>
        <w:tc>
          <w:tcPr>
            <w:tcW w:w="519" w:type="pct"/>
            <w:noWrap w:val="0"/>
            <w:vAlign w:val="center"/>
          </w:tcPr>
          <w:p>
            <w:pPr>
              <w:widowControl/>
              <w:shd w:val="clear" w:color="auto" w:fill="FFFFFF"/>
              <w:jc w:val="center"/>
              <w:rPr>
                <w:szCs w:val="21"/>
              </w:rPr>
            </w:pPr>
            <w:r>
              <w:rPr>
                <w:szCs w:val="21"/>
              </w:rPr>
              <w:t>空间布局约束</w:t>
            </w:r>
          </w:p>
        </w:tc>
        <w:tc>
          <w:tcPr>
            <w:tcW w:w="2437" w:type="pct"/>
            <w:noWrap w:val="0"/>
            <w:vAlign w:val="center"/>
          </w:tcPr>
          <w:p>
            <w:pPr>
              <w:widowControl/>
              <w:shd w:val="clear" w:color="auto" w:fill="FFFFFF"/>
              <w:jc w:val="center"/>
              <w:rPr>
                <w:szCs w:val="21"/>
              </w:rPr>
            </w:pPr>
            <w:r>
              <w:rPr>
                <w:szCs w:val="21"/>
              </w:rPr>
              <w:t>/</w:t>
            </w:r>
          </w:p>
        </w:tc>
        <w:tc>
          <w:tcPr>
            <w:tcW w:w="881" w:type="pct"/>
            <w:noWrap w:val="0"/>
            <w:vAlign w:val="center"/>
          </w:tcPr>
          <w:p>
            <w:pPr>
              <w:adjustRightInd w:val="0"/>
              <w:snapToGrid w:val="0"/>
              <w:contextualSpacing/>
              <w:jc w:val="center"/>
              <w:rPr>
                <w:szCs w:val="21"/>
              </w:rPr>
            </w:pPr>
            <w:r>
              <w:rPr>
                <w:szCs w:val="21"/>
              </w:rPr>
              <w:t>/</w:t>
            </w:r>
          </w:p>
        </w:tc>
        <w:tc>
          <w:tcPr>
            <w:tcW w:w="260" w:type="pct"/>
            <w:noWrap w:val="0"/>
            <w:vAlign w:val="center"/>
          </w:tcPr>
          <w:p>
            <w:pPr>
              <w:adjustRightInd w:val="0"/>
              <w:snapToGrid w:val="0"/>
              <w:contextualSpacing/>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88" w:type="pct"/>
            <w:gridSpan w:val="2"/>
            <w:vMerge w:val="continue"/>
            <w:noWrap w:val="0"/>
            <w:vAlign w:val="center"/>
          </w:tcPr>
          <w:p>
            <w:pPr>
              <w:adjustRightInd w:val="0"/>
              <w:snapToGrid w:val="0"/>
              <w:contextualSpacing/>
              <w:rPr>
                <w:szCs w:val="21"/>
              </w:rPr>
            </w:pPr>
          </w:p>
        </w:tc>
        <w:tc>
          <w:tcPr>
            <w:tcW w:w="315" w:type="pct"/>
            <w:vMerge w:val="continue"/>
            <w:noWrap w:val="0"/>
            <w:vAlign w:val="center"/>
          </w:tcPr>
          <w:p>
            <w:pPr>
              <w:widowControl/>
              <w:jc w:val="center"/>
              <w:rPr>
                <w:szCs w:val="21"/>
              </w:rPr>
            </w:pPr>
          </w:p>
        </w:tc>
        <w:tc>
          <w:tcPr>
            <w:tcW w:w="519" w:type="pct"/>
            <w:noWrap w:val="0"/>
            <w:vAlign w:val="center"/>
          </w:tcPr>
          <w:p>
            <w:pPr>
              <w:widowControl/>
              <w:shd w:val="clear" w:color="auto" w:fill="FFFFFF"/>
              <w:jc w:val="center"/>
              <w:rPr>
                <w:szCs w:val="21"/>
              </w:rPr>
            </w:pPr>
            <w:r>
              <w:rPr>
                <w:szCs w:val="21"/>
              </w:rPr>
              <w:t>污染物排放</w:t>
            </w:r>
          </w:p>
          <w:p>
            <w:pPr>
              <w:widowControl/>
              <w:shd w:val="clear" w:color="auto" w:fill="FFFFFF"/>
              <w:jc w:val="center"/>
              <w:rPr>
                <w:szCs w:val="21"/>
              </w:rPr>
            </w:pPr>
            <w:r>
              <w:rPr>
                <w:szCs w:val="21"/>
              </w:rPr>
              <w:t>管控</w:t>
            </w:r>
          </w:p>
        </w:tc>
        <w:tc>
          <w:tcPr>
            <w:tcW w:w="2437" w:type="pct"/>
            <w:noWrap w:val="0"/>
            <w:vAlign w:val="center"/>
          </w:tcPr>
          <w:p>
            <w:pPr>
              <w:widowControl/>
              <w:shd w:val="clear" w:color="auto" w:fill="FFFFFF"/>
              <w:jc w:val="center"/>
              <w:rPr>
                <w:szCs w:val="21"/>
              </w:rPr>
            </w:pPr>
            <w:r>
              <w:rPr>
                <w:szCs w:val="21"/>
              </w:rPr>
              <w:t>/</w:t>
            </w:r>
          </w:p>
        </w:tc>
        <w:tc>
          <w:tcPr>
            <w:tcW w:w="881" w:type="pct"/>
            <w:noWrap w:val="0"/>
            <w:vAlign w:val="center"/>
          </w:tcPr>
          <w:p>
            <w:pPr>
              <w:adjustRightInd w:val="0"/>
              <w:snapToGrid w:val="0"/>
              <w:contextualSpacing/>
              <w:jc w:val="center"/>
              <w:rPr>
                <w:szCs w:val="21"/>
              </w:rPr>
            </w:pPr>
            <w:r>
              <w:rPr>
                <w:szCs w:val="21"/>
              </w:rPr>
              <w:t>/</w:t>
            </w:r>
          </w:p>
        </w:tc>
        <w:tc>
          <w:tcPr>
            <w:tcW w:w="260" w:type="pct"/>
            <w:noWrap w:val="0"/>
            <w:vAlign w:val="center"/>
          </w:tcPr>
          <w:p>
            <w:pPr>
              <w:adjustRightInd w:val="0"/>
              <w:snapToGrid w:val="0"/>
              <w:contextualSpacing/>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88" w:type="pct"/>
            <w:gridSpan w:val="2"/>
            <w:vMerge w:val="continue"/>
            <w:noWrap w:val="0"/>
            <w:vAlign w:val="center"/>
          </w:tcPr>
          <w:p>
            <w:pPr>
              <w:adjustRightInd w:val="0"/>
              <w:snapToGrid w:val="0"/>
              <w:contextualSpacing/>
              <w:rPr>
                <w:szCs w:val="21"/>
              </w:rPr>
            </w:pPr>
          </w:p>
        </w:tc>
        <w:tc>
          <w:tcPr>
            <w:tcW w:w="315" w:type="pct"/>
            <w:vMerge w:val="continue"/>
            <w:noWrap w:val="0"/>
            <w:vAlign w:val="center"/>
          </w:tcPr>
          <w:p>
            <w:pPr>
              <w:widowControl/>
              <w:jc w:val="center"/>
              <w:rPr>
                <w:szCs w:val="21"/>
              </w:rPr>
            </w:pPr>
          </w:p>
        </w:tc>
        <w:tc>
          <w:tcPr>
            <w:tcW w:w="519" w:type="pct"/>
            <w:noWrap w:val="0"/>
            <w:vAlign w:val="center"/>
          </w:tcPr>
          <w:p>
            <w:pPr>
              <w:widowControl/>
              <w:shd w:val="clear" w:color="auto" w:fill="FFFFFF"/>
              <w:jc w:val="center"/>
              <w:rPr>
                <w:szCs w:val="21"/>
              </w:rPr>
            </w:pPr>
            <w:r>
              <w:rPr>
                <w:szCs w:val="21"/>
              </w:rPr>
              <w:t>环境风险防控</w:t>
            </w:r>
          </w:p>
        </w:tc>
        <w:tc>
          <w:tcPr>
            <w:tcW w:w="2437" w:type="pct"/>
            <w:noWrap w:val="0"/>
            <w:vAlign w:val="center"/>
          </w:tcPr>
          <w:p>
            <w:pPr>
              <w:widowControl/>
              <w:shd w:val="clear" w:color="auto" w:fill="FFFFFF"/>
              <w:jc w:val="center"/>
              <w:rPr>
                <w:szCs w:val="21"/>
              </w:rPr>
            </w:pPr>
            <w:r>
              <w:rPr>
                <w:szCs w:val="21"/>
              </w:rPr>
              <w:t>/</w:t>
            </w:r>
          </w:p>
        </w:tc>
        <w:tc>
          <w:tcPr>
            <w:tcW w:w="881" w:type="pct"/>
            <w:noWrap w:val="0"/>
            <w:vAlign w:val="center"/>
          </w:tcPr>
          <w:p>
            <w:pPr>
              <w:adjustRightInd w:val="0"/>
              <w:snapToGrid w:val="0"/>
              <w:contextualSpacing/>
              <w:jc w:val="center"/>
              <w:rPr>
                <w:szCs w:val="21"/>
              </w:rPr>
            </w:pPr>
            <w:r>
              <w:rPr>
                <w:szCs w:val="21"/>
              </w:rPr>
              <w:t>/</w:t>
            </w:r>
          </w:p>
        </w:tc>
        <w:tc>
          <w:tcPr>
            <w:tcW w:w="260" w:type="pct"/>
            <w:noWrap w:val="0"/>
            <w:vAlign w:val="center"/>
          </w:tcPr>
          <w:p>
            <w:pPr>
              <w:adjustRightInd w:val="0"/>
              <w:snapToGrid w:val="0"/>
              <w:contextualSpacing/>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88" w:type="pct"/>
            <w:gridSpan w:val="2"/>
            <w:vMerge w:val="continue"/>
            <w:noWrap w:val="0"/>
            <w:vAlign w:val="center"/>
          </w:tcPr>
          <w:p>
            <w:pPr>
              <w:adjustRightInd w:val="0"/>
              <w:snapToGrid w:val="0"/>
              <w:contextualSpacing/>
              <w:rPr>
                <w:szCs w:val="21"/>
              </w:rPr>
            </w:pPr>
          </w:p>
        </w:tc>
        <w:tc>
          <w:tcPr>
            <w:tcW w:w="315" w:type="pct"/>
            <w:vMerge w:val="continue"/>
            <w:noWrap w:val="0"/>
            <w:vAlign w:val="center"/>
          </w:tcPr>
          <w:p>
            <w:pPr>
              <w:widowControl/>
              <w:jc w:val="center"/>
              <w:rPr>
                <w:szCs w:val="21"/>
              </w:rPr>
            </w:pPr>
          </w:p>
        </w:tc>
        <w:tc>
          <w:tcPr>
            <w:tcW w:w="519" w:type="pct"/>
            <w:noWrap w:val="0"/>
            <w:vAlign w:val="center"/>
          </w:tcPr>
          <w:p>
            <w:pPr>
              <w:widowControl/>
              <w:shd w:val="clear" w:color="auto" w:fill="FFFFFF"/>
              <w:jc w:val="center"/>
              <w:rPr>
                <w:szCs w:val="21"/>
              </w:rPr>
            </w:pPr>
            <w:r>
              <w:rPr>
                <w:szCs w:val="21"/>
              </w:rPr>
              <w:t>资源开发利用效率要求</w:t>
            </w:r>
          </w:p>
        </w:tc>
        <w:tc>
          <w:tcPr>
            <w:tcW w:w="2437" w:type="pct"/>
            <w:noWrap w:val="0"/>
            <w:vAlign w:val="center"/>
          </w:tcPr>
          <w:p>
            <w:pPr>
              <w:widowControl/>
              <w:shd w:val="clear" w:color="auto" w:fill="FFFFFF"/>
              <w:jc w:val="center"/>
              <w:rPr>
                <w:szCs w:val="21"/>
              </w:rPr>
            </w:pPr>
            <w:r>
              <w:rPr>
                <w:szCs w:val="21"/>
              </w:rPr>
              <w:t>/</w:t>
            </w:r>
          </w:p>
        </w:tc>
        <w:tc>
          <w:tcPr>
            <w:tcW w:w="881" w:type="pct"/>
            <w:noWrap w:val="0"/>
            <w:vAlign w:val="center"/>
          </w:tcPr>
          <w:p>
            <w:pPr>
              <w:adjustRightInd w:val="0"/>
              <w:snapToGrid w:val="0"/>
              <w:contextualSpacing/>
              <w:jc w:val="center"/>
              <w:rPr>
                <w:szCs w:val="21"/>
              </w:rPr>
            </w:pPr>
            <w:r>
              <w:rPr>
                <w:szCs w:val="21"/>
              </w:rPr>
              <w:t>/</w:t>
            </w:r>
          </w:p>
        </w:tc>
        <w:tc>
          <w:tcPr>
            <w:tcW w:w="260" w:type="pct"/>
            <w:noWrap w:val="0"/>
            <w:vAlign w:val="center"/>
          </w:tcPr>
          <w:p>
            <w:pPr>
              <w:adjustRightInd w:val="0"/>
              <w:snapToGrid w:val="0"/>
              <w:contextualSpacing/>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88" w:type="pct"/>
            <w:gridSpan w:val="2"/>
            <w:vMerge w:val="continue"/>
            <w:noWrap w:val="0"/>
            <w:vAlign w:val="center"/>
          </w:tcPr>
          <w:p>
            <w:pPr>
              <w:adjustRightInd w:val="0"/>
              <w:snapToGrid w:val="0"/>
              <w:contextualSpacing/>
              <w:rPr>
                <w:szCs w:val="21"/>
              </w:rPr>
            </w:pPr>
          </w:p>
        </w:tc>
        <w:tc>
          <w:tcPr>
            <w:tcW w:w="315" w:type="pct"/>
            <w:vMerge w:val="restart"/>
            <w:noWrap w:val="0"/>
            <w:vAlign w:val="center"/>
          </w:tcPr>
          <w:p>
            <w:pPr>
              <w:widowControl/>
              <w:jc w:val="center"/>
              <w:rPr>
                <w:szCs w:val="21"/>
              </w:rPr>
            </w:pPr>
            <w:r>
              <w:rPr>
                <w:szCs w:val="21"/>
              </w:rPr>
              <w:t>单元特性管控要求</w:t>
            </w:r>
          </w:p>
        </w:tc>
        <w:tc>
          <w:tcPr>
            <w:tcW w:w="519" w:type="pct"/>
            <w:noWrap w:val="0"/>
            <w:vAlign w:val="center"/>
          </w:tcPr>
          <w:p>
            <w:pPr>
              <w:widowControl/>
              <w:shd w:val="clear" w:color="auto" w:fill="FFFFFF"/>
              <w:jc w:val="center"/>
              <w:rPr>
                <w:szCs w:val="21"/>
              </w:rPr>
            </w:pPr>
            <w:r>
              <w:rPr>
                <w:szCs w:val="21"/>
              </w:rPr>
              <w:t>空间布局约束</w:t>
            </w:r>
          </w:p>
        </w:tc>
        <w:tc>
          <w:tcPr>
            <w:tcW w:w="2437" w:type="pct"/>
            <w:noWrap w:val="0"/>
            <w:vAlign w:val="center"/>
          </w:tcPr>
          <w:p>
            <w:pPr>
              <w:widowControl/>
              <w:shd w:val="clear" w:color="auto" w:fill="FFFFFF"/>
              <w:rPr>
                <w:szCs w:val="21"/>
              </w:rPr>
            </w:pPr>
            <w:r>
              <w:rPr>
                <w:szCs w:val="21"/>
              </w:rPr>
              <w:t>禁止开发建设活动的要求</w:t>
            </w:r>
          </w:p>
          <w:p>
            <w:pPr>
              <w:widowControl/>
              <w:shd w:val="clear" w:color="auto" w:fill="FFFFFF"/>
              <w:rPr>
                <w:szCs w:val="21"/>
              </w:rPr>
            </w:pPr>
            <w:r>
              <w:rPr>
                <w:szCs w:val="21"/>
              </w:rPr>
              <w:t>限制开发建设活动的要求</w:t>
            </w:r>
          </w:p>
          <w:p>
            <w:pPr>
              <w:widowControl/>
              <w:shd w:val="clear" w:color="auto" w:fill="FFFFFF"/>
              <w:rPr>
                <w:szCs w:val="21"/>
              </w:rPr>
            </w:pPr>
            <w:r>
              <w:rPr>
                <w:szCs w:val="21"/>
              </w:rPr>
              <w:t>允许开发建设活动的要求</w:t>
            </w:r>
          </w:p>
          <w:p>
            <w:pPr>
              <w:widowControl/>
              <w:shd w:val="clear" w:color="auto" w:fill="FFFFFF"/>
              <w:rPr>
                <w:szCs w:val="21"/>
              </w:rPr>
            </w:pPr>
            <w:r>
              <w:rPr>
                <w:szCs w:val="21"/>
              </w:rPr>
              <w:t>不符合空间布局要求活动的退出要求</w:t>
            </w:r>
          </w:p>
          <w:p>
            <w:pPr>
              <w:widowControl/>
              <w:shd w:val="clear" w:color="auto" w:fill="FFFFFF"/>
              <w:rPr>
                <w:szCs w:val="21"/>
              </w:rPr>
            </w:pPr>
            <w:r>
              <w:rPr>
                <w:szCs w:val="21"/>
              </w:rPr>
              <w:t>其他空间布局约束要求</w:t>
            </w:r>
          </w:p>
        </w:tc>
        <w:tc>
          <w:tcPr>
            <w:tcW w:w="881" w:type="pct"/>
            <w:noWrap w:val="0"/>
            <w:vAlign w:val="center"/>
          </w:tcPr>
          <w:p>
            <w:pPr>
              <w:adjustRightInd w:val="0"/>
              <w:snapToGrid w:val="0"/>
              <w:contextualSpacing/>
              <w:rPr>
                <w:szCs w:val="21"/>
              </w:rPr>
            </w:pPr>
            <w:r>
              <w:rPr>
                <w:szCs w:val="21"/>
              </w:rPr>
              <w:t>项目不涉及。</w:t>
            </w:r>
          </w:p>
        </w:tc>
        <w:tc>
          <w:tcPr>
            <w:tcW w:w="260" w:type="pct"/>
            <w:noWrap w:val="0"/>
            <w:vAlign w:val="center"/>
          </w:tcPr>
          <w:p>
            <w:pPr>
              <w:adjustRightInd w:val="0"/>
              <w:snapToGrid w:val="0"/>
              <w:contextualSpacing/>
              <w:jc w:val="left"/>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88" w:type="pct"/>
            <w:gridSpan w:val="2"/>
            <w:vMerge w:val="continue"/>
            <w:noWrap w:val="0"/>
            <w:vAlign w:val="center"/>
          </w:tcPr>
          <w:p>
            <w:pPr>
              <w:adjustRightInd w:val="0"/>
              <w:snapToGrid w:val="0"/>
              <w:contextualSpacing/>
              <w:rPr>
                <w:szCs w:val="21"/>
              </w:rPr>
            </w:pPr>
          </w:p>
        </w:tc>
        <w:tc>
          <w:tcPr>
            <w:tcW w:w="315" w:type="pct"/>
            <w:vMerge w:val="continue"/>
            <w:noWrap w:val="0"/>
            <w:vAlign w:val="center"/>
          </w:tcPr>
          <w:p>
            <w:pPr>
              <w:widowControl/>
              <w:jc w:val="center"/>
              <w:rPr>
                <w:szCs w:val="21"/>
              </w:rPr>
            </w:pPr>
          </w:p>
        </w:tc>
        <w:tc>
          <w:tcPr>
            <w:tcW w:w="519" w:type="pct"/>
            <w:noWrap w:val="0"/>
            <w:vAlign w:val="center"/>
          </w:tcPr>
          <w:p>
            <w:pPr>
              <w:widowControl/>
              <w:shd w:val="clear" w:color="auto" w:fill="FFFFFF"/>
              <w:jc w:val="center"/>
              <w:rPr>
                <w:szCs w:val="21"/>
              </w:rPr>
            </w:pPr>
            <w:r>
              <w:rPr>
                <w:szCs w:val="21"/>
              </w:rPr>
              <w:t>污染物排放</w:t>
            </w:r>
          </w:p>
          <w:p>
            <w:pPr>
              <w:widowControl/>
              <w:shd w:val="clear" w:color="auto" w:fill="FFFFFF"/>
              <w:jc w:val="center"/>
              <w:rPr>
                <w:szCs w:val="21"/>
              </w:rPr>
            </w:pPr>
            <w:r>
              <w:rPr>
                <w:szCs w:val="21"/>
              </w:rPr>
              <w:t>管控</w:t>
            </w:r>
          </w:p>
        </w:tc>
        <w:tc>
          <w:tcPr>
            <w:tcW w:w="2437" w:type="pct"/>
            <w:noWrap w:val="0"/>
            <w:vAlign w:val="center"/>
          </w:tcPr>
          <w:p>
            <w:pPr>
              <w:widowControl/>
              <w:shd w:val="clear" w:color="auto" w:fill="FFFFFF"/>
              <w:rPr>
                <w:szCs w:val="21"/>
              </w:rPr>
            </w:pPr>
            <w:r>
              <w:rPr>
                <w:szCs w:val="21"/>
              </w:rPr>
              <w:t>城镇污水污染控制措施要求</w:t>
            </w:r>
          </w:p>
          <w:p>
            <w:pPr>
              <w:widowControl/>
              <w:shd w:val="clear" w:color="auto" w:fill="FFFFFF"/>
              <w:rPr>
                <w:szCs w:val="21"/>
              </w:rPr>
            </w:pPr>
            <w:r>
              <w:rPr>
                <w:szCs w:val="21"/>
              </w:rPr>
              <w:t>强化生活污水治理，以尾水排放去向确定排放标准，因地制宜选取治理技术及方法，加快污水处理设施建设运行，城污水城镇生活污水处理厂出水达到《城镇污水处理厂污染物排放标准》（GB18925）要求；鼓励农村生活污水实行资源化利用，排放的尾水达到《农村生活污水处理设施水污染物排放标准》要求。强化生活垃圾收集处理，推广生活垃圾分类收集处理，从源头减少处理处置量。</w:t>
            </w:r>
          </w:p>
          <w:p>
            <w:pPr>
              <w:widowControl/>
              <w:shd w:val="clear" w:color="auto" w:fill="FFFFFF"/>
              <w:rPr>
                <w:szCs w:val="21"/>
              </w:rPr>
            </w:pPr>
            <w:r>
              <w:rPr>
                <w:szCs w:val="21"/>
              </w:rPr>
              <w:t>工业废水污染控制措施要求</w:t>
            </w:r>
          </w:p>
          <w:p>
            <w:pPr>
              <w:widowControl/>
              <w:shd w:val="clear" w:color="auto" w:fill="FFFFFF"/>
              <w:rPr>
                <w:szCs w:val="21"/>
              </w:rPr>
            </w:pPr>
            <w:r>
              <w:rPr>
                <w:szCs w:val="21"/>
              </w:rPr>
              <w:t>农业面源水污染控制措施要求</w:t>
            </w:r>
          </w:p>
          <w:p>
            <w:pPr>
              <w:widowControl/>
              <w:shd w:val="clear" w:color="auto" w:fill="FFFFFF"/>
              <w:rPr>
                <w:szCs w:val="21"/>
              </w:rPr>
            </w:pPr>
            <w:r>
              <w:rPr>
                <w:szCs w:val="21"/>
              </w:rPr>
              <w:t>船舶港口水污染控制措施要求</w:t>
            </w:r>
          </w:p>
          <w:p>
            <w:pPr>
              <w:widowControl/>
              <w:shd w:val="clear" w:color="auto" w:fill="FFFFFF"/>
              <w:rPr>
                <w:szCs w:val="21"/>
              </w:rPr>
            </w:pPr>
            <w:r>
              <w:rPr>
                <w:szCs w:val="21"/>
              </w:rPr>
              <w:t>饮用水水源和其它特殊水体保护要求</w:t>
            </w:r>
          </w:p>
        </w:tc>
        <w:tc>
          <w:tcPr>
            <w:tcW w:w="881" w:type="pct"/>
            <w:noWrap w:val="0"/>
            <w:vAlign w:val="center"/>
          </w:tcPr>
          <w:p>
            <w:pPr>
              <w:adjustRightInd w:val="0"/>
              <w:snapToGrid w:val="0"/>
              <w:contextualSpacing/>
              <w:rPr>
                <w:szCs w:val="21"/>
              </w:rPr>
            </w:pPr>
            <w:r>
              <w:rPr>
                <w:szCs w:val="21"/>
              </w:rPr>
              <w:t>本项目属于污水处理厂改扩建项目，项目排水执行《城镇污水处理厂污染物排放标准》（GB18918-2002）一级A标准后排入双龙河。</w:t>
            </w:r>
          </w:p>
          <w:p>
            <w:pPr>
              <w:adjustRightInd w:val="0"/>
              <w:snapToGrid w:val="0"/>
              <w:contextualSpacing/>
              <w:rPr>
                <w:szCs w:val="21"/>
              </w:rPr>
            </w:pPr>
            <w:r>
              <w:rPr>
                <w:szCs w:val="21"/>
              </w:rPr>
              <w:t>项目的建设对双龙河流域的保护具有环境正效益，减少城镇生活污水未经处理散排乱排。</w:t>
            </w:r>
          </w:p>
        </w:tc>
        <w:tc>
          <w:tcPr>
            <w:tcW w:w="260" w:type="pct"/>
            <w:noWrap w:val="0"/>
            <w:vAlign w:val="center"/>
          </w:tcPr>
          <w:p>
            <w:pPr>
              <w:adjustRightInd w:val="0"/>
              <w:snapToGrid w:val="0"/>
              <w:contextualSpacing/>
              <w:jc w:val="left"/>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88" w:type="pct"/>
            <w:gridSpan w:val="2"/>
            <w:vMerge w:val="continue"/>
            <w:noWrap w:val="0"/>
            <w:vAlign w:val="center"/>
          </w:tcPr>
          <w:p>
            <w:pPr>
              <w:adjustRightInd w:val="0"/>
              <w:snapToGrid w:val="0"/>
              <w:contextualSpacing/>
              <w:rPr>
                <w:szCs w:val="21"/>
              </w:rPr>
            </w:pPr>
          </w:p>
        </w:tc>
        <w:tc>
          <w:tcPr>
            <w:tcW w:w="315" w:type="pct"/>
            <w:vMerge w:val="continue"/>
            <w:noWrap w:val="0"/>
            <w:vAlign w:val="center"/>
          </w:tcPr>
          <w:p>
            <w:pPr>
              <w:widowControl/>
              <w:jc w:val="center"/>
              <w:rPr>
                <w:szCs w:val="21"/>
              </w:rPr>
            </w:pPr>
          </w:p>
        </w:tc>
        <w:tc>
          <w:tcPr>
            <w:tcW w:w="519" w:type="pct"/>
            <w:noWrap w:val="0"/>
            <w:vAlign w:val="center"/>
          </w:tcPr>
          <w:p>
            <w:pPr>
              <w:widowControl/>
              <w:shd w:val="clear" w:color="auto" w:fill="FFFFFF"/>
              <w:jc w:val="center"/>
              <w:rPr>
                <w:szCs w:val="21"/>
              </w:rPr>
            </w:pPr>
            <w:r>
              <w:rPr>
                <w:szCs w:val="21"/>
              </w:rPr>
              <w:t>环境风险防控</w:t>
            </w:r>
          </w:p>
        </w:tc>
        <w:tc>
          <w:tcPr>
            <w:tcW w:w="2437" w:type="pct"/>
            <w:noWrap w:val="0"/>
            <w:vAlign w:val="center"/>
          </w:tcPr>
          <w:p>
            <w:pPr>
              <w:widowControl/>
              <w:shd w:val="clear" w:color="auto" w:fill="FFFFFF"/>
              <w:rPr>
                <w:szCs w:val="21"/>
              </w:rPr>
            </w:pPr>
            <w:r>
              <w:rPr>
                <w:szCs w:val="21"/>
              </w:rPr>
              <w:t>加强环境风险防范，坚持预防为主，构建以企业为主体的环境风险防控体系，优化产业布局，加强协调联动，提升应急救援能力；严格环境风险源头防控，加强涉重金属、危险废物、危化品等重点企业环境风险评估；强化工业、企业集中分布区环境风险管控，建设相应的防护工程</w:t>
            </w:r>
          </w:p>
        </w:tc>
        <w:tc>
          <w:tcPr>
            <w:tcW w:w="881" w:type="pct"/>
            <w:noWrap w:val="0"/>
            <w:vAlign w:val="center"/>
          </w:tcPr>
          <w:p>
            <w:pPr>
              <w:adjustRightInd w:val="0"/>
              <w:snapToGrid w:val="0"/>
              <w:contextualSpacing/>
              <w:rPr>
                <w:szCs w:val="21"/>
              </w:rPr>
            </w:pPr>
            <w:r>
              <w:rPr>
                <w:szCs w:val="21"/>
              </w:rPr>
              <w:t>项目环境风险可控，满足要素重点管控单元总体准入要求。</w:t>
            </w:r>
          </w:p>
        </w:tc>
        <w:tc>
          <w:tcPr>
            <w:tcW w:w="260" w:type="pct"/>
            <w:noWrap w:val="0"/>
            <w:vAlign w:val="center"/>
          </w:tcPr>
          <w:p>
            <w:pPr>
              <w:adjustRightInd w:val="0"/>
              <w:snapToGrid w:val="0"/>
              <w:contextualSpacing/>
              <w:jc w:val="left"/>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88" w:type="pct"/>
            <w:gridSpan w:val="2"/>
            <w:vMerge w:val="restart"/>
            <w:noWrap w:val="0"/>
            <w:vAlign w:val="center"/>
          </w:tcPr>
          <w:p>
            <w:pPr>
              <w:adjustRightInd w:val="0"/>
              <w:snapToGrid w:val="0"/>
              <w:contextualSpacing/>
              <w:rPr>
                <w:szCs w:val="21"/>
              </w:rPr>
            </w:pPr>
            <w:r>
              <w:rPr>
                <w:szCs w:val="21"/>
              </w:rPr>
              <w:t>大气环境受体敏感重点管控区-通川区中心城区-YS5117022340005</w:t>
            </w:r>
          </w:p>
        </w:tc>
        <w:tc>
          <w:tcPr>
            <w:tcW w:w="315" w:type="pct"/>
            <w:vMerge w:val="restart"/>
            <w:noWrap w:val="0"/>
            <w:vAlign w:val="center"/>
          </w:tcPr>
          <w:p>
            <w:pPr>
              <w:widowControl/>
              <w:jc w:val="center"/>
              <w:rPr>
                <w:szCs w:val="21"/>
              </w:rPr>
            </w:pPr>
            <w:r>
              <w:rPr>
                <w:szCs w:val="21"/>
              </w:rPr>
              <w:t>普适性清单</w:t>
            </w:r>
          </w:p>
        </w:tc>
        <w:tc>
          <w:tcPr>
            <w:tcW w:w="519" w:type="pct"/>
            <w:noWrap w:val="0"/>
            <w:vAlign w:val="center"/>
          </w:tcPr>
          <w:p>
            <w:pPr>
              <w:widowControl/>
              <w:shd w:val="clear" w:color="auto" w:fill="FFFFFF"/>
              <w:jc w:val="center"/>
              <w:rPr>
                <w:szCs w:val="21"/>
              </w:rPr>
            </w:pPr>
            <w:r>
              <w:rPr>
                <w:szCs w:val="21"/>
              </w:rPr>
              <w:t>资源开发效率要求</w:t>
            </w:r>
          </w:p>
        </w:tc>
        <w:tc>
          <w:tcPr>
            <w:tcW w:w="2437" w:type="pct"/>
            <w:noWrap w:val="0"/>
            <w:vAlign w:val="center"/>
          </w:tcPr>
          <w:p>
            <w:pPr>
              <w:widowControl/>
              <w:shd w:val="clear" w:color="auto" w:fill="FFFFFF"/>
              <w:rPr>
                <w:szCs w:val="21"/>
              </w:rPr>
            </w:pPr>
            <w:r>
              <w:rPr>
                <w:szCs w:val="21"/>
              </w:rPr>
              <w:t>/</w:t>
            </w:r>
          </w:p>
        </w:tc>
        <w:tc>
          <w:tcPr>
            <w:tcW w:w="881" w:type="pct"/>
            <w:noWrap w:val="0"/>
            <w:vAlign w:val="center"/>
          </w:tcPr>
          <w:p>
            <w:pPr>
              <w:adjustRightInd w:val="0"/>
              <w:snapToGrid w:val="0"/>
              <w:contextualSpacing/>
              <w:rPr>
                <w:szCs w:val="21"/>
              </w:rPr>
            </w:pPr>
            <w:r>
              <w:rPr>
                <w:szCs w:val="21"/>
              </w:rPr>
              <w:t>/</w:t>
            </w:r>
          </w:p>
        </w:tc>
        <w:tc>
          <w:tcPr>
            <w:tcW w:w="260" w:type="pct"/>
            <w:noWrap w:val="0"/>
            <w:vAlign w:val="center"/>
          </w:tcPr>
          <w:p>
            <w:pPr>
              <w:adjustRightInd w:val="0"/>
              <w:snapToGrid w:val="0"/>
              <w:contextualSpacing/>
              <w:jc w:val="left"/>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88" w:type="pct"/>
            <w:gridSpan w:val="2"/>
            <w:vMerge w:val="continue"/>
            <w:noWrap w:val="0"/>
            <w:vAlign w:val="center"/>
          </w:tcPr>
          <w:p>
            <w:pPr>
              <w:adjustRightInd w:val="0"/>
              <w:snapToGrid w:val="0"/>
              <w:contextualSpacing/>
              <w:rPr>
                <w:szCs w:val="21"/>
              </w:rPr>
            </w:pPr>
          </w:p>
        </w:tc>
        <w:tc>
          <w:tcPr>
            <w:tcW w:w="315" w:type="pct"/>
            <w:vMerge w:val="continue"/>
            <w:noWrap w:val="0"/>
            <w:vAlign w:val="center"/>
          </w:tcPr>
          <w:p>
            <w:pPr>
              <w:widowControl/>
              <w:jc w:val="center"/>
              <w:rPr>
                <w:szCs w:val="21"/>
              </w:rPr>
            </w:pPr>
          </w:p>
        </w:tc>
        <w:tc>
          <w:tcPr>
            <w:tcW w:w="519" w:type="pct"/>
            <w:noWrap w:val="0"/>
            <w:vAlign w:val="center"/>
          </w:tcPr>
          <w:p>
            <w:pPr>
              <w:widowControl/>
              <w:shd w:val="clear" w:color="auto" w:fill="FFFFFF"/>
              <w:jc w:val="center"/>
              <w:rPr>
                <w:szCs w:val="21"/>
              </w:rPr>
            </w:pPr>
            <w:r>
              <w:rPr>
                <w:szCs w:val="21"/>
              </w:rPr>
              <w:t>空间布局约束</w:t>
            </w:r>
          </w:p>
        </w:tc>
        <w:tc>
          <w:tcPr>
            <w:tcW w:w="2437" w:type="pct"/>
            <w:noWrap w:val="0"/>
            <w:vAlign w:val="center"/>
          </w:tcPr>
          <w:p>
            <w:pPr>
              <w:widowControl/>
              <w:shd w:val="clear" w:color="auto" w:fill="FFFFFF"/>
              <w:rPr>
                <w:szCs w:val="21"/>
              </w:rPr>
            </w:pPr>
            <w:r>
              <w:rPr>
                <w:szCs w:val="21"/>
              </w:rPr>
              <w:t>/</w:t>
            </w:r>
          </w:p>
        </w:tc>
        <w:tc>
          <w:tcPr>
            <w:tcW w:w="881" w:type="pct"/>
            <w:noWrap w:val="0"/>
            <w:vAlign w:val="center"/>
          </w:tcPr>
          <w:p>
            <w:pPr>
              <w:adjustRightInd w:val="0"/>
              <w:snapToGrid w:val="0"/>
              <w:contextualSpacing/>
              <w:rPr>
                <w:szCs w:val="21"/>
              </w:rPr>
            </w:pPr>
            <w:r>
              <w:rPr>
                <w:szCs w:val="21"/>
              </w:rPr>
              <w:t>/</w:t>
            </w:r>
          </w:p>
        </w:tc>
        <w:tc>
          <w:tcPr>
            <w:tcW w:w="260" w:type="pct"/>
            <w:noWrap w:val="0"/>
            <w:vAlign w:val="center"/>
          </w:tcPr>
          <w:p>
            <w:pPr>
              <w:adjustRightInd w:val="0"/>
              <w:snapToGrid w:val="0"/>
              <w:contextualSpacing/>
              <w:jc w:val="left"/>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88" w:type="pct"/>
            <w:gridSpan w:val="2"/>
            <w:vMerge w:val="continue"/>
            <w:noWrap w:val="0"/>
            <w:vAlign w:val="center"/>
          </w:tcPr>
          <w:p>
            <w:pPr>
              <w:adjustRightInd w:val="0"/>
              <w:snapToGrid w:val="0"/>
              <w:contextualSpacing/>
              <w:rPr>
                <w:szCs w:val="21"/>
              </w:rPr>
            </w:pPr>
          </w:p>
        </w:tc>
        <w:tc>
          <w:tcPr>
            <w:tcW w:w="315" w:type="pct"/>
            <w:vMerge w:val="continue"/>
            <w:noWrap w:val="0"/>
            <w:vAlign w:val="center"/>
          </w:tcPr>
          <w:p>
            <w:pPr>
              <w:widowControl/>
              <w:jc w:val="center"/>
              <w:rPr>
                <w:szCs w:val="21"/>
              </w:rPr>
            </w:pPr>
          </w:p>
        </w:tc>
        <w:tc>
          <w:tcPr>
            <w:tcW w:w="519" w:type="pct"/>
            <w:noWrap w:val="0"/>
            <w:vAlign w:val="center"/>
          </w:tcPr>
          <w:p>
            <w:pPr>
              <w:widowControl/>
              <w:shd w:val="clear" w:color="auto" w:fill="FFFFFF"/>
              <w:jc w:val="center"/>
              <w:rPr>
                <w:szCs w:val="21"/>
              </w:rPr>
            </w:pPr>
            <w:r>
              <w:rPr>
                <w:szCs w:val="21"/>
              </w:rPr>
              <w:t>污染物排放</w:t>
            </w:r>
          </w:p>
          <w:p>
            <w:pPr>
              <w:widowControl/>
              <w:shd w:val="clear" w:color="auto" w:fill="FFFFFF"/>
              <w:jc w:val="center"/>
              <w:rPr>
                <w:szCs w:val="21"/>
              </w:rPr>
            </w:pPr>
            <w:r>
              <w:rPr>
                <w:szCs w:val="21"/>
              </w:rPr>
              <w:t>管控</w:t>
            </w:r>
          </w:p>
        </w:tc>
        <w:tc>
          <w:tcPr>
            <w:tcW w:w="2437" w:type="pct"/>
            <w:noWrap w:val="0"/>
            <w:vAlign w:val="center"/>
          </w:tcPr>
          <w:p>
            <w:pPr>
              <w:widowControl/>
              <w:shd w:val="clear" w:color="auto" w:fill="FFFFFF"/>
              <w:rPr>
                <w:szCs w:val="21"/>
              </w:rPr>
            </w:pPr>
            <w:r>
              <w:rPr>
                <w:szCs w:val="21"/>
              </w:rPr>
              <w:t>/</w:t>
            </w:r>
          </w:p>
        </w:tc>
        <w:tc>
          <w:tcPr>
            <w:tcW w:w="881" w:type="pct"/>
            <w:noWrap w:val="0"/>
            <w:vAlign w:val="center"/>
          </w:tcPr>
          <w:p>
            <w:pPr>
              <w:adjustRightInd w:val="0"/>
              <w:snapToGrid w:val="0"/>
              <w:contextualSpacing/>
              <w:rPr>
                <w:szCs w:val="21"/>
              </w:rPr>
            </w:pPr>
            <w:r>
              <w:rPr>
                <w:szCs w:val="21"/>
              </w:rPr>
              <w:t>/</w:t>
            </w:r>
          </w:p>
        </w:tc>
        <w:tc>
          <w:tcPr>
            <w:tcW w:w="260" w:type="pct"/>
            <w:noWrap w:val="0"/>
            <w:vAlign w:val="center"/>
          </w:tcPr>
          <w:p>
            <w:pPr>
              <w:adjustRightInd w:val="0"/>
              <w:snapToGrid w:val="0"/>
              <w:contextualSpacing/>
              <w:jc w:val="left"/>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88" w:type="pct"/>
            <w:gridSpan w:val="2"/>
            <w:vMerge w:val="continue"/>
            <w:noWrap w:val="0"/>
            <w:vAlign w:val="center"/>
          </w:tcPr>
          <w:p>
            <w:pPr>
              <w:adjustRightInd w:val="0"/>
              <w:snapToGrid w:val="0"/>
              <w:contextualSpacing/>
              <w:rPr>
                <w:szCs w:val="21"/>
              </w:rPr>
            </w:pPr>
          </w:p>
        </w:tc>
        <w:tc>
          <w:tcPr>
            <w:tcW w:w="315" w:type="pct"/>
            <w:vMerge w:val="continue"/>
            <w:noWrap w:val="0"/>
            <w:vAlign w:val="center"/>
          </w:tcPr>
          <w:p>
            <w:pPr>
              <w:widowControl/>
              <w:jc w:val="center"/>
              <w:rPr>
                <w:szCs w:val="21"/>
              </w:rPr>
            </w:pPr>
          </w:p>
        </w:tc>
        <w:tc>
          <w:tcPr>
            <w:tcW w:w="519" w:type="pct"/>
            <w:noWrap w:val="0"/>
            <w:vAlign w:val="center"/>
          </w:tcPr>
          <w:p>
            <w:pPr>
              <w:widowControl/>
              <w:shd w:val="clear" w:color="auto" w:fill="FFFFFF"/>
              <w:jc w:val="center"/>
              <w:rPr>
                <w:szCs w:val="21"/>
              </w:rPr>
            </w:pPr>
            <w:r>
              <w:rPr>
                <w:szCs w:val="21"/>
              </w:rPr>
              <w:t>环境风险防控</w:t>
            </w:r>
          </w:p>
        </w:tc>
        <w:tc>
          <w:tcPr>
            <w:tcW w:w="2437" w:type="pct"/>
            <w:noWrap w:val="0"/>
            <w:vAlign w:val="center"/>
          </w:tcPr>
          <w:p>
            <w:pPr>
              <w:widowControl/>
              <w:shd w:val="clear" w:color="auto" w:fill="FFFFFF"/>
              <w:rPr>
                <w:szCs w:val="21"/>
              </w:rPr>
            </w:pPr>
            <w:r>
              <w:rPr>
                <w:szCs w:val="21"/>
              </w:rPr>
              <w:t>/</w:t>
            </w:r>
          </w:p>
        </w:tc>
        <w:tc>
          <w:tcPr>
            <w:tcW w:w="881" w:type="pct"/>
            <w:noWrap w:val="0"/>
            <w:vAlign w:val="center"/>
          </w:tcPr>
          <w:p>
            <w:pPr>
              <w:adjustRightInd w:val="0"/>
              <w:snapToGrid w:val="0"/>
              <w:contextualSpacing/>
              <w:rPr>
                <w:szCs w:val="21"/>
              </w:rPr>
            </w:pPr>
            <w:r>
              <w:rPr>
                <w:szCs w:val="21"/>
              </w:rPr>
              <w:t>/</w:t>
            </w:r>
          </w:p>
        </w:tc>
        <w:tc>
          <w:tcPr>
            <w:tcW w:w="260" w:type="pct"/>
            <w:noWrap w:val="0"/>
            <w:vAlign w:val="center"/>
          </w:tcPr>
          <w:p>
            <w:pPr>
              <w:adjustRightInd w:val="0"/>
              <w:snapToGrid w:val="0"/>
              <w:contextualSpacing/>
              <w:jc w:val="left"/>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88" w:type="pct"/>
            <w:gridSpan w:val="2"/>
            <w:vMerge w:val="continue"/>
            <w:noWrap w:val="0"/>
            <w:vAlign w:val="center"/>
          </w:tcPr>
          <w:p>
            <w:pPr>
              <w:adjustRightInd w:val="0"/>
              <w:snapToGrid w:val="0"/>
              <w:contextualSpacing/>
              <w:rPr>
                <w:szCs w:val="21"/>
              </w:rPr>
            </w:pPr>
          </w:p>
        </w:tc>
        <w:tc>
          <w:tcPr>
            <w:tcW w:w="315" w:type="pct"/>
            <w:vMerge w:val="continue"/>
            <w:noWrap w:val="0"/>
            <w:vAlign w:val="center"/>
          </w:tcPr>
          <w:p>
            <w:pPr>
              <w:widowControl/>
              <w:jc w:val="center"/>
              <w:rPr>
                <w:szCs w:val="21"/>
              </w:rPr>
            </w:pPr>
          </w:p>
        </w:tc>
        <w:tc>
          <w:tcPr>
            <w:tcW w:w="519" w:type="pct"/>
            <w:noWrap w:val="0"/>
            <w:vAlign w:val="center"/>
          </w:tcPr>
          <w:p>
            <w:pPr>
              <w:widowControl/>
              <w:shd w:val="clear" w:color="auto" w:fill="FFFFFF"/>
              <w:jc w:val="center"/>
              <w:rPr>
                <w:szCs w:val="21"/>
              </w:rPr>
            </w:pPr>
            <w:r>
              <w:rPr>
                <w:szCs w:val="21"/>
              </w:rPr>
              <w:t>资源开发利用效率要求</w:t>
            </w:r>
          </w:p>
        </w:tc>
        <w:tc>
          <w:tcPr>
            <w:tcW w:w="2437" w:type="pct"/>
            <w:noWrap w:val="0"/>
            <w:vAlign w:val="center"/>
          </w:tcPr>
          <w:p>
            <w:pPr>
              <w:widowControl/>
              <w:shd w:val="clear" w:color="auto" w:fill="FFFFFF"/>
              <w:rPr>
                <w:szCs w:val="21"/>
              </w:rPr>
            </w:pPr>
            <w:r>
              <w:rPr>
                <w:szCs w:val="21"/>
              </w:rPr>
              <w:t>/</w:t>
            </w:r>
          </w:p>
        </w:tc>
        <w:tc>
          <w:tcPr>
            <w:tcW w:w="881" w:type="pct"/>
            <w:noWrap w:val="0"/>
            <w:vAlign w:val="center"/>
          </w:tcPr>
          <w:p>
            <w:pPr>
              <w:adjustRightInd w:val="0"/>
              <w:snapToGrid w:val="0"/>
              <w:contextualSpacing/>
              <w:rPr>
                <w:szCs w:val="21"/>
              </w:rPr>
            </w:pPr>
            <w:r>
              <w:rPr>
                <w:szCs w:val="21"/>
              </w:rPr>
              <w:t>/</w:t>
            </w:r>
          </w:p>
        </w:tc>
        <w:tc>
          <w:tcPr>
            <w:tcW w:w="260" w:type="pct"/>
            <w:noWrap w:val="0"/>
            <w:vAlign w:val="center"/>
          </w:tcPr>
          <w:p>
            <w:pPr>
              <w:adjustRightInd w:val="0"/>
              <w:snapToGrid w:val="0"/>
              <w:contextualSpacing/>
              <w:jc w:val="left"/>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88" w:type="pct"/>
            <w:gridSpan w:val="2"/>
            <w:vMerge w:val="continue"/>
            <w:noWrap w:val="0"/>
            <w:vAlign w:val="center"/>
          </w:tcPr>
          <w:p>
            <w:pPr>
              <w:adjustRightInd w:val="0"/>
              <w:snapToGrid w:val="0"/>
              <w:contextualSpacing/>
              <w:rPr>
                <w:szCs w:val="21"/>
              </w:rPr>
            </w:pPr>
          </w:p>
        </w:tc>
        <w:tc>
          <w:tcPr>
            <w:tcW w:w="315" w:type="pct"/>
            <w:vMerge w:val="restart"/>
            <w:noWrap w:val="0"/>
            <w:vAlign w:val="center"/>
          </w:tcPr>
          <w:p>
            <w:pPr>
              <w:widowControl/>
              <w:jc w:val="center"/>
              <w:rPr>
                <w:szCs w:val="21"/>
              </w:rPr>
            </w:pPr>
            <w:r>
              <w:rPr>
                <w:szCs w:val="21"/>
              </w:rPr>
              <w:t>单元特性管控要求</w:t>
            </w:r>
          </w:p>
        </w:tc>
        <w:tc>
          <w:tcPr>
            <w:tcW w:w="519" w:type="pct"/>
            <w:noWrap w:val="0"/>
            <w:vAlign w:val="center"/>
          </w:tcPr>
          <w:p>
            <w:pPr>
              <w:widowControl/>
              <w:shd w:val="clear" w:color="auto" w:fill="FFFFFF"/>
              <w:jc w:val="center"/>
              <w:rPr>
                <w:szCs w:val="21"/>
              </w:rPr>
            </w:pPr>
            <w:r>
              <w:rPr>
                <w:szCs w:val="21"/>
              </w:rPr>
              <w:t>空间布局约束</w:t>
            </w:r>
          </w:p>
        </w:tc>
        <w:tc>
          <w:tcPr>
            <w:tcW w:w="2437" w:type="pct"/>
            <w:noWrap w:val="0"/>
            <w:vAlign w:val="center"/>
          </w:tcPr>
          <w:p>
            <w:pPr>
              <w:widowControl/>
              <w:shd w:val="clear" w:color="auto" w:fill="FFFFFF"/>
              <w:rPr>
                <w:szCs w:val="21"/>
              </w:rPr>
            </w:pPr>
            <w:r>
              <w:rPr>
                <w:szCs w:val="21"/>
              </w:rPr>
              <w:t>禁止开发建设活动的要求</w:t>
            </w:r>
          </w:p>
          <w:p>
            <w:pPr>
              <w:widowControl/>
              <w:shd w:val="clear" w:color="auto" w:fill="FFFFFF"/>
              <w:rPr>
                <w:szCs w:val="21"/>
              </w:rPr>
            </w:pPr>
            <w:r>
              <w:rPr>
                <w:szCs w:val="21"/>
              </w:rPr>
              <w:t>限制开发建设活动的要求</w:t>
            </w:r>
          </w:p>
          <w:p>
            <w:pPr>
              <w:widowControl/>
              <w:shd w:val="clear" w:color="auto" w:fill="FFFFFF"/>
              <w:rPr>
                <w:szCs w:val="21"/>
              </w:rPr>
            </w:pPr>
            <w:r>
              <w:rPr>
                <w:szCs w:val="21"/>
              </w:rPr>
              <w:t>允许开发建设活动的要求</w:t>
            </w:r>
          </w:p>
          <w:p>
            <w:pPr>
              <w:widowControl/>
              <w:shd w:val="clear" w:color="auto" w:fill="FFFFFF"/>
              <w:rPr>
                <w:szCs w:val="21"/>
              </w:rPr>
            </w:pPr>
            <w:r>
              <w:rPr>
                <w:szCs w:val="21"/>
              </w:rPr>
              <w:t>不符合空间布局要求活动的退出要求</w:t>
            </w:r>
          </w:p>
          <w:p>
            <w:pPr>
              <w:widowControl/>
              <w:shd w:val="clear" w:color="auto" w:fill="FFFFFF"/>
              <w:rPr>
                <w:szCs w:val="21"/>
              </w:rPr>
            </w:pPr>
            <w:r>
              <w:rPr>
                <w:szCs w:val="21"/>
              </w:rPr>
              <w:t>其他空间布局约束要求</w:t>
            </w:r>
          </w:p>
        </w:tc>
        <w:tc>
          <w:tcPr>
            <w:tcW w:w="881" w:type="pct"/>
            <w:noWrap w:val="0"/>
            <w:vAlign w:val="center"/>
          </w:tcPr>
          <w:p>
            <w:pPr>
              <w:adjustRightInd w:val="0"/>
              <w:snapToGrid w:val="0"/>
              <w:contextualSpacing/>
              <w:rPr>
                <w:szCs w:val="21"/>
              </w:rPr>
            </w:pPr>
            <w:r>
              <w:rPr>
                <w:szCs w:val="21"/>
              </w:rPr>
              <w:t>项目不涉及。</w:t>
            </w:r>
          </w:p>
        </w:tc>
        <w:tc>
          <w:tcPr>
            <w:tcW w:w="260" w:type="pct"/>
            <w:noWrap w:val="0"/>
            <w:vAlign w:val="center"/>
          </w:tcPr>
          <w:p>
            <w:pPr>
              <w:adjustRightInd w:val="0"/>
              <w:snapToGrid w:val="0"/>
              <w:contextualSpacing/>
              <w:jc w:val="left"/>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88" w:type="pct"/>
            <w:gridSpan w:val="2"/>
            <w:vMerge w:val="continue"/>
            <w:noWrap w:val="0"/>
            <w:vAlign w:val="center"/>
          </w:tcPr>
          <w:p>
            <w:pPr>
              <w:adjustRightInd w:val="0"/>
              <w:snapToGrid w:val="0"/>
              <w:contextualSpacing/>
              <w:rPr>
                <w:szCs w:val="21"/>
              </w:rPr>
            </w:pPr>
          </w:p>
        </w:tc>
        <w:tc>
          <w:tcPr>
            <w:tcW w:w="315" w:type="pct"/>
            <w:vMerge w:val="continue"/>
            <w:noWrap w:val="0"/>
            <w:vAlign w:val="center"/>
          </w:tcPr>
          <w:p>
            <w:pPr>
              <w:widowControl/>
              <w:jc w:val="center"/>
              <w:rPr>
                <w:szCs w:val="21"/>
              </w:rPr>
            </w:pPr>
          </w:p>
        </w:tc>
        <w:tc>
          <w:tcPr>
            <w:tcW w:w="519" w:type="pct"/>
            <w:noWrap w:val="0"/>
            <w:vAlign w:val="center"/>
          </w:tcPr>
          <w:p>
            <w:pPr>
              <w:widowControl/>
              <w:shd w:val="clear" w:color="auto" w:fill="FFFFFF"/>
              <w:jc w:val="center"/>
              <w:rPr>
                <w:szCs w:val="21"/>
              </w:rPr>
            </w:pPr>
            <w:r>
              <w:rPr>
                <w:szCs w:val="21"/>
              </w:rPr>
              <w:t>污染物排放</w:t>
            </w:r>
          </w:p>
          <w:p>
            <w:pPr>
              <w:widowControl/>
              <w:shd w:val="clear" w:color="auto" w:fill="FFFFFF"/>
              <w:jc w:val="center"/>
              <w:rPr>
                <w:szCs w:val="21"/>
              </w:rPr>
            </w:pPr>
            <w:r>
              <w:rPr>
                <w:szCs w:val="21"/>
              </w:rPr>
              <w:t>管控</w:t>
            </w:r>
          </w:p>
        </w:tc>
        <w:tc>
          <w:tcPr>
            <w:tcW w:w="2437" w:type="pct"/>
            <w:noWrap w:val="0"/>
            <w:vAlign w:val="center"/>
          </w:tcPr>
          <w:p>
            <w:pPr>
              <w:widowControl/>
              <w:shd w:val="clear" w:color="auto" w:fill="FFFFFF"/>
              <w:rPr>
                <w:szCs w:val="21"/>
              </w:rPr>
            </w:pPr>
            <w:r>
              <w:rPr>
                <w:szCs w:val="21"/>
              </w:rPr>
              <w:t>大气环境质量执行标准</w:t>
            </w:r>
          </w:p>
          <w:p>
            <w:pPr>
              <w:widowControl/>
              <w:shd w:val="clear" w:color="auto" w:fill="FFFFFF"/>
              <w:rPr>
                <w:szCs w:val="21"/>
              </w:rPr>
            </w:pPr>
            <w:r>
              <w:rPr>
                <w:szCs w:val="21"/>
              </w:rPr>
              <w:t>《环境空气质量标准》（GB3095-2012）：二级</w:t>
            </w:r>
          </w:p>
          <w:p>
            <w:pPr>
              <w:widowControl/>
              <w:shd w:val="clear" w:color="auto" w:fill="FFFFFF"/>
              <w:rPr>
                <w:szCs w:val="21"/>
              </w:rPr>
            </w:pPr>
            <w:r>
              <w:rPr>
                <w:szCs w:val="21"/>
              </w:rPr>
              <w:t>区域大气污染物削减/替代要求</w:t>
            </w:r>
          </w:p>
          <w:p>
            <w:pPr>
              <w:widowControl/>
              <w:shd w:val="clear" w:color="auto" w:fill="FFFFFF"/>
              <w:rPr>
                <w:szCs w:val="21"/>
              </w:rPr>
            </w:pPr>
            <w:r>
              <w:rPr>
                <w:szCs w:val="21"/>
              </w:rPr>
              <w:t>新增大气污染物排放的建设项目实施总量削减替代。</w:t>
            </w:r>
          </w:p>
          <w:p>
            <w:pPr>
              <w:widowControl/>
              <w:shd w:val="clear" w:color="auto" w:fill="FFFFFF"/>
              <w:rPr>
                <w:szCs w:val="21"/>
              </w:rPr>
            </w:pPr>
            <w:r>
              <w:rPr>
                <w:szCs w:val="21"/>
              </w:rPr>
              <w:t>燃煤和其他能源大气污染控制要求</w:t>
            </w:r>
          </w:p>
          <w:p>
            <w:pPr>
              <w:widowControl/>
              <w:shd w:val="clear" w:color="auto" w:fill="FFFFFF"/>
              <w:rPr>
                <w:szCs w:val="21"/>
              </w:rPr>
            </w:pPr>
            <w:r>
              <w:rPr>
                <w:szCs w:val="21"/>
              </w:rPr>
              <w:t>工业废气污染控制要求</w:t>
            </w:r>
          </w:p>
          <w:p>
            <w:pPr>
              <w:widowControl/>
              <w:shd w:val="clear" w:color="auto" w:fill="FFFFFF"/>
              <w:rPr>
                <w:szCs w:val="21"/>
              </w:rPr>
            </w:pPr>
            <w:r>
              <w:rPr>
                <w:szCs w:val="21"/>
              </w:rPr>
              <w:t>机动车船大气污染控制要求</w:t>
            </w:r>
          </w:p>
          <w:p>
            <w:pPr>
              <w:widowControl/>
              <w:shd w:val="clear" w:color="auto" w:fill="FFFFFF"/>
              <w:rPr>
                <w:szCs w:val="21"/>
              </w:rPr>
            </w:pPr>
            <w:r>
              <w:rPr>
                <w:szCs w:val="21"/>
              </w:rPr>
              <w:t>扬尘污染控制要求</w:t>
            </w:r>
          </w:p>
          <w:p>
            <w:pPr>
              <w:widowControl/>
              <w:shd w:val="clear" w:color="auto" w:fill="FFFFFF"/>
              <w:rPr>
                <w:szCs w:val="21"/>
              </w:rPr>
            </w:pPr>
            <w:r>
              <w:rPr>
                <w:szCs w:val="21"/>
              </w:rPr>
              <w:t>农业生产经营活动大气污染控制要求</w:t>
            </w:r>
          </w:p>
          <w:p>
            <w:pPr>
              <w:widowControl/>
              <w:shd w:val="clear" w:color="auto" w:fill="FFFFFF"/>
              <w:rPr>
                <w:szCs w:val="21"/>
              </w:rPr>
            </w:pPr>
            <w:r>
              <w:rPr>
                <w:szCs w:val="21"/>
              </w:rPr>
              <w:t>重点行业企业专项治理要求</w:t>
            </w:r>
          </w:p>
          <w:p>
            <w:pPr>
              <w:widowControl/>
              <w:shd w:val="clear" w:color="auto" w:fill="FFFFFF"/>
              <w:rPr>
                <w:szCs w:val="21"/>
              </w:rPr>
            </w:pPr>
            <w:r>
              <w:rPr>
                <w:szCs w:val="21"/>
              </w:rPr>
              <w:t>其他大气污染物排放管控要求</w:t>
            </w:r>
          </w:p>
        </w:tc>
        <w:tc>
          <w:tcPr>
            <w:tcW w:w="881" w:type="pct"/>
            <w:noWrap w:val="0"/>
            <w:vAlign w:val="center"/>
          </w:tcPr>
          <w:p>
            <w:pPr>
              <w:adjustRightInd w:val="0"/>
              <w:snapToGrid w:val="0"/>
              <w:contextualSpacing/>
              <w:rPr>
                <w:szCs w:val="21"/>
              </w:rPr>
            </w:pPr>
            <w:r>
              <w:rPr>
                <w:szCs w:val="21"/>
              </w:rPr>
              <w:t>本项目运营期产生的废气主要为H</w:t>
            </w:r>
            <w:r>
              <w:rPr>
                <w:szCs w:val="21"/>
                <w:vertAlign w:val="subscript"/>
              </w:rPr>
              <w:t>2</w:t>
            </w:r>
            <w:r>
              <w:rPr>
                <w:szCs w:val="21"/>
              </w:rPr>
              <w:t>S和NH</w:t>
            </w:r>
            <w:r>
              <w:rPr>
                <w:szCs w:val="21"/>
                <w:vertAlign w:val="subscript"/>
              </w:rPr>
              <w:t>3</w:t>
            </w:r>
            <w:r>
              <w:rPr>
                <w:szCs w:val="21"/>
              </w:rPr>
              <w:t>，项目拟将部分池体采取密闭加盖措施，产生的恶臭气体经喷淋塔处理后通过15m高排气筒排放。</w:t>
            </w:r>
          </w:p>
        </w:tc>
        <w:tc>
          <w:tcPr>
            <w:tcW w:w="260" w:type="pct"/>
            <w:noWrap w:val="0"/>
            <w:vAlign w:val="center"/>
          </w:tcPr>
          <w:p>
            <w:pPr>
              <w:adjustRightInd w:val="0"/>
              <w:snapToGrid w:val="0"/>
              <w:contextualSpacing/>
              <w:jc w:val="left"/>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88" w:type="pct"/>
            <w:gridSpan w:val="2"/>
            <w:vMerge w:val="continue"/>
            <w:noWrap w:val="0"/>
            <w:vAlign w:val="center"/>
          </w:tcPr>
          <w:p>
            <w:pPr>
              <w:adjustRightInd w:val="0"/>
              <w:snapToGrid w:val="0"/>
              <w:contextualSpacing/>
              <w:rPr>
                <w:szCs w:val="21"/>
              </w:rPr>
            </w:pPr>
          </w:p>
        </w:tc>
        <w:tc>
          <w:tcPr>
            <w:tcW w:w="315" w:type="pct"/>
            <w:vMerge w:val="continue"/>
            <w:noWrap w:val="0"/>
            <w:vAlign w:val="center"/>
          </w:tcPr>
          <w:p>
            <w:pPr>
              <w:widowControl/>
              <w:jc w:val="center"/>
              <w:rPr>
                <w:szCs w:val="21"/>
              </w:rPr>
            </w:pPr>
          </w:p>
        </w:tc>
        <w:tc>
          <w:tcPr>
            <w:tcW w:w="519" w:type="pct"/>
            <w:noWrap w:val="0"/>
            <w:vAlign w:val="center"/>
          </w:tcPr>
          <w:p>
            <w:pPr>
              <w:widowControl/>
              <w:shd w:val="clear" w:color="auto" w:fill="FFFFFF"/>
              <w:jc w:val="center"/>
              <w:rPr>
                <w:szCs w:val="21"/>
              </w:rPr>
            </w:pPr>
            <w:r>
              <w:rPr>
                <w:szCs w:val="21"/>
              </w:rPr>
              <w:t>环境风险防控</w:t>
            </w:r>
          </w:p>
        </w:tc>
        <w:tc>
          <w:tcPr>
            <w:tcW w:w="2437" w:type="pct"/>
            <w:noWrap w:val="0"/>
            <w:vAlign w:val="center"/>
          </w:tcPr>
          <w:p>
            <w:pPr>
              <w:widowControl/>
              <w:shd w:val="clear" w:color="auto" w:fill="FFFFFF"/>
              <w:rPr>
                <w:szCs w:val="21"/>
              </w:rPr>
            </w:pPr>
            <w:r>
              <w:rPr>
                <w:szCs w:val="21"/>
              </w:rPr>
              <w:t>现有涉及五类重金属的企业，不得新增污染物排放，限期退城入园或关停；工业企业退出用地，须经评估、修复满足相应用地功能后，方可改变用途</w:t>
            </w:r>
          </w:p>
        </w:tc>
        <w:tc>
          <w:tcPr>
            <w:tcW w:w="881" w:type="pct"/>
            <w:noWrap w:val="0"/>
            <w:vAlign w:val="center"/>
          </w:tcPr>
          <w:p>
            <w:pPr>
              <w:adjustRightInd w:val="0"/>
              <w:snapToGrid w:val="0"/>
              <w:contextualSpacing/>
              <w:rPr>
                <w:szCs w:val="21"/>
              </w:rPr>
            </w:pPr>
            <w:r>
              <w:rPr>
                <w:szCs w:val="21"/>
              </w:rPr>
              <w:t>项目不涉及。</w:t>
            </w:r>
          </w:p>
        </w:tc>
        <w:tc>
          <w:tcPr>
            <w:tcW w:w="260" w:type="pct"/>
            <w:noWrap w:val="0"/>
            <w:vAlign w:val="center"/>
          </w:tcPr>
          <w:p>
            <w:pPr>
              <w:adjustRightInd w:val="0"/>
              <w:snapToGrid w:val="0"/>
              <w:contextualSpacing/>
              <w:jc w:val="left"/>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88" w:type="pct"/>
            <w:gridSpan w:val="2"/>
            <w:vMerge w:val="continue"/>
            <w:noWrap w:val="0"/>
            <w:vAlign w:val="center"/>
          </w:tcPr>
          <w:p>
            <w:pPr>
              <w:adjustRightInd w:val="0"/>
              <w:snapToGrid w:val="0"/>
              <w:contextualSpacing/>
              <w:rPr>
                <w:szCs w:val="21"/>
              </w:rPr>
            </w:pPr>
          </w:p>
        </w:tc>
        <w:tc>
          <w:tcPr>
            <w:tcW w:w="315" w:type="pct"/>
            <w:vMerge w:val="continue"/>
            <w:noWrap w:val="0"/>
            <w:vAlign w:val="center"/>
          </w:tcPr>
          <w:p>
            <w:pPr>
              <w:widowControl/>
              <w:jc w:val="center"/>
              <w:rPr>
                <w:szCs w:val="21"/>
              </w:rPr>
            </w:pPr>
          </w:p>
        </w:tc>
        <w:tc>
          <w:tcPr>
            <w:tcW w:w="519" w:type="pct"/>
            <w:noWrap w:val="0"/>
            <w:vAlign w:val="center"/>
          </w:tcPr>
          <w:p>
            <w:pPr>
              <w:widowControl/>
              <w:shd w:val="clear" w:color="auto" w:fill="FFFFFF"/>
              <w:jc w:val="center"/>
              <w:rPr>
                <w:szCs w:val="21"/>
              </w:rPr>
            </w:pPr>
            <w:r>
              <w:rPr>
                <w:szCs w:val="21"/>
              </w:rPr>
              <w:t>资源开发效率要求</w:t>
            </w:r>
          </w:p>
        </w:tc>
        <w:tc>
          <w:tcPr>
            <w:tcW w:w="2437" w:type="pct"/>
            <w:noWrap w:val="0"/>
            <w:vAlign w:val="center"/>
          </w:tcPr>
          <w:p>
            <w:pPr>
              <w:widowControl/>
              <w:shd w:val="clear" w:color="auto" w:fill="FFFFFF"/>
              <w:rPr>
                <w:szCs w:val="21"/>
              </w:rPr>
            </w:pPr>
            <w:r>
              <w:rPr>
                <w:szCs w:val="21"/>
              </w:rPr>
              <w:t>/</w:t>
            </w:r>
          </w:p>
        </w:tc>
        <w:tc>
          <w:tcPr>
            <w:tcW w:w="881" w:type="pct"/>
            <w:noWrap w:val="0"/>
            <w:vAlign w:val="center"/>
          </w:tcPr>
          <w:p>
            <w:pPr>
              <w:adjustRightInd w:val="0"/>
              <w:snapToGrid w:val="0"/>
              <w:contextualSpacing/>
              <w:rPr>
                <w:szCs w:val="21"/>
              </w:rPr>
            </w:pPr>
            <w:r>
              <w:rPr>
                <w:szCs w:val="21"/>
              </w:rPr>
              <w:t>/</w:t>
            </w:r>
          </w:p>
        </w:tc>
        <w:tc>
          <w:tcPr>
            <w:tcW w:w="260" w:type="pct"/>
            <w:noWrap w:val="0"/>
            <w:vAlign w:val="center"/>
          </w:tcPr>
          <w:p>
            <w:pPr>
              <w:adjustRightInd w:val="0"/>
              <w:snapToGrid w:val="0"/>
              <w:contextualSpacing/>
              <w:jc w:val="left"/>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88" w:type="pct"/>
            <w:gridSpan w:val="2"/>
            <w:vMerge w:val="restart"/>
            <w:noWrap w:val="0"/>
            <w:vAlign w:val="center"/>
          </w:tcPr>
          <w:p>
            <w:pPr>
              <w:adjustRightInd w:val="0"/>
              <w:snapToGrid w:val="0"/>
              <w:contextualSpacing/>
              <w:rPr>
                <w:szCs w:val="21"/>
              </w:rPr>
            </w:pPr>
            <w:r>
              <w:rPr>
                <w:szCs w:val="21"/>
              </w:rPr>
              <w:t>农用地优先保护区-通川区土壤优先保护区-YS5117021410001</w:t>
            </w:r>
          </w:p>
        </w:tc>
        <w:tc>
          <w:tcPr>
            <w:tcW w:w="315" w:type="pct"/>
            <w:vMerge w:val="restart"/>
            <w:noWrap w:val="0"/>
            <w:vAlign w:val="center"/>
          </w:tcPr>
          <w:p>
            <w:pPr>
              <w:widowControl/>
              <w:jc w:val="center"/>
              <w:rPr>
                <w:szCs w:val="21"/>
              </w:rPr>
            </w:pPr>
            <w:r>
              <w:rPr>
                <w:szCs w:val="21"/>
              </w:rPr>
              <w:t>普适性清单</w:t>
            </w:r>
          </w:p>
        </w:tc>
        <w:tc>
          <w:tcPr>
            <w:tcW w:w="519" w:type="pct"/>
            <w:noWrap w:val="0"/>
            <w:vAlign w:val="center"/>
          </w:tcPr>
          <w:p>
            <w:pPr>
              <w:widowControl/>
              <w:shd w:val="clear" w:color="auto" w:fill="FFFFFF"/>
              <w:jc w:val="center"/>
              <w:rPr>
                <w:szCs w:val="21"/>
              </w:rPr>
            </w:pPr>
            <w:r>
              <w:rPr>
                <w:szCs w:val="21"/>
              </w:rPr>
              <w:t>空间布局约束</w:t>
            </w:r>
          </w:p>
        </w:tc>
        <w:tc>
          <w:tcPr>
            <w:tcW w:w="2437" w:type="pct"/>
            <w:noWrap w:val="0"/>
            <w:vAlign w:val="center"/>
          </w:tcPr>
          <w:p>
            <w:pPr>
              <w:widowControl/>
              <w:shd w:val="clear" w:color="auto" w:fill="FFFFFF"/>
              <w:rPr>
                <w:szCs w:val="21"/>
              </w:rPr>
            </w:pPr>
            <w:r>
              <w:rPr>
                <w:szCs w:val="21"/>
              </w:rPr>
              <w:t>/</w:t>
            </w:r>
          </w:p>
        </w:tc>
        <w:tc>
          <w:tcPr>
            <w:tcW w:w="881" w:type="pct"/>
            <w:noWrap w:val="0"/>
            <w:vAlign w:val="center"/>
          </w:tcPr>
          <w:p>
            <w:pPr>
              <w:adjustRightInd w:val="0"/>
              <w:snapToGrid w:val="0"/>
              <w:contextualSpacing/>
              <w:rPr>
                <w:szCs w:val="21"/>
              </w:rPr>
            </w:pPr>
            <w:r>
              <w:rPr>
                <w:szCs w:val="21"/>
              </w:rPr>
              <w:t>/</w:t>
            </w:r>
          </w:p>
        </w:tc>
        <w:tc>
          <w:tcPr>
            <w:tcW w:w="260" w:type="pct"/>
            <w:noWrap w:val="0"/>
            <w:vAlign w:val="center"/>
          </w:tcPr>
          <w:p>
            <w:pPr>
              <w:adjustRightInd w:val="0"/>
              <w:snapToGrid w:val="0"/>
              <w:contextualSpacing/>
              <w:jc w:val="left"/>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88" w:type="pct"/>
            <w:gridSpan w:val="2"/>
            <w:vMerge w:val="continue"/>
            <w:noWrap w:val="0"/>
            <w:vAlign w:val="center"/>
          </w:tcPr>
          <w:p>
            <w:pPr>
              <w:adjustRightInd w:val="0"/>
              <w:snapToGrid w:val="0"/>
              <w:contextualSpacing/>
              <w:jc w:val="left"/>
              <w:rPr>
                <w:szCs w:val="21"/>
              </w:rPr>
            </w:pPr>
          </w:p>
        </w:tc>
        <w:tc>
          <w:tcPr>
            <w:tcW w:w="315" w:type="pct"/>
            <w:vMerge w:val="continue"/>
            <w:noWrap w:val="0"/>
            <w:vAlign w:val="center"/>
          </w:tcPr>
          <w:p>
            <w:pPr>
              <w:widowControl/>
              <w:jc w:val="center"/>
              <w:rPr>
                <w:szCs w:val="21"/>
              </w:rPr>
            </w:pPr>
          </w:p>
        </w:tc>
        <w:tc>
          <w:tcPr>
            <w:tcW w:w="519" w:type="pct"/>
            <w:noWrap w:val="0"/>
            <w:vAlign w:val="center"/>
          </w:tcPr>
          <w:p>
            <w:pPr>
              <w:widowControl/>
              <w:shd w:val="clear" w:color="auto" w:fill="FFFFFF"/>
              <w:jc w:val="center"/>
              <w:rPr>
                <w:szCs w:val="21"/>
              </w:rPr>
            </w:pPr>
            <w:r>
              <w:rPr>
                <w:szCs w:val="21"/>
              </w:rPr>
              <w:t>污染物排放</w:t>
            </w:r>
          </w:p>
          <w:p>
            <w:pPr>
              <w:widowControl/>
              <w:shd w:val="clear" w:color="auto" w:fill="FFFFFF"/>
              <w:jc w:val="center"/>
              <w:rPr>
                <w:szCs w:val="21"/>
              </w:rPr>
            </w:pPr>
            <w:r>
              <w:rPr>
                <w:szCs w:val="21"/>
              </w:rPr>
              <w:t>管控</w:t>
            </w:r>
          </w:p>
        </w:tc>
        <w:tc>
          <w:tcPr>
            <w:tcW w:w="2437" w:type="pct"/>
            <w:noWrap w:val="0"/>
            <w:vAlign w:val="center"/>
          </w:tcPr>
          <w:p>
            <w:pPr>
              <w:widowControl/>
              <w:shd w:val="clear" w:color="auto" w:fill="FFFFFF"/>
              <w:rPr>
                <w:szCs w:val="21"/>
              </w:rPr>
            </w:pPr>
            <w:r>
              <w:rPr>
                <w:szCs w:val="21"/>
              </w:rPr>
              <w:t>/</w:t>
            </w:r>
          </w:p>
        </w:tc>
        <w:tc>
          <w:tcPr>
            <w:tcW w:w="881" w:type="pct"/>
            <w:noWrap w:val="0"/>
            <w:vAlign w:val="center"/>
          </w:tcPr>
          <w:p>
            <w:pPr>
              <w:adjustRightInd w:val="0"/>
              <w:snapToGrid w:val="0"/>
              <w:contextualSpacing/>
              <w:rPr>
                <w:szCs w:val="21"/>
              </w:rPr>
            </w:pPr>
            <w:r>
              <w:rPr>
                <w:szCs w:val="21"/>
              </w:rPr>
              <w:t>/</w:t>
            </w:r>
          </w:p>
        </w:tc>
        <w:tc>
          <w:tcPr>
            <w:tcW w:w="260" w:type="pct"/>
            <w:noWrap w:val="0"/>
            <w:vAlign w:val="center"/>
          </w:tcPr>
          <w:p>
            <w:pPr>
              <w:adjustRightInd w:val="0"/>
              <w:snapToGrid w:val="0"/>
              <w:contextualSpacing/>
              <w:jc w:val="left"/>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88" w:type="pct"/>
            <w:gridSpan w:val="2"/>
            <w:vMerge w:val="continue"/>
            <w:noWrap w:val="0"/>
            <w:vAlign w:val="center"/>
          </w:tcPr>
          <w:p>
            <w:pPr>
              <w:adjustRightInd w:val="0"/>
              <w:snapToGrid w:val="0"/>
              <w:contextualSpacing/>
              <w:jc w:val="left"/>
              <w:rPr>
                <w:szCs w:val="21"/>
              </w:rPr>
            </w:pPr>
          </w:p>
        </w:tc>
        <w:tc>
          <w:tcPr>
            <w:tcW w:w="315" w:type="pct"/>
            <w:vMerge w:val="continue"/>
            <w:noWrap w:val="0"/>
            <w:vAlign w:val="center"/>
          </w:tcPr>
          <w:p>
            <w:pPr>
              <w:widowControl/>
              <w:jc w:val="center"/>
              <w:rPr>
                <w:szCs w:val="21"/>
              </w:rPr>
            </w:pPr>
          </w:p>
        </w:tc>
        <w:tc>
          <w:tcPr>
            <w:tcW w:w="519" w:type="pct"/>
            <w:noWrap w:val="0"/>
            <w:vAlign w:val="center"/>
          </w:tcPr>
          <w:p>
            <w:pPr>
              <w:widowControl/>
              <w:shd w:val="clear" w:color="auto" w:fill="FFFFFF"/>
              <w:jc w:val="center"/>
              <w:rPr>
                <w:szCs w:val="21"/>
              </w:rPr>
            </w:pPr>
            <w:r>
              <w:rPr>
                <w:szCs w:val="21"/>
              </w:rPr>
              <w:t>环境风险防控</w:t>
            </w:r>
          </w:p>
        </w:tc>
        <w:tc>
          <w:tcPr>
            <w:tcW w:w="2437" w:type="pct"/>
            <w:noWrap w:val="0"/>
            <w:vAlign w:val="center"/>
          </w:tcPr>
          <w:p>
            <w:pPr>
              <w:widowControl/>
              <w:shd w:val="clear" w:color="auto" w:fill="FFFFFF"/>
              <w:rPr>
                <w:szCs w:val="21"/>
              </w:rPr>
            </w:pPr>
            <w:r>
              <w:rPr>
                <w:szCs w:val="21"/>
              </w:rPr>
              <w:t>/</w:t>
            </w:r>
          </w:p>
        </w:tc>
        <w:tc>
          <w:tcPr>
            <w:tcW w:w="881" w:type="pct"/>
            <w:noWrap w:val="0"/>
            <w:vAlign w:val="center"/>
          </w:tcPr>
          <w:p>
            <w:pPr>
              <w:adjustRightInd w:val="0"/>
              <w:snapToGrid w:val="0"/>
              <w:contextualSpacing/>
              <w:rPr>
                <w:szCs w:val="21"/>
              </w:rPr>
            </w:pPr>
            <w:r>
              <w:rPr>
                <w:szCs w:val="21"/>
              </w:rPr>
              <w:t>/</w:t>
            </w:r>
          </w:p>
        </w:tc>
        <w:tc>
          <w:tcPr>
            <w:tcW w:w="260" w:type="pct"/>
            <w:noWrap w:val="0"/>
            <w:vAlign w:val="center"/>
          </w:tcPr>
          <w:p>
            <w:pPr>
              <w:adjustRightInd w:val="0"/>
              <w:snapToGrid w:val="0"/>
              <w:contextualSpacing/>
              <w:jc w:val="left"/>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88" w:type="pct"/>
            <w:gridSpan w:val="2"/>
            <w:vMerge w:val="continue"/>
            <w:noWrap w:val="0"/>
            <w:vAlign w:val="center"/>
          </w:tcPr>
          <w:p>
            <w:pPr>
              <w:adjustRightInd w:val="0"/>
              <w:snapToGrid w:val="0"/>
              <w:contextualSpacing/>
              <w:jc w:val="left"/>
              <w:rPr>
                <w:szCs w:val="21"/>
              </w:rPr>
            </w:pPr>
          </w:p>
        </w:tc>
        <w:tc>
          <w:tcPr>
            <w:tcW w:w="315" w:type="pct"/>
            <w:vMerge w:val="continue"/>
            <w:noWrap w:val="0"/>
            <w:vAlign w:val="center"/>
          </w:tcPr>
          <w:p>
            <w:pPr>
              <w:widowControl/>
              <w:jc w:val="center"/>
              <w:rPr>
                <w:szCs w:val="21"/>
              </w:rPr>
            </w:pPr>
          </w:p>
        </w:tc>
        <w:tc>
          <w:tcPr>
            <w:tcW w:w="519" w:type="pct"/>
            <w:noWrap w:val="0"/>
            <w:vAlign w:val="center"/>
          </w:tcPr>
          <w:p>
            <w:pPr>
              <w:widowControl/>
              <w:shd w:val="clear" w:color="auto" w:fill="FFFFFF"/>
              <w:jc w:val="center"/>
              <w:rPr>
                <w:szCs w:val="21"/>
              </w:rPr>
            </w:pPr>
            <w:r>
              <w:rPr>
                <w:szCs w:val="21"/>
              </w:rPr>
              <w:t>资源开发利用效率要求</w:t>
            </w:r>
          </w:p>
        </w:tc>
        <w:tc>
          <w:tcPr>
            <w:tcW w:w="2437" w:type="pct"/>
            <w:noWrap w:val="0"/>
            <w:vAlign w:val="center"/>
          </w:tcPr>
          <w:p>
            <w:pPr>
              <w:widowControl/>
              <w:shd w:val="clear" w:color="auto" w:fill="FFFFFF"/>
              <w:rPr>
                <w:szCs w:val="21"/>
              </w:rPr>
            </w:pPr>
            <w:r>
              <w:rPr>
                <w:szCs w:val="21"/>
              </w:rPr>
              <w:t>/</w:t>
            </w:r>
          </w:p>
        </w:tc>
        <w:tc>
          <w:tcPr>
            <w:tcW w:w="881" w:type="pct"/>
            <w:noWrap w:val="0"/>
            <w:vAlign w:val="center"/>
          </w:tcPr>
          <w:p>
            <w:pPr>
              <w:adjustRightInd w:val="0"/>
              <w:snapToGrid w:val="0"/>
              <w:contextualSpacing/>
              <w:rPr>
                <w:szCs w:val="21"/>
              </w:rPr>
            </w:pPr>
            <w:r>
              <w:rPr>
                <w:szCs w:val="21"/>
              </w:rPr>
              <w:t>/</w:t>
            </w:r>
          </w:p>
        </w:tc>
        <w:tc>
          <w:tcPr>
            <w:tcW w:w="260" w:type="pct"/>
            <w:noWrap w:val="0"/>
            <w:vAlign w:val="center"/>
          </w:tcPr>
          <w:p>
            <w:pPr>
              <w:adjustRightInd w:val="0"/>
              <w:snapToGrid w:val="0"/>
              <w:contextualSpacing/>
              <w:jc w:val="left"/>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88" w:type="pct"/>
            <w:gridSpan w:val="2"/>
            <w:vMerge w:val="continue"/>
            <w:noWrap w:val="0"/>
            <w:vAlign w:val="center"/>
          </w:tcPr>
          <w:p>
            <w:pPr>
              <w:adjustRightInd w:val="0"/>
              <w:snapToGrid w:val="0"/>
              <w:contextualSpacing/>
              <w:jc w:val="left"/>
              <w:rPr>
                <w:szCs w:val="21"/>
              </w:rPr>
            </w:pPr>
          </w:p>
        </w:tc>
        <w:tc>
          <w:tcPr>
            <w:tcW w:w="315" w:type="pct"/>
            <w:vMerge w:val="restart"/>
            <w:noWrap w:val="0"/>
            <w:vAlign w:val="center"/>
          </w:tcPr>
          <w:p>
            <w:pPr>
              <w:widowControl/>
              <w:jc w:val="center"/>
              <w:rPr>
                <w:szCs w:val="21"/>
              </w:rPr>
            </w:pPr>
            <w:r>
              <w:rPr>
                <w:szCs w:val="21"/>
              </w:rPr>
              <w:t>单元特性管控要求</w:t>
            </w:r>
          </w:p>
        </w:tc>
        <w:tc>
          <w:tcPr>
            <w:tcW w:w="519" w:type="pct"/>
            <w:noWrap w:val="0"/>
            <w:vAlign w:val="center"/>
          </w:tcPr>
          <w:p>
            <w:pPr>
              <w:widowControl/>
              <w:shd w:val="clear" w:color="auto" w:fill="FFFFFF"/>
              <w:jc w:val="center"/>
              <w:rPr>
                <w:szCs w:val="21"/>
              </w:rPr>
            </w:pPr>
            <w:r>
              <w:rPr>
                <w:szCs w:val="21"/>
              </w:rPr>
              <w:t>空间布局约束</w:t>
            </w:r>
          </w:p>
        </w:tc>
        <w:tc>
          <w:tcPr>
            <w:tcW w:w="2437" w:type="pct"/>
            <w:noWrap w:val="0"/>
            <w:vAlign w:val="center"/>
          </w:tcPr>
          <w:p>
            <w:pPr>
              <w:widowControl/>
              <w:shd w:val="clear" w:color="auto" w:fill="FFFFFF"/>
              <w:rPr>
                <w:szCs w:val="21"/>
              </w:rPr>
            </w:pPr>
            <w:r>
              <w:rPr>
                <w:szCs w:val="21"/>
              </w:rPr>
              <w:t>禁止开发建设活动的要求</w:t>
            </w:r>
          </w:p>
          <w:p>
            <w:pPr>
              <w:widowControl/>
              <w:shd w:val="clear" w:color="auto" w:fill="FFFFFF"/>
              <w:rPr>
                <w:szCs w:val="21"/>
              </w:rPr>
            </w:pPr>
            <w:r>
              <w:rPr>
                <w:szCs w:val="21"/>
              </w:rPr>
              <w:t>限制开发建设活动的要求</w:t>
            </w:r>
          </w:p>
          <w:p>
            <w:pPr>
              <w:widowControl/>
              <w:shd w:val="clear" w:color="auto" w:fill="FFFFFF"/>
              <w:rPr>
                <w:szCs w:val="21"/>
              </w:rPr>
            </w:pPr>
            <w:r>
              <w:rPr>
                <w:szCs w:val="21"/>
              </w:rPr>
              <w:t>允许开发建设活动的要求</w:t>
            </w:r>
          </w:p>
          <w:p>
            <w:pPr>
              <w:widowControl/>
              <w:shd w:val="clear" w:color="auto" w:fill="FFFFFF"/>
              <w:rPr>
                <w:szCs w:val="21"/>
              </w:rPr>
            </w:pPr>
            <w:r>
              <w:rPr>
                <w:szCs w:val="21"/>
              </w:rPr>
              <w:t>不符合空间布局要求活动的退出要求</w:t>
            </w:r>
          </w:p>
          <w:p>
            <w:pPr>
              <w:widowControl/>
              <w:shd w:val="clear" w:color="auto" w:fill="FFFFFF"/>
              <w:rPr>
                <w:szCs w:val="21"/>
              </w:rPr>
            </w:pPr>
            <w:r>
              <w:rPr>
                <w:szCs w:val="21"/>
              </w:rPr>
              <w:t>其他空间布局约束要求</w:t>
            </w:r>
          </w:p>
        </w:tc>
        <w:tc>
          <w:tcPr>
            <w:tcW w:w="881" w:type="pct"/>
            <w:noWrap w:val="0"/>
            <w:vAlign w:val="center"/>
          </w:tcPr>
          <w:p>
            <w:pPr>
              <w:adjustRightInd w:val="0"/>
              <w:snapToGrid w:val="0"/>
              <w:contextualSpacing/>
              <w:rPr>
                <w:szCs w:val="21"/>
              </w:rPr>
            </w:pPr>
            <w:r>
              <w:rPr>
                <w:szCs w:val="21"/>
              </w:rPr>
              <w:t>项目不涉及。</w:t>
            </w:r>
          </w:p>
        </w:tc>
        <w:tc>
          <w:tcPr>
            <w:tcW w:w="260" w:type="pct"/>
            <w:noWrap w:val="0"/>
            <w:vAlign w:val="center"/>
          </w:tcPr>
          <w:p>
            <w:pPr>
              <w:adjustRightInd w:val="0"/>
              <w:snapToGrid w:val="0"/>
              <w:contextualSpacing/>
              <w:jc w:val="left"/>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88" w:type="pct"/>
            <w:gridSpan w:val="2"/>
            <w:vMerge w:val="continue"/>
            <w:noWrap w:val="0"/>
            <w:vAlign w:val="center"/>
          </w:tcPr>
          <w:p>
            <w:pPr>
              <w:adjustRightInd w:val="0"/>
              <w:snapToGrid w:val="0"/>
              <w:contextualSpacing/>
              <w:jc w:val="left"/>
              <w:rPr>
                <w:szCs w:val="21"/>
              </w:rPr>
            </w:pPr>
          </w:p>
        </w:tc>
        <w:tc>
          <w:tcPr>
            <w:tcW w:w="315" w:type="pct"/>
            <w:vMerge w:val="continue"/>
            <w:noWrap w:val="0"/>
            <w:vAlign w:val="center"/>
          </w:tcPr>
          <w:p>
            <w:pPr>
              <w:widowControl/>
              <w:jc w:val="left"/>
              <w:rPr>
                <w:szCs w:val="21"/>
              </w:rPr>
            </w:pPr>
          </w:p>
        </w:tc>
        <w:tc>
          <w:tcPr>
            <w:tcW w:w="519" w:type="pct"/>
            <w:noWrap w:val="0"/>
            <w:vAlign w:val="center"/>
          </w:tcPr>
          <w:p>
            <w:pPr>
              <w:widowControl/>
              <w:shd w:val="clear" w:color="auto" w:fill="FFFFFF"/>
              <w:jc w:val="center"/>
              <w:rPr>
                <w:szCs w:val="21"/>
              </w:rPr>
            </w:pPr>
            <w:r>
              <w:rPr>
                <w:szCs w:val="21"/>
              </w:rPr>
              <w:t>污染物排放</w:t>
            </w:r>
          </w:p>
          <w:p>
            <w:pPr>
              <w:widowControl/>
              <w:shd w:val="clear" w:color="auto" w:fill="FFFFFF"/>
              <w:jc w:val="center"/>
              <w:rPr>
                <w:szCs w:val="21"/>
              </w:rPr>
            </w:pPr>
            <w:r>
              <w:rPr>
                <w:szCs w:val="21"/>
              </w:rPr>
              <w:t>管控</w:t>
            </w:r>
          </w:p>
        </w:tc>
        <w:tc>
          <w:tcPr>
            <w:tcW w:w="2437" w:type="pct"/>
            <w:noWrap w:val="0"/>
            <w:vAlign w:val="center"/>
          </w:tcPr>
          <w:p>
            <w:pPr>
              <w:widowControl/>
              <w:shd w:val="clear" w:color="auto" w:fill="FFFFFF"/>
              <w:jc w:val="left"/>
              <w:rPr>
                <w:szCs w:val="21"/>
              </w:rPr>
            </w:pPr>
            <w:r>
              <w:rPr>
                <w:szCs w:val="21"/>
              </w:rPr>
              <w:t>/</w:t>
            </w:r>
          </w:p>
        </w:tc>
        <w:tc>
          <w:tcPr>
            <w:tcW w:w="881" w:type="pct"/>
            <w:noWrap w:val="0"/>
            <w:vAlign w:val="center"/>
          </w:tcPr>
          <w:p>
            <w:pPr>
              <w:adjustRightInd w:val="0"/>
              <w:snapToGrid w:val="0"/>
              <w:contextualSpacing/>
              <w:jc w:val="left"/>
              <w:rPr>
                <w:szCs w:val="21"/>
              </w:rPr>
            </w:pPr>
            <w:r>
              <w:rPr>
                <w:szCs w:val="21"/>
              </w:rPr>
              <w:t>/</w:t>
            </w:r>
          </w:p>
        </w:tc>
        <w:tc>
          <w:tcPr>
            <w:tcW w:w="260" w:type="pct"/>
            <w:noWrap w:val="0"/>
            <w:vAlign w:val="center"/>
          </w:tcPr>
          <w:p>
            <w:pPr>
              <w:adjustRightInd w:val="0"/>
              <w:snapToGrid w:val="0"/>
              <w:contextualSpacing/>
              <w:jc w:val="left"/>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88" w:type="pct"/>
            <w:gridSpan w:val="2"/>
            <w:vMerge w:val="continue"/>
            <w:noWrap w:val="0"/>
            <w:vAlign w:val="center"/>
          </w:tcPr>
          <w:p>
            <w:pPr>
              <w:adjustRightInd w:val="0"/>
              <w:snapToGrid w:val="0"/>
              <w:contextualSpacing/>
              <w:jc w:val="left"/>
              <w:rPr>
                <w:szCs w:val="21"/>
              </w:rPr>
            </w:pPr>
          </w:p>
        </w:tc>
        <w:tc>
          <w:tcPr>
            <w:tcW w:w="315" w:type="pct"/>
            <w:vMerge w:val="continue"/>
            <w:noWrap w:val="0"/>
            <w:vAlign w:val="center"/>
          </w:tcPr>
          <w:p>
            <w:pPr>
              <w:widowControl/>
              <w:jc w:val="left"/>
              <w:rPr>
                <w:szCs w:val="21"/>
              </w:rPr>
            </w:pPr>
          </w:p>
        </w:tc>
        <w:tc>
          <w:tcPr>
            <w:tcW w:w="519" w:type="pct"/>
            <w:noWrap w:val="0"/>
            <w:vAlign w:val="center"/>
          </w:tcPr>
          <w:p>
            <w:pPr>
              <w:widowControl/>
              <w:shd w:val="clear" w:color="auto" w:fill="FFFFFF"/>
              <w:jc w:val="center"/>
              <w:rPr>
                <w:szCs w:val="21"/>
              </w:rPr>
            </w:pPr>
            <w:r>
              <w:rPr>
                <w:szCs w:val="21"/>
              </w:rPr>
              <w:t>环境风险防控</w:t>
            </w:r>
          </w:p>
        </w:tc>
        <w:tc>
          <w:tcPr>
            <w:tcW w:w="2437" w:type="pct"/>
            <w:noWrap w:val="0"/>
            <w:vAlign w:val="center"/>
          </w:tcPr>
          <w:p>
            <w:pPr>
              <w:widowControl/>
              <w:shd w:val="clear" w:color="auto" w:fill="FFFFFF"/>
              <w:jc w:val="left"/>
              <w:rPr>
                <w:szCs w:val="21"/>
              </w:rPr>
            </w:pPr>
            <w:r>
              <w:rPr>
                <w:szCs w:val="21"/>
              </w:rPr>
              <w:t>/</w:t>
            </w:r>
          </w:p>
        </w:tc>
        <w:tc>
          <w:tcPr>
            <w:tcW w:w="881" w:type="pct"/>
            <w:noWrap w:val="0"/>
            <w:vAlign w:val="center"/>
          </w:tcPr>
          <w:p>
            <w:pPr>
              <w:adjustRightInd w:val="0"/>
              <w:snapToGrid w:val="0"/>
              <w:contextualSpacing/>
              <w:jc w:val="left"/>
              <w:rPr>
                <w:szCs w:val="21"/>
              </w:rPr>
            </w:pPr>
            <w:r>
              <w:rPr>
                <w:szCs w:val="21"/>
              </w:rPr>
              <w:t>/</w:t>
            </w:r>
          </w:p>
        </w:tc>
        <w:tc>
          <w:tcPr>
            <w:tcW w:w="260" w:type="pct"/>
            <w:noWrap w:val="0"/>
            <w:vAlign w:val="center"/>
          </w:tcPr>
          <w:p>
            <w:pPr>
              <w:adjustRightInd w:val="0"/>
              <w:snapToGrid w:val="0"/>
              <w:contextualSpacing/>
              <w:jc w:val="left"/>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88" w:type="pct"/>
            <w:gridSpan w:val="2"/>
            <w:vMerge w:val="continue"/>
            <w:noWrap w:val="0"/>
            <w:vAlign w:val="center"/>
          </w:tcPr>
          <w:p>
            <w:pPr>
              <w:adjustRightInd w:val="0"/>
              <w:snapToGrid w:val="0"/>
              <w:contextualSpacing/>
              <w:jc w:val="left"/>
              <w:rPr>
                <w:szCs w:val="21"/>
              </w:rPr>
            </w:pPr>
          </w:p>
        </w:tc>
        <w:tc>
          <w:tcPr>
            <w:tcW w:w="315" w:type="pct"/>
            <w:vMerge w:val="continue"/>
            <w:noWrap w:val="0"/>
            <w:vAlign w:val="center"/>
          </w:tcPr>
          <w:p>
            <w:pPr>
              <w:widowControl/>
              <w:jc w:val="left"/>
              <w:rPr>
                <w:szCs w:val="21"/>
              </w:rPr>
            </w:pPr>
          </w:p>
        </w:tc>
        <w:tc>
          <w:tcPr>
            <w:tcW w:w="519" w:type="pct"/>
            <w:noWrap w:val="0"/>
            <w:vAlign w:val="center"/>
          </w:tcPr>
          <w:p>
            <w:pPr>
              <w:widowControl/>
              <w:shd w:val="clear" w:color="auto" w:fill="FFFFFF"/>
              <w:jc w:val="center"/>
              <w:rPr>
                <w:szCs w:val="21"/>
              </w:rPr>
            </w:pPr>
            <w:r>
              <w:rPr>
                <w:szCs w:val="21"/>
              </w:rPr>
              <w:t>资源开发效率要求</w:t>
            </w:r>
          </w:p>
        </w:tc>
        <w:tc>
          <w:tcPr>
            <w:tcW w:w="2437" w:type="pct"/>
            <w:noWrap w:val="0"/>
            <w:vAlign w:val="center"/>
          </w:tcPr>
          <w:p>
            <w:pPr>
              <w:widowControl/>
              <w:shd w:val="clear" w:color="auto" w:fill="FFFFFF"/>
              <w:jc w:val="left"/>
              <w:rPr>
                <w:szCs w:val="21"/>
              </w:rPr>
            </w:pPr>
            <w:r>
              <w:rPr>
                <w:szCs w:val="21"/>
              </w:rPr>
              <w:t>/</w:t>
            </w:r>
          </w:p>
        </w:tc>
        <w:tc>
          <w:tcPr>
            <w:tcW w:w="881" w:type="pct"/>
            <w:noWrap w:val="0"/>
            <w:vAlign w:val="center"/>
          </w:tcPr>
          <w:p>
            <w:pPr>
              <w:adjustRightInd w:val="0"/>
              <w:snapToGrid w:val="0"/>
              <w:contextualSpacing/>
              <w:jc w:val="left"/>
              <w:rPr>
                <w:szCs w:val="21"/>
              </w:rPr>
            </w:pPr>
            <w:r>
              <w:rPr>
                <w:szCs w:val="21"/>
              </w:rPr>
              <w:t>/</w:t>
            </w:r>
          </w:p>
        </w:tc>
        <w:tc>
          <w:tcPr>
            <w:tcW w:w="260" w:type="pct"/>
            <w:noWrap w:val="0"/>
            <w:vAlign w:val="center"/>
          </w:tcPr>
          <w:p>
            <w:pPr>
              <w:adjustRightInd w:val="0"/>
              <w:snapToGrid w:val="0"/>
              <w:contextualSpacing/>
              <w:jc w:val="left"/>
              <w:rPr>
                <w:szCs w:val="21"/>
              </w:rPr>
            </w:pPr>
            <w:r>
              <w:rPr>
                <w:szCs w:val="21"/>
              </w:rPr>
              <w:t>/</w:t>
            </w:r>
          </w:p>
        </w:tc>
      </w:tr>
    </w:tbl>
    <w:p>
      <w:pPr>
        <w:autoSpaceDE w:val="0"/>
        <w:autoSpaceDN w:val="0"/>
        <w:adjustRightInd w:val="0"/>
        <w:snapToGrid w:val="0"/>
        <w:jc w:val="center"/>
        <w:rPr>
          <w:kern w:val="0"/>
          <w:szCs w:val="21"/>
        </w:rPr>
      </w:pPr>
    </w:p>
    <w:p>
      <w:pPr>
        <w:pStyle w:val="2"/>
      </w:pPr>
    </w:p>
    <w:p>
      <w:pPr>
        <w:pStyle w:val="2"/>
        <w:sectPr>
          <w:pgSz w:w="16838" w:h="11906" w:orient="landscape"/>
          <w:pgMar w:top="1531" w:right="1701" w:bottom="1531" w:left="1701" w:header="851" w:footer="1077" w:gutter="0"/>
          <w:cols w:space="720" w:num="1"/>
          <w:docGrid w:linePitch="312" w:charSpace="0"/>
        </w:sectPr>
      </w:pPr>
    </w:p>
    <w:tbl>
      <w:tblPr>
        <w:tblStyle w:val="32"/>
        <w:tblW w:w="494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31"/>
        <w:gridCol w:w="80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519" w:type="pct"/>
            <w:noWrap w:val="0"/>
            <w:vAlign w:val="center"/>
          </w:tcPr>
          <w:p>
            <w:pPr>
              <w:autoSpaceDE w:val="0"/>
              <w:autoSpaceDN w:val="0"/>
              <w:adjustRightInd w:val="0"/>
              <w:snapToGrid w:val="0"/>
              <w:jc w:val="center"/>
              <w:rPr>
                <w:kern w:val="0"/>
                <w:szCs w:val="21"/>
              </w:rPr>
            </w:pPr>
            <w:r>
              <w:rPr>
                <w:kern w:val="0"/>
                <w:sz w:val="24"/>
              </w:rPr>
              <w:t>其他符合性分析</w:t>
            </w:r>
          </w:p>
        </w:tc>
        <w:tc>
          <w:tcPr>
            <w:tcW w:w="4481" w:type="pct"/>
            <w:noWrap w:val="0"/>
            <w:vAlign w:val="top"/>
          </w:tcPr>
          <w:p>
            <w:pPr>
              <w:spacing w:line="360" w:lineRule="auto"/>
              <w:rPr>
                <w:b/>
                <w:bCs/>
                <w:kern w:val="0"/>
                <w:sz w:val="24"/>
              </w:rPr>
            </w:pPr>
            <w:r>
              <w:rPr>
                <w:b/>
                <w:bCs/>
                <w:kern w:val="0"/>
                <w:sz w:val="24"/>
              </w:rPr>
              <w:t>4、与《四川省、重庆市长江经济带发展负面清单实施细则（试行，2022年版）》（川长江办</w:t>
            </w:r>
            <w:r>
              <w:rPr>
                <w:rFonts w:hint="eastAsia"/>
                <w:b/>
                <w:bCs/>
                <w:kern w:val="0"/>
                <w:sz w:val="24"/>
              </w:rPr>
              <w:t>〔2022〕</w:t>
            </w:r>
            <w:r>
              <w:rPr>
                <w:b/>
                <w:bCs/>
                <w:kern w:val="0"/>
                <w:sz w:val="24"/>
              </w:rPr>
              <w:t>17号）的符合性分析</w:t>
            </w:r>
          </w:p>
          <w:p>
            <w:pPr>
              <w:adjustRightInd w:val="0"/>
              <w:snapToGrid w:val="0"/>
              <w:jc w:val="center"/>
              <w:rPr>
                <w:rFonts w:eastAsia="黑体"/>
                <w:sz w:val="24"/>
              </w:rPr>
            </w:pPr>
            <w:r>
              <w:rPr>
                <w:rFonts w:eastAsia="黑体"/>
                <w:sz w:val="24"/>
              </w:rPr>
              <w:t>表1-4  本项目与川长江办</w:t>
            </w:r>
            <w:r>
              <w:rPr>
                <w:rFonts w:hint="eastAsia" w:eastAsia="黑体"/>
                <w:sz w:val="24"/>
              </w:rPr>
              <w:t>〔2022〕</w:t>
            </w:r>
            <w:r>
              <w:rPr>
                <w:rFonts w:eastAsia="黑体"/>
                <w:sz w:val="24"/>
              </w:rPr>
              <w:t>17号的符合性分析</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529"/>
              <w:gridCol w:w="4440"/>
              <w:gridCol w:w="2126"/>
              <w:gridCol w:w="72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0" w:hRule="atLeast"/>
                <w:tblHeader/>
              </w:trPr>
              <w:tc>
                <w:tcPr>
                  <w:tcW w:w="338" w:type="pct"/>
                  <w:shd w:val="clear" w:color="auto" w:fill="CCFFFF"/>
                  <w:noWrap w:val="0"/>
                  <w:vAlign w:val="center"/>
                </w:tcPr>
                <w:p>
                  <w:pPr>
                    <w:snapToGrid w:val="0"/>
                    <w:jc w:val="center"/>
                    <w:rPr>
                      <w:b/>
                      <w:szCs w:val="21"/>
                    </w:rPr>
                  </w:pPr>
                  <w:r>
                    <w:rPr>
                      <w:b/>
                      <w:szCs w:val="21"/>
                    </w:rPr>
                    <w:t>序号</w:t>
                  </w:r>
                </w:p>
              </w:tc>
              <w:tc>
                <w:tcPr>
                  <w:tcW w:w="2837" w:type="pct"/>
                  <w:shd w:val="clear" w:color="auto" w:fill="CCFFFF"/>
                  <w:noWrap w:val="0"/>
                  <w:vAlign w:val="center"/>
                </w:tcPr>
                <w:p>
                  <w:pPr>
                    <w:snapToGrid w:val="0"/>
                    <w:jc w:val="center"/>
                    <w:rPr>
                      <w:b/>
                      <w:szCs w:val="21"/>
                    </w:rPr>
                  </w:pPr>
                  <w:r>
                    <w:rPr>
                      <w:b/>
                      <w:szCs w:val="21"/>
                    </w:rPr>
                    <w:t>规划/技术要求</w:t>
                  </w:r>
                </w:p>
              </w:tc>
              <w:tc>
                <w:tcPr>
                  <w:tcW w:w="1358" w:type="pct"/>
                  <w:shd w:val="clear" w:color="auto" w:fill="CCFFFF"/>
                  <w:noWrap w:val="0"/>
                  <w:vAlign w:val="center"/>
                </w:tcPr>
                <w:p>
                  <w:pPr>
                    <w:snapToGrid w:val="0"/>
                    <w:jc w:val="center"/>
                    <w:rPr>
                      <w:b/>
                      <w:szCs w:val="21"/>
                    </w:rPr>
                  </w:pPr>
                  <w:r>
                    <w:rPr>
                      <w:b/>
                      <w:szCs w:val="21"/>
                    </w:rPr>
                    <w:t>本项目</w:t>
                  </w:r>
                </w:p>
              </w:tc>
              <w:tc>
                <w:tcPr>
                  <w:tcW w:w="464" w:type="pct"/>
                  <w:shd w:val="clear" w:color="auto" w:fill="CCFFFF"/>
                  <w:noWrap w:val="0"/>
                  <w:vAlign w:val="center"/>
                </w:tcPr>
                <w:p>
                  <w:pPr>
                    <w:snapToGrid w:val="0"/>
                    <w:jc w:val="center"/>
                    <w:rPr>
                      <w:b/>
                      <w:szCs w:val="21"/>
                    </w:rPr>
                  </w:pPr>
                  <w:r>
                    <w:rPr>
                      <w:b/>
                      <w:szCs w:val="21"/>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0" w:hRule="atLeast"/>
                <w:tblHeader/>
              </w:trPr>
              <w:tc>
                <w:tcPr>
                  <w:tcW w:w="338" w:type="pct"/>
                  <w:noWrap w:val="0"/>
                  <w:vAlign w:val="center"/>
                </w:tcPr>
                <w:p>
                  <w:pPr>
                    <w:pStyle w:val="286"/>
                    <w:snapToGrid w:val="0"/>
                    <w:rPr>
                      <w:sz w:val="21"/>
                      <w:szCs w:val="21"/>
                    </w:rPr>
                  </w:pPr>
                  <w:r>
                    <w:rPr>
                      <w:sz w:val="21"/>
                      <w:szCs w:val="21"/>
                    </w:rPr>
                    <w:t>1</w:t>
                  </w:r>
                </w:p>
              </w:tc>
              <w:tc>
                <w:tcPr>
                  <w:tcW w:w="2837" w:type="pct"/>
                  <w:noWrap w:val="0"/>
                  <w:vAlign w:val="center"/>
                </w:tcPr>
                <w:p>
                  <w:pPr>
                    <w:pStyle w:val="286"/>
                    <w:snapToGrid w:val="0"/>
                    <w:jc w:val="both"/>
                    <w:rPr>
                      <w:sz w:val="21"/>
                      <w:szCs w:val="21"/>
                    </w:rPr>
                  </w:pPr>
                  <w:r>
                    <w:rPr>
                      <w:sz w:val="21"/>
                      <w:szCs w:val="21"/>
                    </w:rPr>
                    <w:t>第十四条 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358" w:type="pct"/>
                  <w:noWrap w:val="0"/>
                  <w:vAlign w:val="center"/>
                </w:tcPr>
                <w:p>
                  <w:pPr>
                    <w:pStyle w:val="286"/>
                    <w:snapToGrid w:val="0"/>
                    <w:jc w:val="both"/>
                    <w:rPr>
                      <w:sz w:val="21"/>
                      <w:szCs w:val="21"/>
                    </w:rPr>
                  </w:pPr>
                  <w:r>
                    <w:rPr>
                      <w:sz w:val="21"/>
                      <w:szCs w:val="21"/>
                    </w:rPr>
                    <w:t>本项目尾水排入双龙河，本项目属长江支流嘉陵江的支流渠江的支流（或河源）州河的支流流域水污染防治区，出水满足《城镇污水处理厂污染排放标准》（GB18918-2002）一级A标；项目不占用双龙河岸线。</w:t>
                  </w:r>
                </w:p>
              </w:tc>
              <w:tc>
                <w:tcPr>
                  <w:tcW w:w="464" w:type="pct"/>
                  <w:noWrap w:val="0"/>
                  <w:vAlign w:val="center"/>
                </w:tcPr>
                <w:p>
                  <w:pPr>
                    <w:pStyle w:val="286"/>
                    <w:snapToGrid w:val="0"/>
                    <w:rPr>
                      <w:sz w:val="21"/>
                      <w:szCs w:val="21"/>
                    </w:rPr>
                  </w:pPr>
                  <w:r>
                    <w:rPr>
                      <w:sz w:val="21"/>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0" w:hRule="atLeast"/>
                <w:tblHeader/>
              </w:trPr>
              <w:tc>
                <w:tcPr>
                  <w:tcW w:w="338" w:type="pct"/>
                  <w:noWrap w:val="0"/>
                  <w:vAlign w:val="center"/>
                </w:tcPr>
                <w:p>
                  <w:pPr>
                    <w:pStyle w:val="286"/>
                    <w:snapToGrid w:val="0"/>
                    <w:rPr>
                      <w:sz w:val="21"/>
                      <w:szCs w:val="21"/>
                    </w:rPr>
                  </w:pPr>
                  <w:r>
                    <w:rPr>
                      <w:sz w:val="21"/>
                      <w:szCs w:val="21"/>
                    </w:rPr>
                    <w:t>2</w:t>
                  </w:r>
                </w:p>
              </w:tc>
              <w:tc>
                <w:tcPr>
                  <w:tcW w:w="2837" w:type="pct"/>
                  <w:noWrap w:val="0"/>
                  <w:vAlign w:val="center"/>
                </w:tcPr>
                <w:p>
                  <w:pPr>
                    <w:pStyle w:val="286"/>
                    <w:snapToGrid w:val="0"/>
                    <w:jc w:val="both"/>
                    <w:rPr>
                      <w:sz w:val="21"/>
                      <w:szCs w:val="21"/>
                    </w:rPr>
                  </w:pPr>
                  <w:r>
                    <w:rPr>
                      <w:sz w:val="21"/>
                      <w:szCs w:val="21"/>
                    </w:rPr>
                    <w:t>第十八条 禁止在长江</w:t>
                  </w:r>
                  <w:r>
                    <w:rPr>
                      <w:rFonts w:hint="eastAsia"/>
                      <w:sz w:val="21"/>
                      <w:szCs w:val="21"/>
                    </w:rPr>
                    <w:t>干支流</w:t>
                  </w:r>
                  <w:r>
                    <w:rPr>
                      <w:sz w:val="21"/>
                      <w:szCs w:val="21"/>
                    </w:rPr>
                    <w:t>、重要湖泊岸线一公里范围内新建、扩建化工园区和化工项目。</w:t>
                  </w:r>
                </w:p>
              </w:tc>
              <w:tc>
                <w:tcPr>
                  <w:tcW w:w="1358" w:type="pct"/>
                  <w:noWrap w:val="0"/>
                  <w:vAlign w:val="center"/>
                </w:tcPr>
                <w:p>
                  <w:pPr>
                    <w:pStyle w:val="286"/>
                    <w:snapToGrid w:val="0"/>
                    <w:jc w:val="both"/>
                    <w:rPr>
                      <w:sz w:val="21"/>
                      <w:szCs w:val="21"/>
                    </w:rPr>
                  </w:pPr>
                  <w:r>
                    <w:rPr>
                      <w:sz w:val="21"/>
                      <w:szCs w:val="21"/>
                    </w:rPr>
                    <w:t>本项目为城镇污水处理厂项目，不属于化工项目。</w:t>
                  </w:r>
                </w:p>
              </w:tc>
              <w:tc>
                <w:tcPr>
                  <w:tcW w:w="464" w:type="pct"/>
                  <w:noWrap w:val="0"/>
                  <w:vAlign w:val="center"/>
                </w:tcPr>
                <w:p>
                  <w:pPr>
                    <w:pStyle w:val="286"/>
                    <w:snapToGrid w:val="0"/>
                    <w:rPr>
                      <w:sz w:val="21"/>
                      <w:szCs w:val="21"/>
                    </w:rPr>
                  </w:pPr>
                  <w:r>
                    <w:rPr>
                      <w:sz w:val="21"/>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0" w:hRule="atLeast"/>
                <w:tblHeader/>
              </w:trPr>
              <w:tc>
                <w:tcPr>
                  <w:tcW w:w="338" w:type="pct"/>
                  <w:noWrap w:val="0"/>
                  <w:vAlign w:val="center"/>
                </w:tcPr>
                <w:p>
                  <w:pPr>
                    <w:pStyle w:val="286"/>
                    <w:snapToGrid w:val="0"/>
                    <w:rPr>
                      <w:sz w:val="21"/>
                      <w:szCs w:val="21"/>
                    </w:rPr>
                  </w:pPr>
                  <w:r>
                    <w:rPr>
                      <w:sz w:val="21"/>
                      <w:szCs w:val="21"/>
                    </w:rPr>
                    <w:t>3</w:t>
                  </w:r>
                </w:p>
              </w:tc>
              <w:tc>
                <w:tcPr>
                  <w:tcW w:w="2837" w:type="pct"/>
                  <w:noWrap w:val="0"/>
                  <w:vAlign w:val="center"/>
                </w:tcPr>
                <w:p>
                  <w:pPr>
                    <w:pStyle w:val="286"/>
                    <w:snapToGrid w:val="0"/>
                    <w:jc w:val="both"/>
                    <w:rPr>
                      <w:sz w:val="21"/>
                      <w:szCs w:val="21"/>
                    </w:rPr>
                  </w:pPr>
                  <w:r>
                    <w:rPr>
                      <w:sz w:val="21"/>
                      <w:szCs w:val="21"/>
                    </w:rPr>
                    <w:t>第十九条 禁止在长江干流岸线三公里范围内和重要支流岸线一公里范围内新建、改建、扩建尾矿库、冶炼渣库、磷石膏库，以提升安全、生态环境保护水平为目的的改建除外。</w:t>
                  </w:r>
                </w:p>
              </w:tc>
              <w:tc>
                <w:tcPr>
                  <w:tcW w:w="1358" w:type="pct"/>
                  <w:noWrap w:val="0"/>
                  <w:vAlign w:val="center"/>
                </w:tcPr>
                <w:p>
                  <w:pPr>
                    <w:pStyle w:val="286"/>
                    <w:snapToGrid w:val="0"/>
                    <w:jc w:val="both"/>
                    <w:rPr>
                      <w:sz w:val="21"/>
                      <w:szCs w:val="21"/>
                    </w:rPr>
                  </w:pPr>
                  <w:r>
                    <w:rPr>
                      <w:sz w:val="21"/>
                      <w:szCs w:val="21"/>
                    </w:rPr>
                    <w:t>本项目为城镇污水处理厂项目，不属于尾矿库等项目。</w:t>
                  </w:r>
                </w:p>
              </w:tc>
              <w:tc>
                <w:tcPr>
                  <w:tcW w:w="464" w:type="pct"/>
                  <w:noWrap w:val="0"/>
                  <w:vAlign w:val="center"/>
                </w:tcPr>
                <w:p>
                  <w:pPr>
                    <w:pStyle w:val="286"/>
                    <w:snapToGrid w:val="0"/>
                    <w:rPr>
                      <w:sz w:val="21"/>
                      <w:szCs w:val="21"/>
                    </w:rPr>
                  </w:pPr>
                  <w:r>
                    <w:rPr>
                      <w:sz w:val="21"/>
                      <w:szCs w:val="21"/>
                    </w:rPr>
                    <w:t>符合</w:t>
                  </w:r>
                </w:p>
              </w:tc>
            </w:tr>
          </w:tbl>
          <w:p>
            <w:pPr>
              <w:adjustRightInd w:val="0"/>
              <w:snapToGrid w:val="0"/>
              <w:spacing w:before="120" w:beforeLines="50" w:line="360" w:lineRule="auto"/>
              <w:ind w:firstLine="482" w:firstLineChars="200"/>
              <w:rPr>
                <w:b/>
                <w:bCs/>
                <w:sz w:val="24"/>
              </w:rPr>
            </w:pPr>
            <w:r>
              <w:rPr>
                <w:b/>
                <w:bCs/>
                <w:sz w:val="24"/>
              </w:rPr>
              <w:t>从上表可知，本项目建设符合《四川省、重庆市长江经济带发展负面清单实施细则（试行，2022年版）》（川长江办</w:t>
            </w:r>
            <w:r>
              <w:rPr>
                <w:rFonts w:hint="eastAsia"/>
                <w:b/>
                <w:bCs/>
                <w:sz w:val="24"/>
              </w:rPr>
              <w:t>〔2022〕</w:t>
            </w:r>
            <w:r>
              <w:rPr>
                <w:b/>
                <w:bCs/>
                <w:sz w:val="24"/>
              </w:rPr>
              <w:t>17号）相关要求。</w:t>
            </w:r>
          </w:p>
          <w:p>
            <w:pPr>
              <w:spacing w:line="360" w:lineRule="auto"/>
              <w:rPr>
                <w:b/>
                <w:bCs/>
                <w:kern w:val="0"/>
                <w:sz w:val="24"/>
              </w:rPr>
            </w:pPr>
            <w:r>
              <w:rPr>
                <w:b/>
                <w:bCs/>
                <w:kern w:val="0"/>
                <w:sz w:val="24"/>
              </w:rPr>
              <w:t>5、用地符合性分析</w:t>
            </w:r>
          </w:p>
          <w:p>
            <w:pPr>
              <w:spacing w:line="360" w:lineRule="auto"/>
              <w:ind w:firstLine="480" w:firstLineChars="200"/>
              <w:rPr>
                <w:sz w:val="24"/>
              </w:rPr>
            </w:pPr>
            <w:r>
              <w:rPr>
                <w:kern w:val="0"/>
                <w:sz w:val="24"/>
              </w:rPr>
              <w:t>本项目位于达州市通川区双龙镇，属于污水处理厂改扩建项目，在现有用地基础上进行改扩建，不新增用地。</w:t>
            </w:r>
            <w:r>
              <w:rPr>
                <w:sz w:val="24"/>
              </w:rPr>
              <w:t>根据《通川区双龙镇城镇总体规划》成果及“三区三线”调查成果可知，项目不在城镇开发边界范围内，同时不涉及永久基本农田和生态保护红线。</w:t>
            </w:r>
          </w:p>
          <w:p>
            <w:pPr>
              <w:spacing w:line="360" w:lineRule="auto"/>
              <w:ind w:firstLine="480" w:firstLineChars="200"/>
              <w:rPr>
                <w:kern w:val="0"/>
                <w:sz w:val="24"/>
              </w:rPr>
            </w:pPr>
            <w:r>
              <w:rPr>
                <w:kern w:val="0"/>
                <w:sz w:val="24"/>
              </w:rPr>
              <w:t>2016年12月13日，达州市通川区住房和城乡规划建设局出具《建设项目选址意见书》（选字第换2016-08号，见附件3）同意项目选址，选址符合城乡规划要求。</w:t>
            </w:r>
          </w:p>
          <w:p>
            <w:pPr>
              <w:pStyle w:val="2"/>
              <w:spacing w:before="0" w:after="0" w:line="360" w:lineRule="auto"/>
              <w:ind w:right="0" w:firstLine="480" w:firstLineChars="200"/>
              <w:rPr>
                <w:sz w:val="24"/>
                <w:szCs w:val="24"/>
              </w:rPr>
            </w:pPr>
            <w:r>
              <w:rPr>
                <w:sz w:val="24"/>
                <w:szCs w:val="24"/>
              </w:rPr>
              <w:t>因此，本项目符合通川区双龙镇用地规划。</w:t>
            </w:r>
          </w:p>
          <w:p>
            <w:pPr>
              <w:spacing w:line="360" w:lineRule="auto"/>
              <w:rPr>
                <w:b/>
                <w:bCs/>
                <w:kern w:val="0"/>
                <w:sz w:val="24"/>
              </w:rPr>
            </w:pPr>
            <w:r>
              <w:rPr>
                <w:b/>
                <w:bCs/>
                <w:kern w:val="0"/>
                <w:sz w:val="24"/>
              </w:rPr>
              <w:t>6、选址符合性分析</w:t>
            </w:r>
          </w:p>
          <w:p>
            <w:pPr>
              <w:spacing w:line="360" w:lineRule="auto"/>
              <w:ind w:firstLine="482" w:firstLineChars="200"/>
              <w:rPr>
                <w:b/>
                <w:bCs/>
                <w:kern w:val="0"/>
                <w:sz w:val="24"/>
              </w:rPr>
            </w:pPr>
            <w:r>
              <w:rPr>
                <w:b/>
                <w:bCs/>
                <w:kern w:val="0"/>
                <w:sz w:val="24"/>
              </w:rPr>
              <w:t>（1）污水处理厂选址符合性</w:t>
            </w:r>
          </w:p>
          <w:p>
            <w:pPr>
              <w:spacing w:line="360" w:lineRule="auto"/>
              <w:ind w:firstLine="480" w:firstLineChars="200"/>
              <w:rPr>
                <w:kern w:val="0"/>
                <w:sz w:val="24"/>
              </w:rPr>
            </w:pPr>
            <w:r>
              <w:rPr>
                <w:kern w:val="0"/>
                <w:sz w:val="24"/>
              </w:rPr>
              <w:t>本项目为现有污水处理厂改扩建项目，选址位于现有污水处理厂内，不涉及选址比选方案。根据现场踏勘，外环境关系如下：</w:t>
            </w:r>
          </w:p>
          <w:p>
            <w:pPr>
              <w:spacing w:line="360" w:lineRule="auto"/>
              <w:ind w:firstLine="480" w:firstLineChars="200"/>
              <w:rPr>
                <w:kern w:val="0"/>
                <w:sz w:val="24"/>
              </w:rPr>
            </w:pPr>
            <w:r>
              <w:rPr>
                <w:kern w:val="0"/>
                <w:sz w:val="24"/>
              </w:rPr>
              <w:t>南侧：项目厂界南侧48m处有1户居民。</w:t>
            </w:r>
          </w:p>
          <w:p>
            <w:pPr>
              <w:spacing w:line="360" w:lineRule="auto"/>
              <w:ind w:firstLine="480" w:firstLineChars="200"/>
              <w:rPr>
                <w:kern w:val="0"/>
                <w:sz w:val="24"/>
              </w:rPr>
            </w:pPr>
            <w:r>
              <w:rPr>
                <w:kern w:val="0"/>
                <w:sz w:val="24"/>
              </w:rPr>
              <w:t>西侧：项目厂界西侧10m处有1户居民。</w:t>
            </w:r>
          </w:p>
          <w:p>
            <w:pPr>
              <w:spacing w:line="360" w:lineRule="auto"/>
              <w:ind w:firstLine="480" w:firstLineChars="200"/>
              <w:rPr>
                <w:kern w:val="0"/>
                <w:sz w:val="24"/>
              </w:rPr>
            </w:pPr>
            <w:r>
              <w:rPr>
                <w:kern w:val="0"/>
                <w:sz w:val="24"/>
              </w:rPr>
              <w:t>北侧：项目厂界北侧18m处为双龙河；项目厂界北侧38m处散落分布着3户居民。</w:t>
            </w:r>
          </w:p>
          <w:p>
            <w:pPr>
              <w:spacing w:line="360" w:lineRule="auto"/>
              <w:ind w:firstLine="480" w:firstLineChars="200"/>
              <w:rPr>
                <w:kern w:val="0"/>
                <w:sz w:val="24"/>
              </w:rPr>
            </w:pPr>
            <w:r>
              <w:rPr>
                <w:kern w:val="0"/>
                <w:sz w:val="24"/>
              </w:rPr>
              <w:t>项目距双龙河较近，根据2017年8月18日，取得《</w:t>
            </w:r>
            <w:r>
              <w:rPr>
                <w:sz w:val="24"/>
              </w:rPr>
              <w:t>达州市通川区水务局关于通川区双龙镇场镇生活污水处理站建设项目（污水管道改线河段）行洪论证与河势稳定影响评价报告的批复》（通区水行审[2017]12号）可知，项目厂址防洪标准满足20年一遇标准；同时，项目的建设对河道猩红影响较小。</w:t>
            </w:r>
          </w:p>
          <w:p>
            <w:pPr>
              <w:spacing w:line="360" w:lineRule="auto"/>
              <w:ind w:firstLine="480" w:firstLineChars="200"/>
              <w:rPr>
                <w:kern w:val="0"/>
                <w:sz w:val="24"/>
              </w:rPr>
            </w:pPr>
            <w:r>
              <w:rPr>
                <w:kern w:val="0"/>
                <w:sz w:val="24"/>
              </w:rPr>
              <w:t>本项目选址符合通川区双龙镇规划，项目营运期间产生的废水、废气、噪声、固废等各项污染物通过采取相应治理措施后均可达标排放或得到合理处置，对周围环境影响较小，并且本项目的建设将大大减少废水污染物的排放量，具有环境正效应。项目建成运行至今，未发生过环境纠纷和环保投诉。</w:t>
            </w:r>
          </w:p>
          <w:p>
            <w:pPr>
              <w:spacing w:line="360" w:lineRule="auto"/>
              <w:ind w:firstLine="480" w:firstLineChars="200"/>
              <w:rPr>
                <w:kern w:val="0"/>
                <w:sz w:val="24"/>
              </w:rPr>
            </w:pPr>
            <w:r>
              <w:rPr>
                <w:kern w:val="0"/>
                <w:sz w:val="24"/>
              </w:rPr>
              <w:t>项目地表水评价范围内无饮用水源保护区，项目周边区域无风景名胜区、自然保护区、保护文物、生态敏感点或其它需要特别保护的对象，不存在重大环境制约因素，项目选址与外环境相容。</w:t>
            </w:r>
          </w:p>
          <w:p>
            <w:pPr>
              <w:spacing w:line="360" w:lineRule="auto"/>
              <w:ind w:firstLine="480" w:firstLineChars="200"/>
              <w:rPr>
                <w:kern w:val="0"/>
                <w:sz w:val="24"/>
              </w:rPr>
            </w:pPr>
            <w:r>
              <w:rPr>
                <w:kern w:val="0"/>
                <w:sz w:val="24"/>
              </w:rPr>
              <w:t>综上所述，本项目选址符合当地规划要求，与外环境相容，无重大环境制约因素，从环保角度分析，本项目选址合理可行。</w:t>
            </w:r>
          </w:p>
          <w:p>
            <w:pPr>
              <w:spacing w:line="360" w:lineRule="auto"/>
              <w:ind w:firstLine="482" w:firstLineChars="200"/>
              <w:rPr>
                <w:b/>
                <w:bCs/>
                <w:kern w:val="0"/>
                <w:sz w:val="24"/>
              </w:rPr>
            </w:pPr>
            <w:r>
              <w:rPr>
                <w:b/>
                <w:bCs/>
                <w:kern w:val="0"/>
                <w:sz w:val="24"/>
              </w:rPr>
              <w:t>（2）排污口设置合理性</w:t>
            </w:r>
          </w:p>
          <w:p>
            <w:pPr>
              <w:spacing w:line="360" w:lineRule="auto"/>
              <w:ind w:firstLine="480" w:firstLineChars="200"/>
              <w:rPr>
                <w:kern w:val="0"/>
                <w:sz w:val="24"/>
              </w:rPr>
            </w:pPr>
            <w:r>
              <w:rPr>
                <w:kern w:val="0"/>
                <w:sz w:val="24"/>
              </w:rPr>
              <w:t>本项目污水处理厂排水受纳水体为双龙河，入河排污口位置位于通川区双龙镇骑龙村2组双龙河右岸。排污口地理坐标为东经107°26′02″，北纬31°16′27″。为生活污水入河排污口，连续排放，处理规模为1500m</w:t>
            </w:r>
            <w:r>
              <w:rPr>
                <w:kern w:val="0"/>
                <w:sz w:val="24"/>
                <w:vertAlign w:val="superscript"/>
              </w:rPr>
              <w:t>3</w:t>
            </w:r>
            <w:r>
              <w:rPr>
                <w:kern w:val="0"/>
                <w:sz w:val="24"/>
              </w:rPr>
              <w:t>/d，尾水全部通过拟建排污口排入双龙河。本项目排污口所在双龙河河段为二级水功能区“双龙河双龙复兴工业、景观用水区”，上起东双交界，下至复兴社区，长度13.4km，水质目标属于地表水Ⅳ类。</w:t>
            </w:r>
          </w:p>
          <w:p>
            <w:pPr>
              <w:spacing w:line="360" w:lineRule="auto"/>
              <w:ind w:firstLine="480" w:firstLineChars="200"/>
              <w:rPr>
                <w:kern w:val="0"/>
                <w:sz w:val="24"/>
              </w:rPr>
            </w:pPr>
            <w:r>
              <w:rPr>
                <w:kern w:val="0"/>
                <w:sz w:val="24"/>
              </w:rPr>
              <w:t>通过预测分析可知，在双龙镇污水处理厂改扩建项目正常运行条件下，在完全混合后下游5200m 处COD 回归本底，下游6000m 处TP 回归本底，在完全混合后，NH</w:t>
            </w:r>
            <w:r>
              <w:rPr>
                <w:kern w:val="0"/>
                <w:sz w:val="24"/>
                <w:vertAlign w:val="subscript"/>
              </w:rPr>
              <w:t>3</w:t>
            </w:r>
            <w:r>
              <w:rPr>
                <w:kern w:val="0"/>
                <w:sz w:val="24"/>
              </w:rPr>
              <w:t>-N 能满足地表水Ⅲ类要求；事故排放下，在完全混合后，COD、NH</w:t>
            </w:r>
            <w:r>
              <w:rPr>
                <w:kern w:val="0"/>
                <w:sz w:val="24"/>
                <w:vertAlign w:val="subscript"/>
              </w:rPr>
              <w:t>3</w:t>
            </w:r>
            <w:r>
              <w:rPr>
                <w:kern w:val="0"/>
                <w:sz w:val="24"/>
              </w:rPr>
              <w:t>-N、TP 均能满足地表水Ⅳ类要求。</w:t>
            </w:r>
          </w:p>
          <w:p>
            <w:pPr>
              <w:spacing w:line="360" w:lineRule="auto"/>
              <w:ind w:firstLine="480" w:firstLineChars="200"/>
              <w:rPr>
                <w:kern w:val="0"/>
                <w:sz w:val="24"/>
              </w:rPr>
            </w:pPr>
            <w:r>
              <w:rPr>
                <w:kern w:val="0"/>
                <w:sz w:val="24"/>
              </w:rPr>
              <w:t>本项目事故排放废水进入双龙河，会对污水处理站尾水排口下游水质造成影响，完全混合后NH</w:t>
            </w:r>
            <w:r>
              <w:rPr>
                <w:kern w:val="0"/>
                <w:sz w:val="24"/>
                <w:vertAlign w:val="subscript"/>
              </w:rPr>
              <w:t>3</w:t>
            </w:r>
            <w:r>
              <w:rPr>
                <w:kern w:val="0"/>
                <w:sz w:val="24"/>
              </w:rPr>
              <w:t>-N、TP 超过地表水Ⅳ类水质。由于双龙河作为双龙镇场镇污水的唯一纳污水体，事故排放情况下也不会额外增加双龙河评价河段的污染物入河量。且本项目属于公益类，将收纳范围内生活污水集中处理，大大削减了入河污染物，污水处理厂的建设对改善河流生态环境是有利的，对改善区域水环境具有明显的环境正效益。</w:t>
            </w:r>
          </w:p>
          <w:p>
            <w:pPr>
              <w:spacing w:line="360" w:lineRule="auto"/>
              <w:ind w:firstLine="480" w:firstLineChars="200"/>
              <w:rPr>
                <w:kern w:val="0"/>
                <w:sz w:val="24"/>
              </w:rPr>
            </w:pPr>
            <w:r>
              <w:rPr>
                <w:kern w:val="0"/>
                <w:sz w:val="24"/>
              </w:rPr>
              <w:t>排污管道占据河道行洪断面较小，对河道行洪影响较小，对河势稳定不会造成影响，且不会对防洪抢险造成影响。</w:t>
            </w:r>
          </w:p>
          <w:p>
            <w:pPr>
              <w:spacing w:line="360" w:lineRule="auto"/>
              <w:ind w:firstLine="480" w:firstLineChars="200"/>
              <w:rPr>
                <w:kern w:val="0"/>
                <w:sz w:val="24"/>
              </w:rPr>
            </w:pPr>
            <w:r>
              <w:rPr>
                <w:kern w:val="0"/>
                <w:sz w:val="24"/>
              </w:rPr>
              <w:t>综上，本项目排污口设置不在饮用水源保护区范围内。本项目尾水排放执行《城镇污水处理厂污染物排放标准》（GB18918-2002）一级A标准，对受纳水体影响较小，不会改变其水体功能。因此，从环保角度分析，本项目排污口的设置较为合理。</w:t>
            </w:r>
          </w:p>
          <w:p>
            <w:pPr>
              <w:spacing w:line="360" w:lineRule="auto"/>
              <w:ind w:firstLine="420" w:firstLineChars="200"/>
            </w:pPr>
          </w:p>
          <w:p>
            <w:pPr>
              <w:pStyle w:val="2"/>
            </w:pPr>
          </w:p>
        </w:tc>
      </w:tr>
    </w:tbl>
    <w:p>
      <w:pPr>
        <w:pStyle w:val="28"/>
        <w:outlineLvl w:val="0"/>
        <w:rPr>
          <w:rFonts w:ascii="Times New Roman" w:hAnsi="Times New Roman"/>
          <w:snapToGrid w:val="0"/>
          <w:sz w:val="30"/>
          <w:szCs w:val="30"/>
        </w:rPr>
        <w:sectPr>
          <w:pgSz w:w="11906" w:h="16838"/>
          <w:pgMar w:top="1701" w:right="1531" w:bottom="1701" w:left="1531" w:header="851" w:footer="851" w:gutter="0"/>
          <w:cols w:space="720" w:num="1"/>
          <w:docGrid w:linePitch="312" w:charSpace="0"/>
        </w:sectPr>
      </w:pPr>
    </w:p>
    <w:p>
      <w:pPr>
        <w:pStyle w:val="28"/>
        <w:jc w:val="center"/>
        <w:outlineLvl w:val="0"/>
        <w:rPr>
          <w:rFonts w:ascii="Times New Roman" w:hAnsi="Times New Roman"/>
          <w:snapToGrid w:val="0"/>
          <w:sz w:val="30"/>
          <w:szCs w:val="30"/>
        </w:rPr>
      </w:pPr>
      <w:bookmarkStart w:id="10" w:name="_Toc116207759"/>
      <w:r>
        <w:rPr>
          <w:rFonts w:ascii="Times New Roman" w:hAnsi="Times New Roman"/>
          <w:snapToGrid w:val="0"/>
          <w:sz w:val="30"/>
          <w:szCs w:val="30"/>
        </w:rPr>
        <w:t>二、建设项目工程分析</w:t>
      </w:r>
      <w:bookmarkEnd w:id="10"/>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6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30" w:type="pct"/>
            <w:noWrap w:val="0"/>
            <w:vAlign w:val="center"/>
          </w:tcPr>
          <w:p>
            <w:pPr>
              <w:pStyle w:val="28"/>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建设内容</w:t>
            </w:r>
          </w:p>
        </w:tc>
        <w:tc>
          <w:tcPr>
            <w:tcW w:w="4770" w:type="pct"/>
            <w:noWrap w:val="0"/>
            <w:vAlign w:val="top"/>
          </w:tcPr>
          <w:p>
            <w:pPr>
              <w:pStyle w:val="2"/>
              <w:spacing w:before="0" w:after="0" w:line="360" w:lineRule="auto"/>
              <w:ind w:right="0"/>
              <w:jc w:val="left"/>
              <w:rPr>
                <w:b/>
                <w:kern w:val="2"/>
                <w:sz w:val="24"/>
                <w:szCs w:val="24"/>
              </w:rPr>
            </w:pPr>
            <w:r>
              <w:rPr>
                <w:b/>
                <w:kern w:val="2"/>
                <w:sz w:val="24"/>
                <w:szCs w:val="24"/>
              </w:rPr>
              <w:t>1、项目由来</w:t>
            </w:r>
          </w:p>
          <w:p>
            <w:pPr>
              <w:pStyle w:val="2"/>
              <w:spacing w:before="0" w:after="0" w:line="360" w:lineRule="auto"/>
              <w:ind w:right="0" w:firstLine="480" w:firstLineChars="200"/>
              <w:rPr>
                <w:bCs/>
                <w:sz w:val="24"/>
              </w:rPr>
            </w:pPr>
            <w:bookmarkStart w:id="11" w:name="_Hlk141950400"/>
            <w:r>
              <w:rPr>
                <w:bCs/>
                <w:sz w:val="24"/>
              </w:rPr>
              <w:t>达州市通川区双龙镇污水处理厂于2016年建设，位于通川区双龙镇骑龙村2组，项目占地3533.33m</w:t>
            </w:r>
            <w:r>
              <w:rPr>
                <w:bCs/>
                <w:sz w:val="24"/>
                <w:vertAlign w:val="superscript"/>
              </w:rPr>
              <w:t>2</w:t>
            </w:r>
            <w:r>
              <w:rPr>
                <w:bCs/>
                <w:sz w:val="24"/>
              </w:rPr>
              <w:t>，设计处理能力1000m</w:t>
            </w:r>
            <w:r>
              <w:rPr>
                <w:bCs/>
                <w:sz w:val="24"/>
                <w:vertAlign w:val="superscript"/>
              </w:rPr>
              <w:t>3</w:t>
            </w:r>
            <w:r>
              <w:rPr>
                <w:bCs/>
                <w:sz w:val="24"/>
              </w:rPr>
              <w:t>/d，采用PASG工艺，处理后污水达到《城镇污水处理厂污染物排放标准》（GB18918-2002）一级A类标准后排入双龙河。</w:t>
            </w:r>
            <w:r>
              <w:rPr>
                <w:bCs/>
                <w:sz w:val="24"/>
                <w:szCs w:val="24"/>
              </w:rPr>
              <w:t>2017年3月，委托重庆市久久环境影响评价有限公司编制完成《通川区双龙镇污水处理站建设项目环境影响报告表》，并于2017年11月24日取得由达州市通川区环境保护局颁发的《关于通川区双龙镇污水处理站建设项目环境影响报告表的批复》（通区环审批[2017]34号）。该工程设计处理规模为1000m</w:t>
            </w:r>
            <w:r>
              <w:rPr>
                <w:bCs/>
                <w:sz w:val="24"/>
                <w:szCs w:val="24"/>
                <w:vertAlign w:val="superscript"/>
              </w:rPr>
              <w:t>3</w:t>
            </w:r>
            <w:r>
              <w:rPr>
                <w:bCs/>
                <w:sz w:val="24"/>
                <w:szCs w:val="24"/>
              </w:rPr>
              <w:t>/d，配套2743m污水干管，处理工艺为PASG工艺，设计出水水质执行《城镇污水处理厂污染物排放标准》中的一级A标准。项目于2019年建成投入试运行，并于2019年3月通过自主验收取得项目竣工环境保护验收意见。于2019年9月30日取得排污许可证（证书编号：91511702MA65EQL352001Q）。</w:t>
            </w:r>
          </w:p>
          <w:bookmarkEnd w:id="11"/>
          <w:p>
            <w:pPr>
              <w:pStyle w:val="2"/>
              <w:spacing w:before="0" w:after="0" w:line="360" w:lineRule="auto"/>
              <w:ind w:right="0" w:firstLine="480" w:firstLineChars="200"/>
              <w:rPr>
                <w:bCs/>
                <w:sz w:val="24"/>
              </w:rPr>
            </w:pPr>
            <w:r>
              <w:rPr>
                <w:bCs/>
                <w:sz w:val="24"/>
              </w:rPr>
              <w:t>根据项目在实际运营在线监测出水水质资料发现，因污水处理设备随着使用时间的增长，出现老化和损坏的情况，以及工艺本身原因，使得实际处理能力达不到设计处理能力1000m</w:t>
            </w:r>
            <w:r>
              <w:rPr>
                <w:bCs/>
                <w:sz w:val="24"/>
                <w:vertAlign w:val="superscript"/>
              </w:rPr>
              <w:t>3</w:t>
            </w:r>
            <w:r>
              <w:rPr>
                <w:bCs/>
                <w:sz w:val="24"/>
              </w:rPr>
              <w:t>/d（实际处理能力≤500m</w:t>
            </w:r>
            <w:r>
              <w:rPr>
                <w:bCs/>
                <w:sz w:val="24"/>
                <w:vertAlign w:val="superscript"/>
              </w:rPr>
              <w:t>3</w:t>
            </w:r>
            <w:r>
              <w:rPr>
                <w:bCs/>
                <w:sz w:val="24"/>
              </w:rPr>
              <w:t>/d，超过此数值后出水会超标）氨氮、总磷、总氮不达标。通过调整优化工艺运行参数后仍不能实现预期效果。因此，</w:t>
            </w:r>
            <w:r>
              <w:rPr>
                <w:rFonts w:hint="eastAsia"/>
                <w:bCs/>
                <w:sz w:val="24"/>
              </w:rPr>
              <w:t>拟在双龙镇污水处理厂现有厂区内进行改扩建</w:t>
            </w:r>
            <w:r>
              <w:rPr>
                <w:bCs/>
                <w:sz w:val="24"/>
              </w:rPr>
              <w:t>。在原厂区内空地部分增加一套一体化污水处理设备（设计处理能力1000t/d，工艺采用“AAO(MBBR)+沉淀池+微絮凝除磷D型滤池+紫外线消毒”），新增除臭系统并完善污泥脱水设备及污泥堆场，增加应急电源、变压器扩容设施设备等，优化原厌氧池功能等。同时保留原设备处理能力，总处理能力达到1500m</w:t>
            </w:r>
            <w:r>
              <w:rPr>
                <w:bCs/>
                <w:sz w:val="24"/>
                <w:vertAlign w:val="superscript"/>
              </w:rPr>
              <w:t>3</w:t>
            </w:r>
            <w:r>
              <w:rPr>
                <w:bCs/>
                <w:sz w:val="24"/>
              </w:rPr>
              <w:t>/d，处理出水水质达《城镇污水处理厂污染物排放标准》（GB18918-2002）一级A类标准后排入双龙河，排污口依托现有排污口。</w:t>
            </w:r>
          </w:p>
          <w:p>
            <w:pPr>
              <w:pStyle w:val="2"/>
              <w:spacing w:before="0" w:after="0" w:line="360" w:lineRule="auto"/>
              <w:ind w:right="0" w:firstLine="480" w:firstLineChars="200"/>
              <w:rPr>
                <w:bCs/>
                <w:sz w:val="24"/>
              </w:rPr>
            </w:pPr>
            <w:r>
              <w:rPr>
                <w:bCs/>
                <w:sz w:val="24"/>
              </w:rPr>
              <w:t>达州市通川区东岳镇污水处理厂原建设单位为达州神剑建设发展有限公司，</w:t>
            </w:r>
            <w:bookmarkStart w:id="12" w:name="_Hlk142052362"/>
            <w:r>
              <w:rPr>
                <w:rFonts w:hint="eastAsia"/>
                <w:bCs/>
                <w:sz w:val="24"/>
              </w:rPr>
              <w:t>达州神剑建设发展有限公司与达州市金地水务有限公司同属于通川区区属国有企业，</w:t>
            </w:r>
            <w:bookmarkEnd w:id="12"/>
            <w:r>
              <w:rPr>
                <w:bCs/>
                <w:sz w:val="24"/>
              </w:rPr>
              <w:t>2022年4月25日，通过专题研究通川区乡镇污水处理厂和农村聚居点微型污水处理站移交事宜会议</w:t>
            </w:r>
            <w:r>
              <w:rPr>
                <w:sz w:val="24"/>
              </w:rPr>
              <w:t>（达州市通川区人民政府纪要第13期，见附件12），污水处理厂移交给</w:t>
            </w:r>
            <w:r>
              <w:rPr>
                <w:bCs/>
                <w:sz w:val="24"/>
              </w:rPr>
              <w:t>达州市金地水务有限公司，本项目的建设由达州市金地水务有限公司实施，项目建成后由第三方达州市通川区中天环保科技有限责任公司运行管理。项目在线监测由成都道兴科技有限公司提供管理维护。</w:t>
            </w:r>
          </w:p>
          <w:p>
            <w:pPr>
              <w:pStyle w:val="2"/>
              <w:spacing w:before="0" w:after="0" w:line="360" w:lineRule="auto"/>
              <w:ind w:right="0" w:firstLine="480" w:firstLineChars="200"/>
              <w:rPr>
                <w:bCs/>
                <w:sz w:val="24"/>
              </w:rPr>
            </w:pPr>
            <w:r>
              <w:rPr>
                <w:bCs/>
                <w:sz w:val="24"/>
              </w:rPr>
              <w:t>根据《中华人民共和国环境保护法</w:t>
            </w:r>
            <w:r>
              <w:rPr>
                <w:rFonts w:hint="eastAsia"/>
                <w:bCs/>
                <w:sz w:val="24"/>
                <w:lang w:eastAsia="zh-CN"/>
              </w:rPr>
              <w:t>》《</w:t>
            </w:r>
            <w:r>
              <w:rPr>
                <w:bCs/>
                <w:sz w:val="24"/>
              </w:rPr>
              <w:t>中华人民共和国环境影响评价法》和国务院第682号令的要求，该项目须进行环境影响评价。根据</w:t>
            </w:r>
            <w:r>
              <w:rPr>
                <w:rFonts w:hint="eastAsia"/>
                <w:bCs/>
                <w:sz w:val="24"/>
              </w:rPr>
              <w:t>中华人民共和国环境保护法</w:t>
            </w:r>
            <w:r>
              <w:rPr>
                <w:bCs/>
                <w:sz w:val="24"/>
              </w:rPr>
              <w:t>《建设项目环境影响评价分类管理名录》（2021版），本项目属于“四十三、水的生产和供应业——95、污水处理及其再生利用——新建、扩建日处理10万吨以下500吨及以上城乡污水处理的；新建、扩建其他工业废水处理的（不含建设单位自建自用仅处理生活污水的；不含出水间接排入地表水体且不排放重金属的）”，确定本项目应编制环境影响报告表。</w:t>
            </w:r>
          </w:p>
          <w:p>
            <w:pPr>
              <w:pStyle w:val="2"/>
              <w:spacing w:before="0" w:after="0" w:line="360" w:lineRule="auto"/>
              <w:ind w:right="0" w:firstLine="480" w:firstLineChars="200"/>
              <w:rPr>
                <w:bCs/>
                <w:sz w:val="24"/>
              </w:rPr>
            </w:pPr>
            <w:r>
              <w:rPr>
                <w:bCs/>
                <w:sz w:val="24"/>
              </w:rPr>
              <w:t>为此，达州市金地水务有限公司委托我公司承担该项目的环境影响评价工作。我公司接受委托后，即对该项目进行了现场踏勘和资料收集，在工程分析及环境影响分析基础上，依据国家有关环保法规和环评技术指南要求，编制了该项目的环境影响报告表。</w:t>
            </w:r>
          </w:p>
          <w:p>
            <w:pPr>
              <w:adjustRightInd w:val="0"/>
              <w:snapToGrid w:val="0"/>
              <w:spacing w:line="360" w:lineRule="auto"/>
              <w:rPr>
                <w:b/>
                <w:sz w:val="24"/>
              </w:rPr>
            </w:pPr>
            <w:r>
              <w:rPr>
                <w:b/>
                <w:sz w:val="24"/>
              </w:rPr>
              <w:t>2、项目基本情况</w:t>
            </w:r>
          </w:p>
          <w:p>
            <w:pPr>
              <w:adjustRightInd w:val="0"/>
              <w:snapToGrid w:val="0"/>
              <w:spacing w:line="360" w:lineRule="auto"/>
              <w:ind w:firstLine="482" w:firstLineChars="200"/>
              <w:rPr>
                <w:bCs/>
                <w:sz w:val="24"/>
              </w:rPr>
            </w:pPr>
            <w:r>
              <w:rPr>
                <w:b/>
                <w:sz w:val="24"/>
              </w:rPr>
              <w:t>项目名称：</w:t>
            </w:r>
            <w:r>
              <w:rPr>
                <w:bCs/>
                <w:sz w:val="24"/>
              </w:rPr>
              <w:t>双龙镇污水处理厂改扩建项目</w:t>
            </w:r>
          </w:p>
          <w:p>
            <w:pPr>
              <w:adjustRightInd w:val="0"/>
              <w:snapToGrid w:val="0"/>
              <w:spacing w:line="360" w:lineRule="auto"/>
              <w:ind w:firstLine="482" w:firstLineChars="200"/>
              <w:rPr>
                <w:bCs/>
                <w:sz w:val="24"/>
              </w:rPr>
            </w:pPr>
            <w:r>
              <w:rPr>
                <w:b/>
                <w:sz w:val="24"/>
              </w:rPr>
              <w:t>项目性质：</w:t>
            </w:r>
            <w:r>
              <w:rPr>
                <w:bCs/>
                <w:sz w:val="24"/>
              </w:rPr>
              <w:t>改扩建</w:t>
            </w:r>
          </w:p>
          <w:p>
            <w:pPr>
              <w:adjustRightInd w:val="0"/>
              <w:snapToGrid w:val="0"/>
              <w:spacing w:line="360" w:lineRule="auto"/>
              <w:ind w:firstLine="482" w:firstLineChars="200"/>
              <w:rPr>
                <w:bCs/>
                <w:sz w:val="24"/>
              </w:rPr>
            </w:pPr>
            <w:r>
              <w:rPr>
                <w:b/>
                <w:sz w:val="24"/>
              </w:rPr>
              <w:t>建设单位：</w:t>
            </w:r>
            <w:r>
              <w:rPr>
                <w:bCs/>
                <w:sz w:val="24"/>
              </w:rPr>
              <w:t>达州市金地水务有限公司</w:t>
            </w:r>
          </w:p>
          <w:p>
            <w:pPr>
              <w:adjustRightInd w:val="0"/>
              <w:snapToGrid w:val="0"/>
              <w:spacing w:line="360" w:lineRule="auto"/>
              <w:ind w:firstLine="482" w:firstLineChars="200"/>
              <w:rPr>
                <w:bCs/>
                <w:sz w:val="24"/>
              </w:rPr>
            </w:pPr>
            <w:r>
              <w:rPr>
                <w:b/>
                <w:sz w:val="24"/>
              </w:rPr>
              <w:t>建设地点：</w:t>
            </w:r>
            <w:r>
              <w:rPr>
                <w:bCs/>
                <w:sz w:val="24"/>
              </w:rPr>
              <w:t>达州市通川区双龙镇</w:t>
            </w:r>
          </w:p>
          <w:p>
            <w:pPr>
              <w:adjustRightInd w:val="0"/>
              <w:snapToGrid w:val="0"/>
              <w:spacing w:line="360" w:lineRule="auto"/>
              <w:ind w:firstLine="482" w:firstLineChars="200"/>
              <w:rPr>
                <w:bCs/>
                <w:sz w:val="24"/>
              </w:rPr>
            </w:pPr>
            <w:r>
              <w:rPr>
                <w:b/>
                <w:sz w:val="24"/>
              </w:rPr>
              <w:t>项目投资：</w:t>
            </w:r>
            <w:r>
              <w:rPr>
                <w:bCs/>
                <w:sz w:val="24"/>
              </w:rPr>
              <w:t>项目总投资500万元，其资金来源为本级财政资金企业自筹资金及债券金等。</w:t>
            </w:r>
          </w:p>
          <w:p>
            <w:pPr>
              <w:adjustRightInd w:val="0"/>
              <w:snapToGrid w:val="0"/>
              <w:spacing w:line="360" w:lineRule="auto"/>
              <w:ind w:firstLine="482" w:firstLineChars="200"/>
              <w:rPr>
                <w:bCs/>
                <w:sz w:val="24"/>
              </w:rPr>
            </w:pPr>
            <w:r>
              <w:rPr>
                <w:b/>
                <w:sz w:val="24"/>
              </w:rPr>
              <w:t>工作制度及定员：</w:t>
            </w:r>
            <w:r>
              <w:rPr>
                <w:bCs/>
                <w:sz w:val="24"/>
              </w:rPr>
              <w:t>现有工作人员3人，改扩建后不新增员工，年运行365天，每天24h连续运行，厂区内不设食堂宿舍，设置有值班休息室。</w:t>
            </w:r>
          </w:p>
          <w:p>
            <w:pPr>
              <w:adjustRightInd w:val="0"/>
              <w:snapToGrid w:val="0"/>
              <w:spacing w:line="360" w:lineRule="auto"/>
              <w:rPr>
                <w:b/>
                <w:sz w:val="24"/>
              </w:rPr>
            </w:pPr>
            <w:r>
              <w:rPr>
                <w:b/>
                <w:sz w:val="24"/>
              </w:rPr>
              <w:t>3、服务范围、水量预测</w:t>
            </w:r>
          </w:p>
          <w:p>
            <w:pPr>
              <w:adjustRightInd w:val="0"/>
              <w:snapToGrid w:val="0"/>
              <w:spacing w:line="360" w:lineRule="auto"/>
              <w:ind w:firstLine="482" w:firstLineChars="200"/>
              <w:rPr>
                <w:b/>
                <w:sz w:val="24"/>
              </w:rPr>
            </w:pPr>
            <w:r>
              <w:rPr>
                <w:b/>
                <w:sz w:val="24"/>
              </w:rPr>
              <w:t>（1）服务范围</w:t>
            </w:r>
          </w:p>
          <w:p>
            <w:pPr>
              <w:adjustRightInd w:val="0"/>
              <w:snapToGrid w:val="0"/>
              <w:spacing w:line="360" w:lineRule="auto"/>
              <w:ind w:firstLine="480" w:firstLineChars="200"/>
              <w:rPr>
                <w:bCs/>
                <w:sz w:val="24"/>
              </w:rPr>
            </w:pPr>
            <w:bookmarkStart w:id="13" w:name="_Hlk141963462"/>
            <w:r>
              <w:rPr>
                <w:bCs/>
                <w:sz w:val="24"/>
              </w:rPr>
              <w:t>本工程服务范围为双龙镇镇区范围，处理对象为服务范围内的居民生活污水，不收纳处理工业废水。</w:t>
            </w:r>
          </w:p>
          <w:bookmarkEnd w:id="13"/>
          <w:p>
            <w:pPr>
              <w:adjustRightInd w:val="0"/>
              <w:snapToGrid w:val="0"/>
              <w:spacing w:line="360" w:lineRule="auto"/>
              <w:ind w:firstLine="482" w:firstLineChars="200"/>
              <w:rPr>
                <w:b/>
                <w:sz w:val="24"/>
              </w:rPr>
            </w:pPr>
            <w:r>
              <w:rPr>
                <w:b/>
                <w:sz w:val="24"/>
              </w:rPr>
              <w:t>（2）水量预测</w:t>
            </w:r>
          </w:p>
          <w:p>
            <w:pPr>
              <w:adjustRightInd w:val="0"/>
              <w:snapToGrid w:val="0"/>
              <w:spacing w:line="360" w:lineRule="auto"/>
              <w:ind w:firstLine="480" w:firstLineChars="200"/>
              <w:rPr>
                <w:bCs/>
                <w:sz w:val="24"/>
              </w:rPr>
            </w:pPr>
            <w:bookmarkStart w:id="14" w:name="_Hlk116139370"/>
            <w:r>
              <w:rPr>
                <w:bCs/>
                <w:sz w:val="24"/>
              </w:rPr>
              <w:t>污水产生量通常采用服务范围内的用水量乘以产污系数得出。进入污水处理厂水量根据服务范围内的污水收集程度、配套管网的完善程度等确定进入污水处理厂污水量。根据《城市给水工程规划规范》，城市用水量可按城市综合用水量指标法对工程服务范围内排放污水量进行预测。</w:t>
            </w:r>
          </w:p>
          <w:p>
            <w:pPr>
              <w:adjustRightInd w:val="0"/>
              <w:snapToGrid w:val="0"/>
              <w:spacing w:line="360" w:lineRule="auto"/>
              <w:ind w:firstLine="482" w:firstLineChars="200"/>
              <w:rPr>
                <w:b/>
                <w:sz w:val="24"/>
              </w:rPr>
            </w:pPr>
            <w:r>
              <w:rPr>
                <w:b/>
                <w:sz w:val="24"/>
              </w:rPr>
              <w:t>1）规划人口</w:t>
            </w:r>
          </w:p>
          <w:p>
            <w:pPr>
              <w:adjustRightInd w:val="0"/>
              <w:snapToGrid w:val="0"/>
              <w:spacing w:line="360" w:lineRule="auto"/>
              <w:ind w:firstLine="480" w:firstLineChars="200"/>
              <w:rPr>
                <w:bCs/>
                <w:sz w:val="24"/>
              </w:rPr>
            </w:pPr>
            <w:bookmarkStart w:id="15" w:name="_Hlk141963477"/>
            <w:r>
              <w:rPr>
                <w:bCs/>
                <w:sz w:val="24"/>
              </w:rPr>
              <w:t>根据《达州市通川区双龙镇总体规划》及调查，</w:t>
            </w:r>
            <w:r>
              <w:rPr>
                <w:rFonts w:hint="eastAsia"/>
                <w:bCs/>
                <w:sz w:val="24"/>
              </w:rPr>
              <w:t>至</w:t>
            </w:r>
            <w:r>
              <w:rPr>
                <w:bCs/>
                <w:sz w:val="24"/>
              </w:rPr>
              <w:t>2025年，工程纳污范围内常住人口约1.1万人。</w:t>
            </w:r>
          </w:p>
          <w:bookmarkEnd w:id="15"/>
          <w:p>
            <w:pPr>
              <w:adjustRightInd w:val="0"/>
              <w:snapToGrid w:val="0"/>
              <w:spacing w:line="360" w:lineRule="auto"/>
              <w:ind w:firstLine="482" w:firstLineChars="200"/>
              <w:rPr>
                <w:b/>
                <w:sz w:val="24"/>
              </w:rPr>
            </w:pPr>
            <w:r>
              <w:rPr>
                <w:b/>
                <w:sz w:val="24"/>
              </w:rPr>
              <w:t>2）综合用水量指标</w:t>
            </w:r>
          </w:p>
          <w:p>
            <w:pPr>
              <w:adjustRightInd w:val="0"/>
              <w:snapToGrid w:val="0"/>
              <w:spacing w:line="360" w:lineRule="auto"/>
              <w:ind w:firstLine="480" w:firstLineChars="200"/>
              <w:rPr>
                <w:bCs/>
                <w:sz w:val="24"/>
              </w:rPr>
            </w:pPr>
            <w:r>
              <w:rPr>
                <w:bCs/>
                <w:sz w:val="24"/>
              </w:rPr>
              <w:t>根据《四川省用水定额》川府函〔2021〕8号可知，城市综合用水定额指标，见表2-1。</w:t>
            </w:r>
          </w:p>
          <w:p>
            <w:pPr>
              <w:widowControl/>
              <w:adjustRightInd w:val="0"/>
              <w:snapToGrid w:val="0"/>
              <w:spacing w:before="120" w:beforeLines="50"/>
              <w:jc w:val="center"/>
              <w:rPr>
                <w:rFonts w:eastAsia="黑体"/>
                <w:bCs/>
                <w:kern w:val="0"/>
                <w:sz w:val="24"/>
              </w:rPr>
            </w:pPr>
            <w:r>
              <w:rPr>
                <w:rFonts w:eastAsia="黑体"/>
                <w:bCs/>
                <w:kern w:val="0"/>
                <w:sz w:val="24"/>
              </w:rPr>
              <w:t>表2-1  农村居民生活用水定额表</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723"/>
              <w:gridCol w:w="2871"/>
              <w:gridCol w:w="1379"/>
              <w:gridCol w:w="14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618" w:type="pct"/>
                  <w:shd w:val="clear" w:color="auto" w:fill="CCFFFF"/>
                  <w:noWrap w:val="0"/>
                  <w:vAlign w:val="center"/>
                </w:tcPr>
                <w:p>
                  <w:pPr>
                    <w:spacing w:line="276" w:lineRule="auto"/>
                    <w:jc w:val="center"/>
                    <w:rPr>
                      <w:b/>
                      <w:bCs/>
                      <w:snapToGrid w:val="0"/>
                      <w:szCs w:val="21"/>
                    </w:rPr>
                  </w:pPr>
                  <w:r>
                    <w:rPr>
                      <w:b/>
                      <w:bCs/>
                      <w:snapToGrid w:val="0"/>
                      <w:szCs w:val="21"/>
                    </w:rPr>
                    <w:t>地区</w:t>
                  </w:r>
                </w:p>
              </w:tc>
              <w:tc>
                <w:tcPr>
                  <w:tcW w:w="1705" w:type="pct"/>
                  <w:shd w:val="clear" w:color="auto" w:fill="CCFFFF"/>
                  <w:noWrap w:val="0"/>
                  <w:vAlign w:val="center"/>
                </w:tcPr>
                <w:p>
                  <w:pPr>
                    <w:spacing w:line="276" w:lineRule="auto"/>
                    <w:jc w:val="center"/>
                    <w:rPr>
                      <w:b/>
                      <w:bCs/>
                      <w:snapToGrid w:val="0"/>
                      <w:szCs w:val="21"/>
                    </w:rPr>
                  </w:pPr>
                  <w:r>
                    <w:rPr>
                      <w:b/>
                      <w:bCs/>
                      <w:snapToGrid w:val="0"/>
                      <w:szCs w:val="21"/>
                    </w:rPr>
                    <w:t>地区</w:t>
                  </w:r>
                </w:p>
              </w:tc>
              <w:tc>
                <w:tcPr>
                  <w:tcW w:w="819" w:type="pct"/>
                  <w:shd w:val="clear" w:color="auto" w:fill="CCFFFF"/>
                  <w:noWrap w:val="0"/>
                  <w:vAlign w:val="center"/>
                </w:tcPr>
                <w:p>
                  <w:pPr>
                    <w:spacing w:line="276" w:lineRule="auto"/>
                    <w:jc w:val="center"/>
                    <w:rPr>
                      <w:b/>
                      <w:bCs/>
                      <w:snapToGrid w:val="0"/>
                      <w:szCs w:val="21"/>
                    </w:rPr>
                  </w:pPr>
                  <w:r>
                    <w:rPr>
                      <w:b/>
                      <w:bCs/>
                      <w:snapToGrid w:val="0"/>
                      <w:szCs w:val="21"/>
                    </w:rPr>
                    <w:t>定额单位</w:t>
                  </w:r>
                </w:p>
              </w:tc>
              <w:tc>
                <w:tcPr>
                  <w:tcW w:w="858" w:type="pct"/>
                  <w:shd w:val="clear" w:color="auto" w:fill="CCFFFF"/>
                  <w:noWrap w:val="0"/>
                  <w:vAlign w:val="center"/>
                </w:tcPr>
                <w:p>
                  <w:pPr>
                    <w:spacing w:line="276" w:lineRule="auto"/>
                    <w:jc w:val="center"/>
                    <w:rPr>
                      <w:b/>
                      <w:bCs/>
                      <w:snapToGrid w:val="0"/>
                      <w:szCs w:val="21"/>
                    </w:rPr>
                  </w:pPr>
                  <w:r>
                    <w:rPr>
                      <w:b/>
                      <w:bCs/>
                      <w:snapToGrid w:val="0"/>
                      <w:szCs w:val="21"/>
                    </w:rPr>
                    <w:t>定额值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618" w:type="pct"/>
                  <w:vMerge w:val="restart"/>
                  <w:noWrap w:val="0"/>
                  <w:vAlign w:val="center"/>
                </w:tcPr>
                <w:p>
                  <w:pPr>
                    <w:spacing w:line="276" w:lineRule="auto"/>
                    <w:jc w:val="center"/>
                    <w:rPr>
                      <w:snapToGrid w:val="0"/>
                      <w:szCs w:val="21"/>
                    </w:rPr>
                  </w:pPr>
                  <w:r>
                    <w:rPr>
                      <w:snapToGrid w:val="0"/>
                      <w:szCs w:val="21"/>
                    </w:rPr>
                    <w:t>农村居民</w:t>
                  </w:r>
                </w:p>
              </w:tc>
              <w:tc>
                <w:tcPr>
                  <w:tcW w:w="1705" w:type="pct"/>
                  <w:noWrap w:val="0"/>
                  <w:vAlign w:val="center"/>
                </w:tcPr>
                <w:p>
                  <w:pPr>
                    <w:spacing w:line="276" w:lineRule="auto"/>
                    <w:jc w:val="center"/>
                    <w:rPr>
                      <w:snapToGrid w:val="0"/>
                      <w:szCs w:val="21"/>
                    </w:rPr>
                  </w:pPr>
                  <w:r>
                    <w:rPr>
                      <w:snapToGrid w:val="0"/>
                      <w:szCs w:val="21"/>
                    </w:rPr>
                    <w:t>东部盆地区</w:t>
                  </w:r>
                </w:p>
              </w:tc>
              <w:tc>
                <w:tcPr>
                  <w:tcW w:w="819" w:type="pct"/>
                  <w:noWrap w:val="0"/>
                  <w:vAlign w:val="center"/>
                </w:tcPr>
                <w:p>
                  <w:pPr>
                    <w:spacing w:line="276" w:lineRule="auto"/>
                    <w:jc w:val="center"/>
                    <w:rPr>
                      <w:snapToGrid w:val="0"/>
                      <w:szCs w:val="21"/>
                    </w:rPr>
                  </w:pPr>
                  <w:r>
                    <w:rPr>
                      <w:snapToGrid w:val="0"/>
                      <w:szCs w:val="21"/>
                    </w:rPr>
                    <w:t>L/(</w:t>
                  </w:r>
                  <w:r>
                    <w:rPr>
                      <w:snapToGrid w:val="0"/>
                      <w:sz w:val="20"/>
                      <w:szCs w:val="18"/>
                    </w:rPr>
                    <w:t>人·d)</w:t>
                  </w:r>
                </w:p>
              </w:tc>
              <w:tc>
                <w:tcPr>
                  <w:tcW w:w="858" w:type="pct"/>
                  <w:noWrap w:val="0"/>
                  <w:vAlign w:val="center"/>
                </w:tcPr>
                <w:p>
                  <w:pPr>
                    <w:spacing w:line="276" w:lineRule="auto"/>
                    <w:jc w:val="center"/>
                    <w:rPr>
                      <w:snapToGrid w:val="0"/>
                      <w:szCs w:val="21"/>
                    </w:rPr>
                  </w:pPr>
                  <w:r>
                    <w:rPr>
                      <w:snapToGrid w:val="0"/>
                      <w:szCs w:val="21"/>
                    </w:rPr>
                    <w:t>130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618" w:type="pct"/>
                  <w:vMerge w:val="continue"/>
                  <w:noWrap w:val="0"/>
                  <w:vAlign w:val="center"/>
                </w:tcPr>
                <w:p>
                  <w:pPr>
                    <w:spacing w:line="276" w:lineRule="auto"/>
                    <w:jc w:val="center"/>
                    <w:rPr>
                      <w:snapToGrid w:val="0"/>
                      <w:szCs w:val="21"/>
                    </w:rPr>
                  </w:pPr>
                </w:p>
              </w:tc>
              <w:tc>
                <w:tcPr>
                  <w:tcW w:w="1705" w:type="pct"/>
                  <w:noWrap w:val="0"/>
                  <w:vAlign w:val="center"/>
                </w:tcPr>
                <w:p>
                  <w:pPr>
                    <w:spacing w:line="276" w:lineRule="auto"/>
                    <w:jc w:val="center"/>
                    <w:rPr>
                      <w:snapToGrid w:val="0"/>
                      <w:szCs w:val="21"/>
                    </w:rPr>
                  </w:pPr>
                  <w:r>
                    <w:rPr>
                      <w:snapToGrid w:val="0"/>
                      <w:szCs w:val="21"/>
                    </w:rPr>
                    <w:t>西部高山高原区</w:t>
                  </w:r>
                </w:p>
              </w:tc>
              <w:tc>
                <w:tcPr>
                  <w:tcW w:w="819" w:type="pct"/>
                  <w:noWrap w:val="0"/>
                  <w:vAlign w:val="center"/>
                </w:tcPr>
                <w:p>
                  <w:pPr>
                    <w:spacing w:line="276" w:lineRule="auto"/>
                    <w:jc w:val="center"/>
                    <w:rPr>
                      <w:snapToGrid w:val="0"/>
                      <w:szCs w:val="21"/>
                    </w:rPr>
                  </w:pPr>
                  <w:r>
                    <w:rPr>
                      <w:snapToGrid w:val="0"/>
                      <w:szCs w:val="21"/>
                    </w:rPr>
                    <w:t>L/(</w:t>
                  </w:r>
                  <w:r>
                    <w:rPr>
                      <w:snapToGrid w:val="0"/>
                      <w:sz w:val="20"/>
                      <w:szCs w:val="18"/>
                    </w:rPr>
                    <w:t>人·d)</w:t>
                  </w:r>
                </w:p>
              </w:tc>
              <w:tc>
                <w:tcPr>
                  <w:tcW w:w="858" w:type="pct"/>
                  <w:noWrap w:val="0"/>
                  <w:vAlign w:val="center"/>
                </w:tcPr>
                <w:p>
                  <w:pPr>
                    <w:spacing w:line="276" w:lineRule="auto"/>
                    <w:jc w:val="center"/>
                    <w:rPr>
                      <w:snapToGrid w:val="0"/>
                      <w:szCs w:val="21"/>
                    </w:rPr>
                  </w:pPr>
                  <w:r>
                    <w:rPr>
                      <w:snapToGrid w:val="0"/>
                      <w:szCs w:val="21"/>
                    </w:rPr>
                    <w:t>120</w:t>
                  </w:r>
                </w:p>
              </w:tc>
            </w:tr>
          </w:tbl>
          <w:p>
            <w:pPr>
              <w:adjustRightInd w:val="0"/>
              <w:snapToGrid w:val="0"/>
              <w:spacing w:line="360" w:lineRule="auto"/>
              <w:ind w:firstLine="480" w:firstLineChars="200"/>
              <w:rPr>
                <w:bCs/>
                <w:sz w:val="24"/>
              </w:rPr>
            </w:pPr>
            <w:r>
              <w:rPr>
                <w:bCs/>
                <w:sz w:val="24"/>
              </w:rPr>
              <w:t>根据上表可以查出达州市选取东部盆地区，定额选取130升/人.日。</w:t>
            </w:r>
          </w:p>
          <w:p>
            <w:pPr>
              <w:adjustRightInd w:val="0"/>
              <w:snapToGrid w:val="0"/>
              <w:spacing w:line="360" w:lineRule="auto"/>
              <w:ind w:firstLine="482" w:firstLineChars="200"/>
              <w:rPr>
                <w:b/>
                <w:sz w:val="24"/>
              </w:rPr>
            </w:pPr>
            <w:r>
              <w:rPr>
                <w:b/>
                <w:sz w:val="24"/>
              </w:rPr>
              <w:t>3）污水排放系数</w:t>
            </w:r>
          </w:p>
          <w:p>
            <w:pPr>
              <w:adjustRightInd w:val="0"/>
              <w:snapToGrid w:val="0"/>
              <w:spacing w:line="360" w:lineRule="auto"/>
              <w:ind w:firstLine="480" w:firstLineChars="200"/>
              <w:rPr>
                <w:bCs/>
                <w:sz w:val="24"/>
              </w:rPr>
            </w:pPr>
            <w:r>
              <w:rPr>
                <w:bCs/>
                <w:sz w:val="24"/>
              </w:rPr>
              <w:t>根据《城市排水工程规划规范》（GB50318—2017）规定，城市污水量可根据城市用水量和城市污水排放系数确定。城市污水量宜根据城市综合用水量（平均日）乘以城市污水排放系数确定。根据《室外排水设计规划》（GB50014-2021）的推荐值进行计算，确定城市污水排放系数取城市综合用水指标的90%计算。</w:t>
            </w:r>
          </w:p>
          <w:p>
            <w:pPr>
              <w:adjustRightInd w:val="0"/>
              <w:snapToGrid w:val="0"/>
              <w:spacing w:line="360" w:lineRule="auto"/>
              <w:ind w:firstLine="482" w:firstLineChars="200"/>
              <w:rPr>
                <w:b/>
                <w:sz w:val="24"/>
              </w:rPr>
            </w:pPr>
            <w:r>
              <w:rPr>
                <w:b/>
                <w:sz w:val="24"/>
              </w:rPr>
              <w:t>4）污水收集率</w:t>
            </w:r>
          </w:p>
          <w:p>
            <w:pPr>
              <w:adjustRightInd w:val="0"/>
              <w:snapToGrid w:val="0"/>
              <w:spacing w:line="360" w:lineRule="auto"/>
              <w:ind w:firstLine="480" w:firstLineChars="200"/>
              <w:rPr>
                <w:bCs/>
                <w:sz w:val="24"/>
              </w:rPr>
            </w:pPr>
            <w:r>
              <w:rPr>
                <w:rFonts w:hint="eastAsia"/>
                <w:bCs/>
                <w:sz w:val="24"/>
              </w:rPr>
              <w:t>预计</w:t>
            </w:r>
            <w:r>
              <w:rPr>
                <w:bCs/>
                <w:sz w:val="24"/>
              </w:rPr>
              <w:t>2025年，污水收集率为0.95。</w:t>
            </w:r>
          </w:p>
          <w:p>
            <w:pPr>
              <w:adjustRightInd w:val="0"/>
              <w:snapToGrid w:val="0"/>
              <w:spacing w:line="360" w:lineRule="auto"/>
              <w:ind w:firstLine="482" w:firstLineChars="200"/>
              <w:rPr>
                <w:b/>
                <w:sz w:val="24"/>
              </w:rPr>
            </w:pPr>
            <w:r>
              <w:rPr>
                <w:b/>
                <w:sz w:val="24"/>
              </w:rPr>
              <w:t>5）地下水渗入量</w:t>
            </w:r>
          </w:p>
          <w:p>
            <w:pPr>
              <w:adjustRightInd w:val="0"/>
              <w:snapToGrid w:val="0"/>
              <w:spacing w:line="360" w:lineRule="auto"/>
              <w:ind w:firstLine="480" w:firstLineChars="200"/>
              <w:rPr>
                <w:bCs/>
                <w:sz w:val="24"/>
              </w:rPr>
            </w:pPr>
            <w:bookmarkStart w:id="16" w:name="_Hlk141963500"/>
            <w:r>
              <w:rPr>
                <w:bCs/>
                <w:sz w:val="24"/>
              </w:rPr>
              <w:t>由于污水管道大部分采用钢筋混凝土管，通过重力流收集污水，钢筋混凝土管无柔性，当地下水的水位较高、管道接口密封不佳时，地下水会渗入污水管道内。本工程服务范围内污水管道大部分均是新建管道，管材施工质量均可有效控制，但随着时间推移，在沉降和接口老化的作用下，管道接口密封不佳情况将不可避免，因此本次考虑5%的地下水渗入量。</w:t>
            </w:r>
          </w:p>
          <w:p>
            <w:pPr>
              <w:adjustRightInd w:val="0"/>
              <w:snapToGrid w:val="0"/>
              <w:spacing w:line="360" w:lineRule="auto"/>
              <w:ind w:firstLine="480" w:firstLineChars="200"/>
              <w:rPr>
                <w:bCs/>
                <w:sz w:val="24"/>
              </w:rPr>
            </w:pPr>
            <w:r>
              <w:rPr>
                <w:kern w:val="0"/>
                <w:sz w:val="24"/>
              </w:rPr>
              <w:t>则日产生污水量为：11000×0.13×90%×0.95×1.05=1283.7825m</w:t>
            </w:r>
            <w:r>
              <w:rPr>
                <w:kern w:val="0"/>
                <w:sz w:val="24"/>
                <w:vertAlign w:val="superscript"/>
              </w:rPr>
              <w:t>3</w:t>
            </w:r>
            <w:r>
              <w:rPr>
                <w:kern w:val="0"/>
                <w:sz w:val="24"/>
              </w:rPr>
              <w:t>/d；</w:t>
            </w:r>
            <w:bookmarkEnd w:id="16"/>
          </w:p>
          <w:p>
            <w:pPr>
              <w:adjustRightInd w:val="0"/>
              <w:snapToGrid w:val="0"/>
              <w:spacing w:line="360" w:lineRule="auto"/>
              <w:ind w:firstLine="482" w:firstLineChars="200"/>
              <w:rPr>
                <w:b/>
                <w:sz w:val="24"/>
              </w:rPr>
            </w:pPr>
            <w:r>
              <w:rPr>
                <w:b/>
                <w:sz w:val="24"/>
              </w:rPr>
              <w:t>（3）污水处理厂处理规模确定</w:t>
            </w:r>
          </w:p>
          <w:p>
            <w:pPr>
              <w:adjustRightInd w:val="0"/>
              <w:snapToGrid w:val="0"/>
              <w:spacing w:line="360" w:lineRule="auto"/>
              <w:ind w:firstLine="480" w:firstLineChars="200"/>
              <w:rPr>
                <w:bCs/>
                <w:sz w:val="24"/>
              </w:rPr>
            </w:pPr>
            <w:bookmarkStart w:id="17" w:name="_Hlk141963518"/>
            <w:r>
              <w:rPr>
                <w:bCs/>
                <w:sz w:val="24"/>
              </w:rPr>
              <w:t>根据以上污水量预测结果，近期，污水产生总量为1283.7825m</w:t>
            </w:r>
            <w:r>
              <w:rPr>
                <w:bCs/>
                <w:sz w:val="24"/>
                <w:vertAlign w:val="superscript"/>
              </w:rPr>
              <w:t>3</w:t>
            </w:r>
            <w:r>
              <w:rPr>
                <w:bCs/>
                <w:sz w:val="24"/>
              </w:rPr>
              <w:t>，本次设计结合近期及远期建设，充分考虑远期发展需要，本工程污水处理规模总为1500m</w:t>
            </w:r>
            <w:r>
              <w:rPr>
                <w:bCs/>
                <w:sz w:val="24"/>
                <w:vertAlign w:val="superscript"/>
              </w:rPr>
              <w:t>3</w:t>
            </w:r>
            <w:r>
              <w:rPr>
                <w:bCs/>
                <w:sz w:val="24"/>
              </w:rPr>
              <w:t>/d。</w:t>
            </w:r>
            <w:bookmarkEnd w:id="17"/>
          </w:p>
          <w:bookmarkEnd w:id="14"/>
          <w:p>
            <w:pPr>
              <w:adjustRightInd w:val="0"/>
              <w:snapToGrid w:val="0"/>
              <w:spacing w:line="360" w:lineRule="auto"/>
              <w:rPr>
                <w:b/>
                <w:sz w:val="24"/>
              </w:rPr>
            </w:pPr>
            <w:r>
              <w:rPr>
                <w:b/>
                <w:sz w:val="24"/>
              </w:rPr>
              <w:t>4、设计进水水质</w:t>
            </w:r>
          </w:p>
          <w:p>
            <w:pPr>
              <w:adjustRightInd w:val="0"/>
              <w:snapToGrid w:val="0"/>
              <w:spacing w:line="360" w:lineRule="auto"/>
              <w:ind w:firstLine="480" w:firstLineChars="200"/>
              <w:rPr>
                <w:bCs/>
                <w:sz w:val="24"/>
              </w:rPr>
            </w:pPr>
            <w:r>
              <w:rPr>
                <w:bCs/>
                <w:sz w:val="24"/>
              </w:rPr>
              <w:t>本项目为城镇污水处理厂，项目将收纳处理双龙镇场镇生活污水。根据国内多数生活污水处理厂污水实际进水水质的调研，虽然由于各地生活水平以及工业发展水平不同，各地污水浓度也有一定差异，但总体来说，城市污水浓度变化幅度不大，其水质浓度具有典型的特征。</w:t>
            </w:r>
          </w:p>
          <w:p>
            <w:pPr>
              <w:adjustRightInd w:val="0"/>
              <w:snapToGrid w:val="0"/>
              <w:spacing w:line="360" w:lineRule="auto"/>
              <w:ind w:firstLine="480" w:firstLineChars="200"/>
              <w:rPr>
                <w:b/>
                <w:sz w:val="24"/>
              </w:rPr>
            </w:pPr>
            <w:r>
              <w:rPr>
                <w:snapToGrid w:val="0"/>
                <w:sz w:val="24"/>
                <w:szCs w:val="21"/>
              </w:rPr>
              <w:t>设计参考现状污水厂的实测进水水质以及四川省部分城市污水厂设计进水水质，考虑居民生活水平提标及城市雨污分流改造工程实施后，污染物浓度有所提高，在现状分析水质基础上考虑一定富余。确定本项目污水进水水质如下表所示。</w:t>
            </w:r>
          </w:p>
          <w:p>
            <w:pPr>
              <w:pStyle w:val="272"/>
              <w:spacing w:before="0" w:beforeLines="0" w:after="0" w:afterLines="0"/>
              <w:rPr>
                <w:rFonts w:eastAsia="黑体"/>
                <w:b w:val="0"/>
                <w:bCs/>
              </w:rPr>
            </w:pPr>
            <w:r>
              <w:rPr>
                <w:rFonts w:eastAsia="黑体"/>
                <w:b w:val="0"/>
                <w:bCs/>
              </w:rPr>
              <w:t>表2-2   污水处理厂设计进水水质</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85" w:type="dxa"/>
                <w:bottom w:w="0" w:type="dxa"/>
                <w:right w:w="85" w:type="dxa"/>
              </w:tblCellMar>
            </w:tblPr>
            <w:tblGrid>
              <w:gridCol w:w="1471"/>
              <w:gridCol w:w="1101"/>
              <w:gridCol w:w="1101"/>
              <w:gridCol w:w="918"/>
              <w:gridCol w:w="733"/>
              <w:gridCol w:w="733"/>
              <w:gridCol w:w="633"/>
              <w:gridCol w:w="17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440" w:hRule="atLeast"/>
              </w:trPr>
              <w:tc>
                <w:tcPr>
                  <w:tcW w:w="874" w:type="pct"/>
                  <w:shd w:val="clear" w:color="auto" w:fill="CCFFFF"/>
                  <w:noWrap w:val="0"/>
                  <w:vAlign w:val="center"/>
                </w:tcPr>
                <w:p>
                  <w:pPr>
                    <w:pStyle w:val="214"/>
                    <w:widowControl w:val="0"/>
                    <w:spacing w:line="276" w:lineRule="auto"/>
                    <w:rPr>
                      <w:b/>
                      <w:bCs/>
                      <w:sz w:val="21"/>
                      <w:szCs w:val="21"/>
                    </w:rPr>
                  </w:pPr>
                  <w:r>
                    <w:rPr>
                      <w:b/>
                      <w:bCs/>
                      <w:sz w:val="21"/>
                      <w:szCs w:val="21"/>
                    </w:rPr>
                    <w:t>主要污染指标</w:t>
                  </w:r>
                </w:p>
              </w:tc>
              <w:tc>
                <w:tcPr>
                  <w:tcW w:w="654" w:type="pct"/>
                  <w:shd w:val="clear" w:color="auto" w:fill="CCFFFF"/>
                  <w:noWrap w:val="0"/>
                  <w:vAlign w:val="center"/>
                </w:tcPr>
                <w:p>
                  <w:pPr>
                    <w:pStyle w:val="214"/>
                    <w:widowControl w:val="0"/>
                    <w:spacing w:line="276" w:lineRule="auto"/>
                    <w:rPr>
                      <w:b/>
                      <w:bCs/>
                      <w:sz w:val="21"/>
                      <w:szCs w:val="21"/>
                    </w:rPr>
                  </w:pPr>
                  <w:r>
                    <w:rPr>
                      <w:b/>
                      <w:bCs/>
                      <w:sz w:val="21"/>
                      <w:szCs w:val="21"/>
                    </w:rPr>
                    <w:t>COD</w:t>
                  </w:r>
                  <w:r>
                    <w:rPr>
                      <w:b/>
                      <w:bCs/>
                      <w:sz w:val="21"/>
                      <w:szCs w:val="21"/>
                      <w:vertAlign w:val="subscript"/>
                    </w:rPr>
                    <w:t>Cr</w:t>
                  </w:r>
                </w:p>
              </w:tc>
              <w:tc>
                <w:tcPr>
                  <w:tcW w:w="654" w:type="pct"/>
                  <w:shd w:val="clear" w:color="auto" w:fill="CCFFFF"/>
                  <w:noWrap w:val="0"/>
                  <w:vAlign w:val="center"/>
                </w:tcPr>
                <w:p>
                  <w:pPr>
                    <w:pStyle w:val="214"/>
                    <w:widowControl w:val="0"/>
                    <w:spacing w:line="276" w:lineRule="auto"/>
                    <w:rPr>
                      <w:b/>
                      <w:bCs/>
                      <w:sz w:val="21"/>
                      <w:szCs w:val="21"/>
                    </w:rPr>
                  </w:pPr>
                  <w:r>
                    <w:rPr>
                      <w:b/>
                      <w:bCs/>
                      <w:sz w:val="21"/>
                      <w:szCs w:val="21"/>
                    </w:rPr>
                    <w:t>NH</w:t>
                  </w:r>
                  <w:r>
                    <w:rPr>
                      <w:b/>
                      <w:bCs/>
                      <w:sz w:val="21"/>
                      <w:szCs w:val="21"/>
                      <w:vertAlign w:val="subscript"/>
                    </w:rPr>
                    <w:t>3</w:t>
                  </w:r>
                  <w:r>
                    <w:rPr>
                      <w:b/>
                      <w:bCs/>
                      <w:sz w:val="21"/>
                      <w:szCs w:val="21"/>
                    </w:rPr>
                    <w:t>-N</w:t>
                  </w:r>
                </w:p>
              </w:tc>
              <w:tc>
                <w:tcPr>
                  <w:tcW w:w="545" w:type="pct"/>
                  <w:shd w:val="clear" w:color="auto" w:fill="CCFFFF"/>
                  <w:noWrap w:val="0"/>
                  <w:vAlign w:val="center"/>
                </w:tcPr>
                <w:p>
                  <w:pPr>
                    <w:pStyle w:val="214"/>
                    <w:widowControl w:val="0"/>
                    <w:spacing w:line="276" w:lineRule="auto"/>
                    <w:rPr>
                      <w:b/>
                      <w:bCs/>
                      <w:sz w:val="21"/>
                      <w:szCs w:val="21"/>
                    </w:rPr>
                  </w:pPr>
                  <w:r>
                    <w:rPr>
                      <w:b/>
                      <w:bCs/>
                      <w:sz w:val="21"/>
                      <w:szCs w:val="21"/>
                    </w:rPr>
                    <w:t>BOD</w:t>
                  </w:r>
                  <w:r>
                    <w:rPr>
                      <w:b/>
                      <w:bCs/>
                      <w:sz w:val="21"/>
                      <w:szCs w:val="21"/>
                      <w:vertAlign w:val="subscript"/>
                    </w:rPr>
                    <w:t>5</w:t>
                  </w:r>
                </w:p>
              </w:tc>
              <w:tc>
                <w:tcPr>
                  <w:tcW w:w="435" w:type="pct"/>
                  <w:shd w:val="clear" w:color="auto" w:fill="CCFFFF"/>
                  <w:noWrap w:val="0"/>
                  <w:vAlign w:val="center"/>
                </w:tcPr>
                <w:p>
                  <w:pPr>
                    <w:pStyle w:val="214"/>
                    <w:widowControl w:val="0"/>
                    <w:spacing w:line="276" w:lineRule="auto"/>
                    <w:rPr>
                      <w:b/>
                      <w:bCs/>
                      <w:sz w:val="21"/>
                      <w:szCs w:val="21"/>
                    </w:rPr>
                  </w:pPr>
                  <w:r>
                    <w:rPr>
                      <w:b/>
                      <w:bCs/>
                      <w:sz w:val="21"/>
                      <w:szCs w:val="21"/>
                    </w:rPr>
                    <w:t>TP</w:t>
                  </w:r>
                </w:p>
              </w:tc>
              <w:tc>
                <w:tcPr>
                  <w:tcW w:w="435" w:type="pct"/>
                  <w:shd w:val="clear" w:color="auto" w:fill="CCFFFF"/>
                  <w:noWrap w:val="0"/>
                  <w:vAlign w:val="center"/>
                </w:tcPr>
                <w:p>
                  <w:pPr>
                    <w:pStyle w:val="214"/>
                    <w:widowControl w:val="0"/>
                    <w:spacing w:line="276" w:lineRule="auto"/>
                    <w:rPr>
                      <w:b/>
                      <w:bCs/>
                      <w:sz w:val="21"/>
                      <w:szCs w:val="21"/>
                    </w:rPr>
                  </w:pPr>
                  <w:r>
                    <w:rPr>
                      <w:b/>
                      <w:bCs/>
                      <w:sz w:val="21"/>
                      <w:szCs w:val="21"/>
                    </w:rPr>
                    <w:t>TN</w:t>
                  </w:r>
                </w:p>
              </w:tc>
              <w:tc>
                <w:tcPr>
                  <w:tcW w:w="376" w:type="pct"/>
                  <w:shd w:val="clear" w:color="auto" w:fill="CCFFFF"/>
                  <w:noWrap w:val="0"/>
                  <w:vAlign w:val="center"/>
                </w:tcPr>
                <w:p>
                  <w:pPr>
                    <w:pStyle w:val="214"/>
                    <w:widowControl w:val="0"/>
                    <w:spacing w:line="276" w:lineRule="auto"/>
                    <w:rPr>
                      <w:b/>
                      <w:bCs/>
                      <w:sz w:val="21"/>
                      <w:szCs w:val="21"/>
                    </w:rPr>
                  </w:pPr>
                  <w:r>
                    <w:rPr>
                      <w:b/>
                      <w:bCs/>
                      <w:sz w:val="21"/>
                      <w:szCs w:val="21"/>
                    </w:rPr>
                    <w:t>SS</w:t>
                  </w:r>
                </w:p>
              </w:tc>
              <w:tc>
                <w:tcPr>
                  <w:tcW w:w="1026" w:type="pct"/>
                  <w:shd w:val="clear" w:color="auto" w:fill="CCFFFF"/>
                  <w:noWrap w:val="0"/>
                  <w:vAlign w:val="center"/>
                </w:tcPr>
                <w:p>
                  <w:pPr>
                    <w:pStyle w:val="214"/>
                    <w:widowControl w:val="0"/>
                    <w:spacing w:line="276" w:lineRule="auto"/>
                    <w:rPr>
                      <w:b/>
                      <w:bCs/>
                      <w:sz w:val="21"/>
                      <w:szCs w:val="21"/>
                    </w:rPr>
                  </w:pPr>
                  <w:r>
                    <w:rPr>
                      <w:b/>
                      <w:bCs/>
                      <w:sz w:val="21"/>
                      <w:szCs w:val="21"/>
                    </w:rPr>
                    <w:t>pH</w:t>
                  </w:r>
                </w:p>
                <w:p>
                  <w:pPr>
                    <w:pStyle w:val="214"/>
                    <w:widowControl w:val="0"/>
                    <w:spacing w:line="276" w:lineRule="auto"/>
                    <w:rPr>
                      <w:b/>
                      <w:bCs/>
                      <w:sz w:val="21"/>
                      <w:szCs w:val="21"/>
                    </w:rPr>
                  </w:pPr>
                  <w:r>
                    <w:rPr>
                      <w:b/>
                      <w:bCs/>
                      <w:sz w:val="21"/>
                      <w:szCs w:val="21"/>
                    </w:rPr>
                    <w:t>（无量纲）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440" w:hRule="atLeast"/>
              </w:trPr>
              <w:tc>
                <w:tcPr>
                  <w:tcW w:w="874" w:type="pct"/>
                  <w:noWrap w:val="0"/>
                  <w:vAlign w:val="center"/>
                </w:tcPr>
                <w:p>
                  <w:pPr>
                    <w:pStyle w:val="214"/>
                    <w:widowControl w:val="0"/>
                    <w:spacing w:line="276" w:lineRule="auto"/>
                    <w:rPr>
                      <w:sz w:val="21"/>
                      <w:szCs w:val="21"/>
                    </w:rPr>
                  </w:pPr>
                  <w:r>
                    <w:rPr>
                      <w:sz w:val="21"/>
                      <w:szCs w:val="21"/>
                    </w:rPr>
                    <w:t>污染物进厂浓度（mg/L）</w:t>
                  </w:r>
                </w:p>
              </w:tc>
              <w:tc>
                <w:tcPr>
                  <w:tcW w:w="654" w:type="pct"/>
                  <w:noWrap w:val="0"/>
                  <w:vAlign w:val="center"/>
                </w:tcPr>
                <w:p>
                  <w:pPr>
                    <w:pStyle w:val="214"/>
                    <w:widowControl w:val="0"/>
                    <w:spacing w:line="276" w:lineRule="auto"/>
                    <w:rPr>
                      <w:sz w:val="21"/>
                      <w:szCs w:val="21"/>
                    </w:rPr>
                  </w:pPr>
                  <w:r>
                    <w:rPr>
                      <w:sz w:val="21"/>
                      <w:szCs w:val="21"/>
                    </w:rPr>
                    <w:t>300</w:t>
                  </w:r>
                </w:p>
              </w:tc>
              <w:tc>
                <w:tcPr>
                  <w:tcW w:w="654" w:type="pct"/>
                  <w:noWrap w:val="0"/>
                  <w:vAlign w:val="center"/>
                </w:tcPr>
                <w:p>
                  <w:pPr>
                    <w:pStyle w:val="214"/>
                    <w:widowControl w:val="0"/>
                    <w:spacing w:line="276" w:lineRule="auto"/>
                    <w:rPr>
                      <w:sz w:val="21"/>
                      <w:szCs w:val="21"/>
                    </w:rPr>
                  </w:pPr>
                  <w:r>
                    <w:rPr>
                      <w:sz w:val="21"/>
                      <w:szCs w:val="21"/>
                    </w:rPr>
                    <w:t>45</w:t>
                  </w:r>
                </w:p>
              </w:tc>
              <w:tc>
                <w:tcPr>
                  <w:tcW w:w="545" w:type="pct"/>
                  <w:noWrap w:val="0"/>
                  <w:vAlign w:val="center"/>
                </w:tcPr>
                <w:p>
                  <w:pPr>
                    <w:pStyle w:val="214"/>
                    <w:widowControl w:val="0"/>
                    <w:spacing w:line="276" w:lineRule="auto"/>
                    <w:rPr>
                      <w:sz w:val="21"/>
                      <w:szCs w:val="21"/>
                    </w:rPr>
                  </w:pPr>
                  <w:r>
                    <w:rPr>
                      <w:sz w:val="21"/>
                      <w:szCs w:val="21"/>
                    </w:rPr>
                    <w:t>170</w:t>
                  </w:r>
                </w:p>
              </w:tc>
              <w:tc>
                <w:tcPr>
                  <w:tcW w:w="435" w:type="pct"/>
                  <w:noWrap w:val="0"/>
                  <w:vAlign w:val="center"/>
                </w:tcPr>
                <w:p>
                  <w:pPr>
                    <w:pStyle w:val="214"/>
                    <w:widowControl w:val="0"/>
                    <w:spacing w:line="276" w:lineRule="auto"/>
                    <w:rPr>
                      <w:sz w:val="21"/>
                      <w:szCs w:val="21"/>
                    </w:rPr>
                  </w:pPr>
                  <w:r>
                    <w:rPr>
                      <w:sz w:val="21"/>
                      <w:szCs w:val="21"/>
                    </w:rPr>
                    <w:t>5.0</w:t>
                  </w:r>
                </w:p>
              </w:tc>
              <w:tc>
                <w:tcPr>
                  <w:tcW w:w="435" w:type="pct"/>
                  <w:noWrap w:val="0"/>
                  <w:vAlign w:val="center"/>
                </w:tcPr>
                <w:p>
                  <w:pPr>
                    <w:pStyle w:val="214"/>
                    <w:widowControl w:val="0"/>
                    <w:spacing w:line="276" w:lineRule="auto"/>
                    <w:rPr>
                      <w:sz w:val="21"/>
                      <w:szCs w:val="21"/>
                    </w:rPr>
                  </w:pPr>
                  <w:r>
                    <w:rPr>
                      <w:sz w:val="21"/>
                      <w:szCs w:val="21"/>
                    </w:rPr>
                    <w:t>50</w:t>
                  </w:r>
                </w:p>
              </w:tc>
              <w:tc>
                <w:tcPr>
                  <w:tcW w:w="376" w:type="pct"/>
                  <w:noWrap w:val="0"/>
                  <w:vAlign w:val="center"/>
                </w:tcPr>
                <w:p>
                  <w:pPr>
                    <w:pStyle w:val="214"/>
                    <w:widowControl w:val="0"/>
                    <w:spacing w:line="276" w:lineRule="auto"/>
                    <w:rPr>
                      <w:sz w:val="21"/>
                      <w:szCs w:val="21"/>
                    </w:rPr>
                  </w:pPr>
                  <w:r>
                    <w:rPr>
                      <w:sz w:val="21"/>
                      <w:szCs w:val="21"/>
                    </w:rPr>
                    <w:t>200</w:t>
                  </w:r>
                </w:p>
              </w:tc>
              <w:tc>
                <w:tcPr>
                  <w:tcW w:w="1026" w:type="pct"/>
                  <w:noWrap w:val="0"/>
                  <w:vAlign w:val="center"/>
                </w:tcPr>
                <w:p>
                  <w:pPr>
                    <w:pStyle w:val="214"/>
                    <w:widowControl w:val="0"/>
                    <w:spacing w:line="276" w:lineRule="auto"/>
                    <w:rPr>
                      <w:sz w:val="21"/>
                      <w:szCs w:val="21"/>
                    </w:rPr>
                  </w:pPr>
                  <w:r>
                    <w:rPr>
                      <w:sz w:val="21"/>
                      <w:szCs w:val="21"/>
                    </w:rPr>
                    <w:t>6～9</w:t>
                  </w:r>
                </w:p>
              </w:tc>
            </w:tr>
          </w:tbl>
          <w:p>
            <w:pPr>
              <w:adjustRightInd w:val="0"/>
              <w:snapToGrid w:val="0"/>
              <w:spacing w:line="360" w:lineRule="auto"/>
              <w:rPr>
                <w:b/>
                <w:sz w:val="24"/>
              </w:rPr>
            </w:pPr>
            <w:r>
              <w:rPr>
                <w:b/>
                <w:sz w:val="24"/>
              </w:rPr>
              <w:t>5、设计出水水质</w:t>
            </w:r>
          </w:p>
          <w:p>
            <w:pPr>
              <w:adjustRightInd w:val="0"/>
              <w:snapToGrid w:val="0"/>
              <w:spacing w:line="360" w:lineRule="auto"/>
              <w:ind w:firstLine="480" w:firstLineChars="200"/>
              <w:rPr>
                <w:bCs/>
                <w:sz w:val="24"/>
              </w:rPr>
            </w:pPr>
            <w:r>
              <w:rPr>
                <w:bCs/>
                <w:sz w:val="24"/>
              </w:rPr>
              <w:t>本工程最终受纳水体为双龙河，出水水质中各项指标达到《城镇污水处理厂污染物排放标准》（GB18918-2002）中的一级A标准。</w:t>
            </w:r>
            <w:r>
              <w:rPr>
                <w:sz w:val="24"/>
              </w:rPr>
              <w:t>具体出水水质见表2-3。</w:t>
            </w:r>
          </w:p>
          <w:p>
            <w:pPr>
              <w:pStyle w:val="272"/>
              <w:spacing w:before="0" w:beforeLines="0" w:after="0" w:afterLines="0"/>
              <w:rPr>
                <w:rFonts w:eastAsia="黑体"/>
                <w:b w:val="0"/>
                <w:bCs/>
              </w:rPr>
            </w:pPr>
            <w:r>
              <w:rPr>
                <w:rFonts w:eastAsia="黑体"/>
                <w:b w:val="0"/>
                <w:bCs/>
              </w:rPr>
              <w:t>表2-3  项目生活污水处理厂设计出水水质</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85" w:type="dxa"/>
                <w:bottom w:w="0" w:type="dxa"/>
                <w:right w:w="85" w:type="dxa"/>
              </w:tblCellMar>
            </w:tblPr>
            <w:tblGrid>
              <w:gridCol w:w="1576"/>
              <w:gridCol w:w="973"/>
              <w:gridCol w:w="1150"/>
              <w:gridCol w:w="796"/>
              <w:gridCol w:w="971"/>
              <w:gridCol w:w="971"/>
              <w:gridCol w:w="973"/>
              <w:gridCol w:w="10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440" w:hRule="atLeast"/>
              </w:trPr>
              <w:tc>
                <w:tcPr>
                  <w:tcW w:w="936" w:type="pct"/>
                  <w:shd w:val="clear" w:color="auto" w:fill="CCFFFF"/>
                  <w:noWrap w:val="0"/>
                  <w:vAlign w:val="center"/>
                </w:tcPr>
                <w:p>
                  <w:pPr>
                    <w:pStyle w:val="295"/>
                    <w:rPr>
                      <w:rFonts w:cs="Times New Roman"/>
                      <w:b/>
                      <w:bCs/>
                      <w:sz w:val="21"/>
                      <w:szCs w:val="21"/>
                      <w:lang w:eastAsia="zh-CN"/>
                    </w:rPr>
                  </w:pPr>
                  <w:r>
                    <w:rPr>
                      <w:rFonts w:cs="Times New Roman"/>
                      <w:b/>
                      <w:bCs/>
                      <w:sz w:val="21"/>
                      <w:szCs w:val="21"/>
                      <w:lang w:eastAsia="zh-CN"/>
                    </w:rPr>
                    <w:t>主要污染指标（mg/L）</w:t>
                  </w:r>
                </w:p>
              </w:tc>
              <w:tc>
                <w:tcPr>
                  <w:tcW w:w="578" w:type="pct"/>
                  <w:shd w:val="clear" w:color="auto" w:fill="CCFFFF"/>
                  <w:noWrap w:val="0"/>
                  <w:vAlign w:val="center"/>
                </w:tcPr>
                <w:p>
                  <w:pPr>
                    <w:pStyle w:val="295"/>
                    <w:rPr>
                      <w:rFonts w:cs="Times New Roman"/>
                      <w:b/>
                      <w:bCs/>
                      <w:sz w:val="21"/>
                      <w:szCs w:val="21"/>
                    </w:rPr>
                  </w:pPr>
                  <w:r>
                    <w:rPr>
                      <w:rFonts w:cs="Times New Roman"/>
                      <w:b/>
                      <w:bCs/>
                      <w:sz w:val="21"/>
                      <w:szCs w:val="21"/>
                    </w:rPr>
                    <w:t>COD</w:t>
                  </w:r>
                  <w:r>
                    <w:rPr>
                      <w:rFonts w:cs="Times New Roman"/>
                      <w:b/>
                      <w:bCs/>
                      <w:sz w:val="21"/>
                      <w:szCs w:val="21"/>
                      <w:vertAlign w:val="subscript"/>
                    </w:rPr>
                    <w:t>Cr</w:t>
                  </w:r>
                </w:p>
              </w:tc>
              <w:tc>
                <w:tcPr>
                  <w:tcW w:w="683" w:type="pct"/>
                  <w:shd w:val="clear" w:color="auto" w:fill="CCFFFF"/>
                  <w:noWrap w:val="0"/>
                  <w:vAlign w:val="center"/>
                </w:tcPr>
                <w:p>
                  <w:pPr>
                    <w:pStyle w:val="295"/>
                    <w:rPr>
                      <w:rFonts w:cs="Times New Roman"/>
                      <w:b/>
                      <w:bCs/>
                      <w:sz w:val="21"/>
                      <w:szCs w:val="21"/>
                    </w:rPr>
                  </w:pPr>
                  <w:r>
                    <w:rPr>
                      <w:rFonts w:cs="Times New Roman"/>
                      <w:b/>
                      <w:bCs/>
                      <w:sz w:val="21"/>
                      <w:szCs w:val="21"/>
                    </w:rPr>
                    <w:t>NH</w:t>
                  </w:r>
                  <w:r>
                    <w:rPr>
                      <w:rFonts w:cs="Times New Roman"/>
                      <w:b/>
                      <w:bCs/>
                      <w:sz w:val="21"/>
                      <w:szCs w:val="21"/>
                      <w:vertAlign w:val="subscript"/>
                    </w:rPr>
                    <w:t>3</w:t>
                  </w:r>
                  <w:r>
                    <w:rPr>
                      <w:rFonts w:cs="Times New Roman"/>
                      <w:b/>
                      <w:bCs/>
                      <w:sz w:val="21"/>
                      <w:szCs w:val="21"/>
                    </w:rPr>
                    <w:t>-N</w:t>
                  </w:r>
                </w:p>
              </w:tc>
              <w:tc>
                <w:tcPr>
                  <w:tcW w:w="473" w:type="pct"/>
                  <w:shd w:val="clear" w:color="auto" w:fill="CCFFFF"/>
                  <w:noWrap w:val="0"/>
                  <w:vAlign w:val="center"/>
                </w:tcPr>
                <w:p>
                  <w:pPr>
                    <w:pStyle w:val="295"/>
                    <w:rPr>
                      <w:rFonts w:cs="Times New Roman"/>
                      <w:b/>
                      <w:bCs/>
                      <w:sz w:val="21"/>
                      <w:szCs w:val="21"/>
                    </w:rPr>
                  </w:pPr>
                  <w:r>
                    <w:rPr>
                      <w:rFonts w:cs="Times New Roman"/>
                      <w:b/>
                      <w:bCs/>
                      <w:sz w:val="21"/>
                      <w:szCs w:val="21"/>
                    </w:rPr>
                    <w:t>BOD</w:t>
                  </w:r>
                  <w:r>
                    <w:rPr>
                      <w:rFonts w:cs="Times New Roman"/>
                      <w:b/>
                      <w:bCs/>
                      <w:sz w:val="21"/>
                      <w:szCs w:val="21"/>
                      <w:vertAlign w:val="subscript"/>
                    </w:rPr>
                    <w:t>5</w:t>
                  </w:r>
                </w:p>
              </w:tc>
              <w:tc>
                <w:tcPr>
                  <w:tcW w:w="577" w:type="pct"/>
                  <w:shd w:val="clear" w:color="auto" w:fill="CCFFFF"/>
                  <w:noWrap w:val="0"/>
                  <w:vAlign w:val="center"/>
                </w:tcPr>
                <w:p>
                  <w:pPr>
                    <w:pStyle w:val="295"/>
                    <w:rPr>
                      <w:rFonts w:cs="Times New Roman"/>
                      <w:b/>
                      <w:bCs/>
                      <w:sz w:val="21"/>
                      <w:szCs w:val="21"/>
                    </w:rPr>
                  </w:pPr>
                  <w:r>
                    <w:rPr>
                      <w:rFonts w:cs="Times New Roman"/>
                      <w:b/>
                      <w:bCs/>
                      <w:sz w:val="21"/>
                      <w:szCs w:val="21"/>
                    </w:rPr>
                    <w:t>TP</w:t>
                  </w:r>
                </w:p>
              </w:tc>
              <w:tc>
                <w:tcPr>
                  <w:tcW w:w="577" w:type="pct"/>
                  <w:shd w:val="clear" w:color="auto" w:fill="CCFFFF"/>
                  <w:noWrap w:val="0"/>
                  <w:vAlign w:val="center"/>
                </w:tcPr>
                <w:p>
                  <w:pPr>
                    <w:pStyle w:val="295"/>
                    <w:rPr>
                      <w:rFonts w:cs="Times New Roman"/>
                      <w:b/>
                      <w:bCs/>
                      <w:sz w:val="21"/>
                      <w:szCs w:val="21"/>
                    </w:rPr>
                  </w:pPr>
                  <w:r>
                    <w:rPr>
                      <w:rFonts w:cs="Times New Roman"/>
                      <w:b/>
                      <w:bCs/>
                      <w:sz w:val="21"/>
                      <w:szCs w:val="21"/>
                      <w:lang w:eastAsia="zh-CN"/>
                    </w:rPr>
                    <w:t>TN</w:t>
                  </w:r>
                </w:p>
              </w:tc>
              <w:tc>
                <w:tcPr>
                  <w:tcW w:w="578" w:type="pct"/>
                  <w:shd w:val="clear" w:color="auto" w:fill="CCFFFF"/>
                  <w:noWrap w:val="0"/>
                  <w:vAlign w:val="center"/>
                </w:tcPr>
                <w:p>
                  <w:pPr>
                    <w:pStyle w:val="295"/>
                    <w:rPr>
                      <w:rFonts w:cs="Times New Roman"/>
                      <w:b/>
                      <w:bCs/>
                      <w:sz w:val="21"/>
                      <w:szCs w:val="21"/>
                    </w:rPr>
                  </w:pPr>
                  <w:r>
                    <w:rPr>
                      <w:rFonts w:cs="Times New Roman"/>
                      <w:b/>
                      <w:bCs/>
                      <w:sz w:val="21"/>
                      <w:szCs w:val="21"/>
                    </w:rPr>
                    <w:t>SS</w:t>
                  </w:r>
                </w:p>
              </w:tc>
              <w:tc>
                <w:tcPr>
                  <w:tcW w:w="598" w:type="pct"/>
                  <w:shd w:val="clear" w:color="auto" w:fill="CCFFFF"/>
                  <w:noWrap w:val="0"/>
                  <w:vAlign w:val="center"/>
                </w:tcPr>
                <w:p>
                  <w:pPr>
                    <w:pStyle w:val="295"/>
                    <w:rPr>
                      <w:rFonts w:cs="Times New Roman"/>
                      <w:b/>
                      <w:bCs/>
                      <w:sz w:val="21"/>
                      <w:szCs w:val="21"/>
                    </w:rPr>
                  </w:pPr>
                  <w:r>
                    <w:rPr>
                      <w:rFonts w:cs="Times New Roman"/>
                      <w:b/>
                      <w:bCs/>
                      <w:sz w:val="21"/>
                      <w:szCs w:val="21"/>
                    </w:rPr>
                    <w:t>pH</w:t>
                  </w:r>
                </w:p>
                <w:p>
                  <w:pPr>
                    <w:pStyle w:val="295"/>
                    <w:rPr>
                      <w:rFonts w:cs="Times New Roman"/>
                      <w:b/>
                      <w:bCs/>
                      <w:sz w:val="21"/>
                      <w:szCs w:val="21"/>
                    </w:rPr>
                  </w:pPr>
                  <w:r>
                    <w:rPr>
                      <w:rFonts w:cs="Times New Roman"/>
                      <w:b/>
                      <w:bCs/>
                      <w:sz w:val="21"/>
                      <w:szCs w:val="21"/>
                      <w:lang w:eastAsia="zh-CN"/>
                    </w:rPr>
                    <w:t>(无量纲)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440" w:hRule="atLeast"/>
              </w:trPr>
              <w:tc>
                <w:tcPr>
                  <w:tcW w:w="936" w:type="pct"/>
                  <w:noWrap w:val="0"/>
                  <w:vAlign w:val="center"/>
                </w:tcPr>
                <w:p>
                  <w:pPr>
                    <w:pStyle w:val="295"/>
                    <w:jc w:val="both"/>
                    <w:rPr>
                      <w:rFonts w:cs="Times New Roman"/>
                      <w:sz w:val="21"/>
                      <w:szCs w:val="21"/>
                      <w:lang w:eastAsia="zh-CN"/>
                    </w:rPr>
                  </w:pPr>
                  <w:r>
                    <w:rPr>
                      <w:rFonts w:cs="Times New Roman"/>
                      <w:sz w:val="21"/>
                      <w:szCs w:val="21"/>
                      <w:lang w:eastAsia="zh-CN"/>
                    </w:rPr>
                    <w:t>《城镇污水处理厂污染物排放标准》（GB18918-2002）一级A标准</w:t>
                  </w:r>
                </w:p>
              </w:tc>
              <w:tc>
                <w:tcPr>
                  <w:tcW w:w="578" w:type="pct"/>
                  <w:noWrap w:val="0"/>
                  <w:vAlign w:val="center"/>
                </w:tcPr>
                <w:p>
                  <w:pPr>
                    <w:pStyle w:val="295"/>
                    <w:rPr>
                      <w:rFonts w:cs="Times New Roman"/>
                      <w:sz w:val="21"/>
                      <w:szCs w:val="21"/>
                      <w:lang w:eastAsia="zh-CN"/>
                    </w:rPr>
                  </w:pPr>
                  <w:r>
                    <w:rPr>
                      <w:rFonts w:cs="Times New Roman"/>
                      <w:sz w:val="21"/>
                      <w:szCs w:val="21"/>
                      <w:lang w:eastAsia="zh-CN"/>
                    </w:rPr>
                    <w:t>≤50</w:t>
                  </w:r>
                </w:p>
              </w:tc>
              <w:tc>
                <w:tcPr>
                  <w:tcW w:w="683" w:type="pct"/>
                  <w:noWrap w:val="0"/>
                  <w:vAlign w:val="center"/>
                </w:tcPr>
                <w:p>
                  <w:pPr>
                    <w:pStyle w:val="295"/>
                    <w:rPr>
                      <w:rFonts w:cs="Times New Roman"/>
                      <w:sz w:val="21"/>
                      <w:szCs w:val="21"/>
                      <w:lang w:eastAsia="zh-CN"/>
                    </w:rPr>
                  </w:pPr>
                  <w:r>
                    <w:rPr>
                      <w:rFonts w:cs="Times New Roman"/>
                      <w:sz w:val="21"/>
                      <w:szCs w:val="21"/>
                      <w:lang w:eastAsia="zh-CN"/>
                    </w:rPr>
                    <w:t>≤5（8）</w:t>
                  </w:r>
                </w:p>
              </w:tc>
              <w:tc>
                <w:tcPr>
                  <w:tcW w:w="473" w:type="pct"/>
                  <w:noWrap w:val="0"/>
                  <w:vAlign w:val="center"/>
                </w:tcPr>
                <w:p>
                  <w:pPr>
                    <w:pStyle w:val="295"/>
                    <w:rPr>
                      <w:rFonts w:cs="Times New Roman"/>
                      <w:sz w:val="21"/>
                      <w:szCs w:val="21"/>
                      <w:lang w:eastAsia="zh-CN"/>
                    </w:rPr>
                  </w:pPr>
                  <w:r>
                    <w:rPr>
                      <w:rFonts w:cs="Times New Roman"/>
                      <w:sz w:val="21"/>
                      <w:szCs w:val="21"/>
                      <w:lang w:eastAsia="zh-CN"/>
                    </w:rPr>
                    <w:t>≤10</w:t>
                  </w:r>
                </w:p>
              </w:tc>
              <w:tc>
                <w:tcPr>
                  <w:tcW w:w="577" w:type="pct"/>
                  <w:noWrap w:val="0"/>
                  <w:vAlign w:val="center"/>
                </w:tcPr>
                <w:p>
                  <w:pPr>
                    <w:pStyle w:val="295"/>
                    <w:rPr>
                      <w:rFonts w:cs="Times New Roman"/>
                      <w:sz w:val="21"/>
                      <w:szCs w:val="21"/>
                      <w:lang w:eastAsia="zh-CN"/>
                    </w:rPr>
                  </w:pPr>
                  <w:r>
                    <w:rPr>
                      <w:rFonts w:cs="Times New Roman"/>
                      <w:sz w:val="21"/>
                      <w:szCs w:val="21"/>
                      <w:lang w:eastAsia="zh-CN"/>
                    </w:rPr>
                    <w:t>≤0.5</w:t>
                  </w:r>
                </w:p>
              </w:tc>
              <w:tc>
                <w:tcPr>
                  <w:tcW w:w="577" w:type="pct"/>
                  <w:noWrap w:val="0"/>
                  <w:vAlign w:val="center"/>
                </w:tcPr>
                <w:p>
                  <w:pPr>
                    <w:pStyle w:val="295"/>
                    <w:rPr>
                      <w:rFonts w:cs="Times New Roman"/>
                      <w:sz w:val="21"/>
                      <w:szCs w:val="21"/>
                      <w:lang w:eastAsia="zh-CN"/>
                    </w:rPr>
                  </w:pPr>
                  <w:r>
                    <w:rPr>
                      <w:rFonts w:cs="Times New Roman"/>
                      <w:sz w:val="21"/>
                      <w:szCs w:val="21"/>
                      <w:lang w:eastAsia="zh-CN"/>
                    </w:rPr>
                    <w:t>≤15</w:t>
                  </w:r>
                </w:p>
              </w:tc>
              <w:tc>
                <w:tcPr>
                  <w:tcW w:w="578" w:type="pct"/>
                  <w:noWrap w:val="0"/>
                  <w:vAlign w:val="center"/>
                </w:tcPr>
                <w:p>
                  <w:pPr>
                    <w:pStyle w:val="295"/>
                    <w:rPr>
                      <w:rFonts w:cs="Times New Roman"/>
                      <w:sz w:val="21"/>
                      <w:szCs w:val="21"/>
                      <w:lang w:eastAsia="zh-CN"/>
                    </w:rPr>
                  </w:pPr>
                  <w:r>
                    <w:rPr>
                      <w:rFonts w:cs="Times New Roman"/>
                      <w:sz w:val="21"/>
                      <w:szCs w:val="21"/>
                      <w:lang w:eastAsia="zh-CN"/>
                    </w:rPr>
                    <w:t>≤10</w:t>
                  </w:r>
                </w:p>
              </w:tc>
              <w:tc>
                <w:tcPr>
                  <w:tcW w:w="598" w:type="pct"/>
                  <w:noWrap w:val="0"/>
                  <w:vAlign w:val="center"/>
                </w:tcPr>
                <w:p>
                  <w:pPr>
                    <w:pStyle w:val="295"/>
                    <w:rPr>
                      <w:rFonts w:cs="Times New Roman"/>
                      <w:sz w:val="21"/>
                      <w:szCs w:val="21"/>
                      <w:lang w:eastAsia="zh-CN"/>
                    </w:rPr>
                  </w:pPr>
                  <w:r>
                    <w:rPr>
                      <w:rFonts w:cs="Times New Roman"/>
                      <w:sz w:val="21"/>
                      <w:szCs w:val="21"/>
                      <w:lang w:eastAsia="zh-CN"/>
                    </w:rPr>
                    <w:t>6～9</w:t>
                  </w:r>
                </w:p>
              </w:tc>
            </w:tr>
          </w:tbl>
          <w:p>
            <w:pPr>
              <w:adjustRightInd w:val="0"/>
              <w:snapToGrid w:val="0"/>
              <w:spacing w:line="360" w:lineRule="auto"/>
              <w:ind w:firstLine="422" w:firstLineChars="200"/>
              <w:rPr>
                <w:b/>
                <w:szCs w:val="21"/>
              </w:rPr>
            </w:pPr>
            <w:r>
              <w:rPr>
                <w:b/>
                <w:szCs w:val="21"/>
              </w:rPr>
              <w:t>注：括号外数值为水温&gt;12℃ 时的控制指标，括号内数值为水温≤12℃ 时的控制指标。</w:t>
            </w:r>
          </w:p>
          <w:p>
            <w:pPr>
              <w:adjustRightInd w:val="0"/>
              <w:snapToGrid w:val="0"/>
              <w:spacing w:before="120" w:beforeLines="50" w:line="360" w:lineRule="auto"/>
              <w:rPr>
                <w:b/>
                <w:sz w:val="24"/>
              </w:rPr>
            </w:pPr>
            <w:r>
              <w:rPr>
                <w:b/>
                <w:sz w:val="24"/>
              </w:rPr>
              <w:t>6、项目主要建设内容</w:t>
            </w:r>
          </w:p>
          <w:p>
            <w:pPr>
              <w:adjustRightInd w:val="0"/>
              <w:snapToGrid w:val="0"/>
              <w:spacing w:line="360" w:lineRule="auto"/>
              <w:ind w:firstLine="482" w:firstLineChars="200"/>
              <w:rPr>
                <w:b/>
                <w:sz w:val="24"/>
              </w:rPr>
            </w:pPr>
            <w:r>
              <w:rPr>
                <w:b/>
                <w:sz w:val="24"/>
              </w:rPr>
              <w:t>（1）项目组成</w:t>
            </w:r>
          </w:p>
          <w:p>
            <w:pPr>
              <w:adjustRightInd w:val="0"/>
              <w:snapToGrid w:val="0"/>
              <w:spacing w:line="360" w:lineRule="auto"/>
              <w:ind w:firstLine="480" w:firstLineChars="200"/>
              <w:rPr>
                <w:bCs/>
                <w:sz w:val="24"/>
              </w:rPr>
            </w:pPr>
            <w:bookmarkStart w:id="18" w:name="_Hlk141964631"/>
            <w:r>
              <w:rPr>
                <w:bCs/>
                <w:sz w:val="24"/>
              </w:rPr>
              <w:t>在原厂区内空地部分增加一套一体化污水处理设备（设计处理能力1000t/d，工艺采用“AAO+MBBR+沉淀池+微絮凝除磷D型滤池+紫外消毒”），新增除臭系统并完善污泥脱水设备及污泥堆场，增加应急电源、变压器扩容设施设备等，优化原厌氧池功能。同时保留原设备处理能力（500m</w:t>
            </w:r>
            <w:r>
              <w:rPr>
                <w:bCs/>
                <w:sz w:val="24"/>
                <w:vertAlign w:val="superscript"/>
              </w:rPr>
              <w:t>3</w:t>
            </w:r>
            <w:r>
              <w:rPr>
                <w:bCs/>
                <w:sz w:val="24"/>
              </w:rPr>
              <w:t>/d），总处理能力达到1500m</w:t>
            </w:r>
            <w:r>
              <w:rPr>
                <w:bCs/>
                <w:sz w:val="24"/>
                <w:vertAlign w:val="superscript"/>
              </w:rPr>
              <w:t>3</w:t>
            </w:r>
            <w:r>
              <w:rPr>
                <w:bCs/>
                <w:sz w:val="24"/>
              </w:rPr>
              <w:t>/d，处理出水水质达《城镇污水处理厂污染物排放标准》（GB18918-2002）一级A类标准后排入双龙河。</w:t>
            </w:r>
            <w:r>
              <w:rPr>
                <w:b/>
                <w:sz w:val="24"/>
                <w:u w:val="single"/>
              </w:rPr>
              <w:t>项目在运行过程中，污水量未超过1000m</w:t>
            </w:r>
            <w:r>
              <w:rPr>
                <w:b/>
                <w:sz w:val="24"/>
                <w:u w:val="single"/>
                <w:vertAlign w:val="superscript"/>
              </w:rPr>
              <w:t>3</w:t>
            </w:r>
            <w:r>
              <w:rPr>
                <w:b/>
                <w:sz w:val="24"/>
                <w:u w:val="single"/>
              </w:rPr>
              <w:t>/d时，采用“预处理+AAO+MBBR+沉淀池+微絮凝除磷D型滤池+紫外消毒”，当污水量超过1000m</w:t>
            </w:r>
            <w:r>
              <w:rPr>
                <w:b/>
                <w:sz w:val="24"/>
                <w:u w:val="single"/>
                <w:vertAlign w:val="superscript"/>
              </w:rPr>
              <w:t>3</w:t>
            </w:r>
            <w:r>
              <w:rPr>
                <w:b/>
                <w:sz w:val="24"/>
                <w:u w:val="single"/>
              </w:rPr>
              <w:t>/d时，同时启用现有预留500m</w:t>
            </w:r>
            <w:r>
              <w:rPr>
                <w:b/>
                <w:sz w:val="24"/>
                <w:u w:val="single"/>
                <w:vertAlign w:val="superscript"/>
              </w:rPr>
              <w:t>3</w:t>
            </w:r>
            <w:r>
              <w:rPr>
                <w:b/>
                <w:sz w:val="24"/>
                <w:u w:val="single"/>
              </w:rPr>
              <w:t>/d污水处理系统（PASG工艺：厌氧池+综合生化池+集水池+二沉池+接触消毒）；</w:t>
            </w:r>
            <w:r>
              <w:rPr>
                <w:bCs/>
                <w:sz w:val="24"/>
              </w:rPr>
              <w:t>本项目组成及主要环境问题见下表：</w:t>
            </w:r>
            <w:bookmarkEnd w:id="18"/>
          </w:p>
          <w:p>
            <w:pPr>
              <w:pStyle w:val="281"/>
              <w:spacing w:before="0"/>
              <w:ind w:left="900" w:hanging="480"/>
              <w:jc w:val="center"/>
              <w:rPr>
                <w:rFonts w:eastAsia="黑体"/>
                <w:color w:val="auto"/>
              </w:rPr>
            </w:pPr>
            <w:r>
              <w:rPr>
                <w:rFonts w:eastAsia="黑体"/>
                <w:color w:val="auto"/>
              </w:rPr>
              <w:t>表2-4    项目组成及主要环境问题</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488"/>
              <w:gridCol w:w="324"/>
              <w:gridCol w:w="414"/>
              <w:gridCol w:w="4308"/>
              <w:gridCol w:w="850"/>
              <w:gridCol w:w="850"/>
              <w:gridCol w:w="11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290" w:type="pct"/>
                  <w:vMerge w:val="restart"/>
                  <w:shd w:val="clear" w:color="auto" w:fill="CCFFFF"/>
                  <w:noWrap w:val="0"/>
                  <w:vAlign w:val="center"/>
                </w:tcPr>
                <w:p>
                  <w:pPr>
                    <w:tabs>
                      <w:tab w:val="left" w:pos="480"/>
                    </w:tabs>
                    <w:snapToGrid w:val="0"/>
                    <w:jc w:val="center"/>
                    <w:rPr>
                      <w:b/>
                      <w:szCs w:val="21"/>
                    </w:rPr>
                  </w:pPr>
                  <w:bookmarkStart w:id="19" w:name="_Hlk116208756"/>
                  <w:r>
                    <w:rPr>
                      <w:b/>
                      <w:szCs w:val="21"/>
                    </w:rPr>
                    <w:t>项目</w:t>
                  </w:r>
                </w:p>
              </w:tc>
              <w:tc>
                <w:tcPr>
                  <w:tcW w:w="438" w:type="pct"/>
                  <w:gridSpan w:val="2"/>
                  <w:vMerge w:val="restart"/>
                  <w:shd w:val="clear" w:color="auto" w:fill="CCFFFF"/>
                  <w:noWrap w:val="0"/>
                  <w:vAlign w:val="center"/>
                </w:tcPr>
                <w:p>
                  <w:pPr>
                    <w:tabs>
                      <w:tab w:val="left" w:pos="480"/>
                    </w:tabs>
                    <w:snapToGrid w:val="0"/>
                    <w:jc w:val="center"/>
                    <w:rPr>
                      <w:b/>
                      <w:szCs w:val="21"/>
                    </w:rPr>
                  </w:pPr>
                  <w:r>
                    <w:rPr>
                      <w:b/>
                      <w:szCs w:val="21"/>
                    </w:rPr>
                    <w:t>主要内容</w:t>
                  </w:r>
                </w:p>
              </w:tc>
              <w:tc>
                <w:tcPr>
                  <w:tcW w:w="2559" w:type="pct"/>
                  <w:vMerge w:val="restart"/>
                  <w:shd w:val="clear" w:color="auto" w:fill="CCFFFF"/>
                  <w:noWrap w:val="0"/>
                  <w:vAlign w:val="center"/>
                </w:tcPr>
                <w:p>
                  <w:pPr>
                    <w:tabs>
                      <w:tab w:val="left" w:pos="480"/>
                    </w:tabs>
                    <w:snapToGrid w:val="0"/>
                    <w:jc w:val="center"/>
                    <w:rPr>
                      <w:b/>
                      <w:szCs w:val="21"/>
                    </w:rPr>
                  </w:pPr>
                  <w:r>
                    <w:rPr>
                      <w:b/>
                      <w:szCs w:val="21"/>
                    </w:rPr>
                    <w:t>相关内容</w:t>
                  </w:r>
                </w:p>
              </w:tc>
              <w:tc>
                <w:tcPr>
                  <w:tcW w:w="1010" w:type="pct"/>
                  <w:gridSpan w:val="2"/>
                  <w:shd w:val="clear" w:color="auto" w:fill="CCFFFF"/>
                  <w:noWrap w:val="0"/>
                  <w:vAlign w:val="center"/>
                </w:tcPr>
                <w:p>
                  <w:pPr>
                    <w:pStyle w:val="117"/>
                    <w:kinsoku w:val="0"/>
                    <w:overflowPunct w:val="0"/>
                    <w:autoSpaceDE/>
                    <w:autoSpaceDN/>
                    <w:snapToGrid w:val="0"/>
                    <w:spacing w:before="0" w:after="0"/>
                    <w:rPr>
                      <w:b/>
                      <w:caps/>
                      <w:szCs w:val="21"/>
                    </w:rPr>
                  </w:pPr>
                  <w:r>
                    <w:rPr>
                      <w:b/>
                      <w:caps/>
                      <w:szCs w:val="21"/>
                    </w:rPr>
                    <w:t>主要环境问题</w:t>
                  </w:r>
                </w:p>
              </w:tc>
              <w:tc>
                <w:tcPr>
                  <w:tcW w:w="703" w:type="pct"/>
                  <w:vMerge w:val="restart"/>
                  <w:shd w:val="clear" w:color="auto" w:fill="CCFFFF"/>
                  <w:noWrap w:val="0"/>
                  <w:vAlign w:val="center"/>
                </w:tcPr>
                <w:p>
                  <w:pPr>
                    <w:pStyle w:val="117"/>
                    <w:kinsoku w:val="0"/>
                    <w:overflowPunct w:val="0"/>
                    <w:autoSpaceDE/>
                    <w:autoSpaceDN/>
                    <w:snapToGrid w:val="0"/>
                    <w:spacing w:before="0" w:after="0"/>
                    <w:rPr>
                      <w:b/>
                      <w:caps/>
                      <w:szCs w:val="21"/>
                    </w:rPr>
                  </w:pPr>
                  <w:r>
                    <w:rPr>
                      <w:b/>
                      <w:caps/>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290" w:type="pct"/>
                  <w:vMerge w:val="continue"/>
                  <w:shd w:val="clear" w:color="auto" w:fill="CCFFFF"/>
                  <w:noWrap w:val="0"/>
                  <w:vAlign w:val="center"/>
                </w:tcPr>
                <w:p>
                  <w:pPr>
                    <w:tabs>
                      <w:tab w:val="left" w:pos="480"/>
                    </w:tabs>
                    <w:snapToGrid w:val="0"/>
                    <w:jc w:val="center"/>
                    <w:rPr>
                      <w:b/>
                      <w:szCs w:val="21"/>
                    </w:rPr>
                  </w:pPr>
                </w:p>
              </w:tc>
              <w:tc>
                <w:tcPr>
                  <w:tcW w:w="438" w:type="pct"/>
                  <w:gridSpan w:val="2"/>
                  <w:vMerge w:val="continue"/>
                  <w:shd w:val="clear" w:color="auto" w:fill="CCFFFF"/>
                  <w:noWrap w:val="0"/>
                  <w:vAlign w:val="center"/>
                </w:tcPr>
                <w:p>
                  <w:pPr>
                    <w:tabs>
                      <w:tab w:val="left" w:pos="480"/>
                    </w:tabs>
                    <w:snapToGrid w:val="0"/>
                    <w:jc w:val="center"/>
                    <w:rPr>
                      <w:b/>
                      <w:szCs w:val="21"/>
                    </w:rPr>
                  </w:pPr>
                </w:p>
              </w:tc>
              <w:tc>
                <w:tcPr>
                  <w:tcW w:w="2559" w:type="pct"/>
                  <w:vMerge w:val="continue"/>
                  <w:shd w:val="clear" w:color="auto" w:fill="CCFFFF"/>
                  <w:noWrap w:val="0"/>
                  <w:vAlign w:val="center"/>
                </w:tcPr>
                <w:p>
                  <w:pPr>
                    <w:tabs>
                      <w:tab w:val="left" w:pos="480"/>
                    </w:tabs>
                    <w:snapToGrid w:val="0"/>
                    <w:jc w:val="center"/>
                    <w:rPr>
                      <w:b/>
                      <w:szCs w:val="21"/>
                    </w:rPr>
                  </w:pPr>
                </w:p>
              </w:tc>
              <w:tc>
                <w:tcPr>
                  <w:tcW w:w="505" w:type="pct"/>
                  <w:shd w:val="clear" w:color="auto" w:fill="CCFFFF"/>
                  <w:noWrap w:val="0"/>
                  <w:vAlign w:val="center"/>
                </w:tcPr>
                <w:p>
                  <w:pPr>
                    <w:pStyle w:val="117"/>
                    <w:kinsoku w:val="0"/>
                    <w:overflowPunct w:val="0"/>
                    <w:autoSpaceDE/>
                    <w:autoSpaceDN/>
                    <w:snapToGrid w:val="0"/>
                    <w:spacing w:before="0" w:after="0"/>
                    <w:rPr>
                      <w:b/>
                      <w:caps/>
                      <w:szCs w:val="21"/>
                    </w:rPr>
                  </w:pPr>
                  <w:r>
                    <w:rPr>
                      <w:b/>
                      <w:caps/>
                      <w:szCs w:val="21"/>
                    </w:rPr>
                    <w:t>施工期</w:t>
                  </w:r>
                </w:p>
              </w:tc>
              <w:tc>
                <w:tcPr>
                  <w:tcW w:w="505" w:type="pct"/>
                  <w:shd w:val="clear" w:color="auto" w:fill="CCFFFF"/>
                  <w:noWrap w:val="0"/>
                  <w:vAlign w:val="center"/>
                </w:tcPr>
                <w:p>
                  <w:pPr>
                    <w:pStyle w:val="117"/>
                    <w:kinsoku w:val="0"/>
                    <w:overflowPunct w:val="0"/>
                    <w:autoSpaceDE/>
                    <w:autoSpaceDN/>
                    <w:snapToGrid w:val="0"/>
                    <w:spacing w:before="0" w:after="0"/>
                    <w:rPr>
                      <w:b/>
                      <w:caps/>
                      <w:szCs w:val="21"/>
                    </w:rPr>
                  </w:pPr>
                  <w:r>
                    <w:rPr>
                      <w:b/>
                      <w:caps/>
                      <w:szCs w:val="21"/>
                    </w:rPr>
                    <w:t>营运期</w:t>
                  </w:r>
                </w:p>
              </w:tc>
              <w:tc>
                <w:tcPr>
                  <w:tcW w:w="703" w:type="pct"/>
                  <w:vMerge w:val="continue"/>
                  <w:shd w:val="clear" w:color="auto" w:fill="CCFFFF"/>
                  <w:noWrap w:val="0"/>
                  <w:vAlign w:val="top"/>
                </w:tcPr>
                <w:p>
                  <w:pPr>
                    <w:pStyle w:val="117"/>
                    <w:kinsoku w:val="0"/>
                    <w:overflowPunct w:val="0"/>
                    <w:autoSpaceDE/>
                    <w:autoSpaceDN/>
                    <w:snapToGrid w:val="0"/>
                    <w:spacing w:before="0" w:after="0"/>
                    <w:rPr>
                      <w:b/>
                      <w:cap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90" w:type="pct"/>
                  <w:vMerge w:val="restart"/>
                  <w:noWrap w:val="0"/>
                  <w:vAlign w:val="center"/>
                </w:tcPr>
                <w:p>
                  <w:pPr>
                    <w:tabs>
                      <w:tab w:val="left" w:pos="480"/>
                    </w:tabs>
                    <w:snapToGrid w:val="0"/>
                    <w:jc w:val="center"/>
                    <w:rPr>
                      <w:szCs w:val="21"/>
                    </w:rPr>
                  </w:pPr>
                  <w:r>
                    <w:rPr>
                      <w:szCs w:val="21"/>
                    </w:rPr>
                    <w:t>主体</w:t>
                  </w:r>
                </w:p>
                <w:p>
                  <w:pPr>
                    <w:tabs>
                      <w:tab w:val="left" w:pos="480"/>
                    </w:tabs>
                    <w:snapToGrid w:val="0"/>
                    <w:jc w:val="center"/>
                    <w:rPr>
                      <w:szCs w:val="21"/>
                    </w:rPr>
                  </w:pPr>
                  <w:r>
                    <w:rPr>
                      <w:szCs w:val="21"/>
                    </w:rPr>
                    <w:t>工程</w:t>
                  </w:r>
                </w:p>
              </w:tc>
              <w:tc>
                <w:tcPr>
                  <w:tcW w:w="192" w:type="pct"/>
                  <w:vMerge w:val="restart"/>
                  <w:noWrap w:val="0"/>
                  <w:vAlign w:val="center"/>
                </w:tcPr>
                <w:p>
                  <w:pPr>
                    <w:tabs>
                      <w:tab w:val="left" w:pos="480"/>
                    </w:tabs>
                    <w:snapToGrid w:val="0"/>
                    <w:jc w:val="center"/>
                    <w:rPr>
                      <w:szCs w:val="21"/>
                    </w:rPr>
                  </w:pPr>
                  <w:r>
                    <w:rPr>
                      <w:szCs w:val="21"/>
                    </w:rPr>
                    <w:t>污</w:t>
                  </w:r>
                </w:p>
                <w:p>
                  <w:pPr>
                    <w:tabs>
                      <w:tab w:val="left" w:pos="480"/>
                    </w:tabs>
                    <w:snapToGrid w:val="0"/>
                    <w:jc w:val="center"/>
                    <w:rPr>
                      <w:szCs w:val="21"/>
                    </w:rPr>
                  </w:pPr>
                  <w:r>
                    <w:rPr>
                      <w:szCs w:val="21"/>
                    </w:rPr>
                    <w:t>水</w:t>
                  </w:r>
                </w:p>
                <w:p>
                  <w:pPr>
                    <w:tabs>
                      <w:tab w:val="left" w:pos="480"/>
                    </w:tabs>
                    <w:snapToGrid w:val="0"/>
                    <w:jc w:val="center"/>
                    <w:rPr>
                      <w:szCs w:val="21"/>
                    </w:rPr>
                  </w:pPr>
                  <w:r>
                    <w:rPr>
                      <w:szCs w:val="21"/>
                    </w:rPr>
                    <w:t>厂</w:t>
                  </w:r>
                </w:p>
              </w:tc>
              <w:tc>
                <w:tcPr>
                  <w:tcW w:w="246" w:type="pct"/>
                  <w:noWrap w:val="0"/>
                  <w:vAlign w:val="center"/>
                </w:tcPr>
                <w:p>
                  <w:pPr>
                    <w:tabs>
                      <w:tab w:val="left" w:pos="480"/>
                    </w:tabs>
                    <w:snapToGrid w:val="0"/>
                    <w:jc w:val="center"/>
                    <w:rPr>
                      <w:szCs w:val="21"/>
                    </w:rPr>
                  </w:pPr>
                  <w:r>
                    <w:rPr>
                      <w:szCs w:val="21"/>
                    </w:rPr>
                    <w:t>预处理</w:t>
                  </w:r>
                </w:p>
              </w:tc>
              <w:tc>
                <w:tcPr>
                  <w:tcW w:w="2559" w:type="pct"/>
                  <w:noWrap w:val="0"/>
                  <w:vAlign w:val="center"/>
                </w:tcPr>
                <w:p>
                  <w:pPr>
                    <w:widowControl/>
                    <w:snapToGrid w:val="0"/>
                    <w:textAlignment w:val="center"/>
                    <w:rPr>
                      <w:kern w:val="0"/>
                      <w:szCs w:val="21"/>
                    </w:rPr>
                  </w:pPr>
                  <w:r>
                    <w:rPr>
                      <w:rFonts w:eastAsia="楷体"/>
                      <w:i/>
                      <w:kern w:val="0"/>
                      <w:szCs w:val="21"/>
                      <w:u w:val="single"/>
                    </w:rPr>
                    <w:t>·提升池：</w:t>
                  </w:r>
                  <w:r>
                    <w:rPr>
                      <w:kern w:val="0"/>
                      <w:szCs w:val="21"/>
                    </w:rPr>
                    <w:t>1座，利旧，地下式结构，新增1台提升泵及吊架。</w:t>
                  </w:r>
                </w:p>
                <w:p>
                  <w:pPr>
                    <w:widowControl/>
                    <w:snapToGrid w:val="0"/>
                    <w:textAlignment w:val="center"/>
                    <w:rPr>
                      <w:kern w:val="0"/>
                      <w:szCs w:val="21"/>
                    </w:rPr>
                  </w:pPr>
                  <w:r>
                    <w:rPr>
                      <w:rFonts w:eastAsia="楷体"/>
                      <w:i/>
                      <w:kern w:val="0"/>
                      <w:szCs w:val="21"/>
                      <w:u w:val="single"/>
                    </w:rPr>
                    <w:t>·格栅渠：</w:t>
                  </w:r>
                  <w:r>
                    <w:rPr>
                      <w:kern w:val="0"/>
                      <w:szCs w:val="21"/>
                    </w:rPr>
                    <w:t>1座，利旧，地上式结构，规模0.15万m</w:t>
                  </w:r>
                  <w:r>
                    <w:rPr>
                      <w:kern w:val="0"/>
                      <w:szCs w:val="21"/>
                      <w:vertAlign w:val="superscript"/>
                    </w:rPr>
                    <w:t>3</w:t>
                  </w:r>
                  <w:r>
                    <w:rPr>
                      <w:kern w:val="0"/>
                      <w:szCs w:val="21"/>
                    </w:rPr>
                    <w:t>/d， 格栅渠新增除臭间及除臭盖板。</w:t>
                  </w:r>
                </w:p>
                <w:p>
                  <w:pPr>
                    <w:widowControl/>
                    <w:snapToGrid w:val="0"/>
                    <w:textAlignment w:val="center"/>
                    <w:rPr>
                      <w:kern w:val="0"/>
                      <w:szCs w:val="21"/>
                    </w:rPr>
                  </w:pPr>
                  <w:r>
                    <w:rPr>
                      <w:rFonts w:eastAsia="楷体"/>
                      <w:i/>
                      <w:kern w:val="0"/>
                      <w:szCs w:val="21"/>
                      <w:u w:val="single"/>
                    </w:rPr>
                    <w:t>·隔渣池：</w:t>
                  </w:r>
                  <w:r>
                    <w:rPr>
                      <w:kern w:val="0"/>
                      <w:szCs w:val="21"/>
                    </w:rPr>
                    <w:t>1座，利旧，地下式结构，规模0.15万m</w:t>
                  </w:r>
                  <w:r>
                    <w:rPr>
                      <w:kern w:val="0"/>
                      <w:szCs w:val="21"/>
                      <w:vertAlign w:val="superscript"/>
                    </w:rPr>
                    <w:t>3</w:t>
                  </w:r>
                  <w:r>
                    <w:rPr>
                      <w:kern w:val="0"/>
                      <w:szCs w:val="21"/>
                    </w:rPr>
                    <w:t>/d。</w:t>
                  </w:r>
                </w:p>
                <w:p>
                  <w:pPr>
                    <w:pStyle w:val="2"/>
                    <w:spacing w:before="0" w:after="0" w:line="240" w:lineRule="auto"/>
                    <w:ind w:right="0"/>
                    <w:rPr>
                      <w:sz w:val="21"/>
                      <w:szCs w:val="21"/>
                    </w:rPr>
                  </w:pPr>
                  <w:r>
                    <w:rPr>
                      <w:rFonts w:eastAsia="楷体"/>
                      <w:i/>
                      <w:sz w:val="21"/>
                      <w:szCs w:val="21"/>
                      <w:u w:val="single"/>
                    </w:rPr>
                    <w:t>·调节池、污泥池：</w:t>
                  </w:r>
                  <w:r>
                    <w:rPr>
                      <w:sz w:val="21"/>
                      <w:szCs w:val="21"/>
                    </w:rPr>
                    <w:t>1座，新建，合建，钢混结构，规模0.15万m</w:t>
                  </w:r>
                  <w:r>
                    <w:rPr>
                      <w:sz w:val="21"/>
                      <w:szCs w:val="21"/>
                      <w:vertAlign w:val="superscript"/>
                    </w:rPr>
                    <w:t>3</w:t>
                  </w:r>
                  <w:r>
                    <w:rPr>
                      <w:sz w:val="21"/>
                      <w:szCs w:val="21"/>
                    </w:rPr>
                    <w:t>/d，采用混凝土加盖。</w:t>
                  </w:r>
                </w:p>
                <w:p>
                  <w:pPr>
                    <w:pStyle w:val="2"/>
                    <w:spacing w:before="0" w:after="0" w:line="240" w:lineRule="auto"/>
                    <w:ind w:right="0"/>
                    <w:rPr>
                      <w:sz w:val="21"/>
                      <w:szCs w:val="21"/>
                    </w:rPr>
                  </w:pPr>
                  <w:r>
                    <w:rPr>
                      <w:rFonts w:eastAsia="楷体"/>
                      <w:i/>
                      <w:sz w:val="21"/>
                      <w:szCs w:val="21"/>
                      <w:u w:val="single"/>
                    </w:rPr>
                    <w:t>·初沉池：</w:t>
                  </w:r>
                  <w:r>
                    <w:rPr>
                      <w:sz w:val="21"/>
                      <w:szCs w:val="21"/>
                    </w:rPr>
                    <w:t>1座，已建，钢混结构，</w:t>
                  </w:r>
                  <w:r>
                    <w:rPr>
                      <w:iCs/>
                      <w:sz w:val="21"/>
                      <w:szCs w:val="21"/>
                    </w:rPr>
                    <w:t>项目改扩建完成后，</w:t>
                  </w:r>
                  <w:r>
                    <w:rPr>
                      <w:sz w:val="21"/>
                      <w:szCs w:val="21"/>
                    </w:rPr>
                    <w:t>仅运行0.05万m</w:t>
                  </w:r>
                  <w:r>
                    <w:rPr>
                      <w:sz w:val="21"/>
                      <w:szCs w:val="21"/>
                      <w:vertAlign w:val="superscript"/>
                    </w:rPr>
                    <w:t>3</w:t>
                  </w:r>
                  <w:r>
                    <w:rPr>
                      <w:sz w:val="21"/>
                      <w:szCs w:val="21"/>
                    </w:rPr>
                    <w:t>/d，采用混凝土加盖。</w:t>
                  </w:r>
                </w:p>
              </w:tc>
              <w:tc>
                <w:tcPr>
                  <w:tcW w:w="505" w:type="pct"/>
                  <w:vMerge w:val="restart"/>
                  <w:noWrap w:val="0"/>
                  <w:vAlign w:val="center"/>
                </w:tcPr>
                <w:p>
                  <w:pPr>
                    <w:widowControl/>
                    <w:snapToGrid w:val="0"/>
                    <w:jc w:val="center"/>
                    <w:textAlignment w:val="center"/>
                    <w:rPr>
                      <w:bCs/>
                      <w:szCs w:val="21"/>
                    </w:rPr>
                  </w:pPr>
                  <w:r>
                    <w:rPr>
                      <w:bCs/>
                      <w:szCs w:val="21"/>
                    </w:rPr>
                    <w:t>施工扬尘、施工、噪声、施工废水、建筑弃渣、水土流失等</w:t>
                  </w:r>
                </w:p>
              </w:tc>
              <w:tc>
                <w:tcPr>
                  <w:tcW w:w="505" w:type="pct"/>
                  <w:vMerge w:val="restart"/>
                  <w:noWrap w:val="0"/>
                  <w:vAlign w:val="center"/>
                </w:tcPr>
                <w:p>
                  <w:pPr>
                    <w:snapToGrid w:val="0"/>
                    <w:jc w:val="center"/>
                    <w:rPr>
                      <w:szCs w:val="21"/>
                    </w:rPr>
                  </w:pPr>
                  <w:r>
                    <w:rPr>
                      <w:szCs w:val="21"/>
                    </w:rPr>
                    <w:t>恶臭</w:t>
                  </w:r>
                </w:p>
                <w:p>
                  <w:pPr>
                    <w:snapToGrid w:val="0"/>
                    <w:jc w:val="center"/>
                    <w:rPr>
                      <w:szCs w:val="21"/>
                    </w:rPr>
                  </w:pPr>
                  <w:r>
                    <w:rPr>
                      <w:szCs w:val="21"/>
                    </w:rPr>
                    <w:t>噪声</w:t>
                  </w:r>
                </w:p>
                <w:p>
                  <w:pPr>
                    <w:widowControl/>
                    <w:snapToGrid w:val="0"/>
                    <w:jc w:val="center"/>
                    <w:textAlignment w:val="center"/>
                    <w:rPr>
                      <w:szCs w:val="21"/>
                    </w:rPr>
                  </w:pPr>
                  <w:r>
                    <w:rPr>
                      <w:szCs w:val="21"/>
                    </w:rPr>
                    <w:t>固废</w:t>
                  </w:r>
                </w:p>
                <w:p>
                  <w:pPr>
                    <w:widowControl/>
                    <w:snapToGrid w:val="0"/>
                    <w:jc w:val="center"/>
                    <w:textAlignment w:val="center"/>
                  </w:pPr>
                  <w:r>
                    <w:t>在线</w:t>
                  </w:r>
                  <w:r>
                    <w:rPr>
                      <w:rFonts w:hint="eastAsia"/>
                    </w:rPr>
                    <w:t>监测</w:t>
                  </w:r>
                  <w:r>
                    <w:t>废液</w:t>
                  </w:r>
                </w:p>
              </w:tc>
              <w:tc>
                <w:tcPr>
                  <w:tcW w:w="703" w:type="pct"/>
                  <w:noWrap w:val="0"/>
                  <w:vAlign w:val="center"/>
                </w:tcPr>
                <w:p>
                  <w:pPr>
                    <w:snapToGrid w:val="0"/>
                    <w:jc w:val="center"/>
                    <w:rPr>
                      <w:szCs w:val="21"/>
                    </w:rPr>
                  </w:pPr>
                  <w:r>
                    <w:rPr>
                      <w:szCs w:val="21"/>
                    </w:rPr>
                    <w:t>提升池、格栅渠、隔渣池、初沉池为已建，提升池新增设备，提升池、格栅渠新增除臭盖板；调节池、污泥池为新建；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90" w:type="pct"/>
                  <w:vMerge w:val="continue"/>
                  <w:noWrap w:val="0"/>
                  <w:vAlign w:val="center"/>
                </w:tcPr>
                <w:p>
                  <w:pPr>
                    <w:tabs>
                      <w:tab w:val="left" w:pos="480"/>
                    </w:tabs>
                    <w:snapToGrid w:val="0"/>
                    <w:jc w:val="center"/>
                    <w:rPr>
                      <w:szCs w:val="21"/>
                    </w:rPr>
                  </w:pPr>
                </w:p>
              </w:tc>
              <w:tc>
                <w:tcPr>
                  <w:tcW w:w="192" w:type="pct"/>
                  <w:vMerge w:val="continue"/>
                  <w:noWrap w:val="0"/>
                  <w:vAlign w:val="center"/>
                </w:tcPr>
                <w:p>
                  <w:pPr>
                    <w:tabs>
                      <w:tab w:val="left" w:pos="480"/>
                    </w:tabs>
                    <w:snapToGrid w:val="0"/>
                    <w:jc w:val="center"/>
                    <w:rPr>
                      <w:szCs w:val="21"/>
                    </w:rPr>
                  </w:pPr>
                </w:p>
              </w:tc>
              <w:tc>
                <w:tcPr>
                  <w:tcW w:w="246" w:type="pct"/>
                  <w:noWrap w:val="0"/>
                  <w:vAlign w:val="center"/>
                </w:tcPr>
                <w:p>
                  <w:pPr>
                    <w:tabs>
                      <w:tab w:val="left" w:pos="480"/>
                    </w:tabs>
                    <w:snapToGrid w:val="0"/>
                    <w:jc w:val="center"/>
                    <w:rPr>
                      <w:szCs w:val="21"/>
                    </w:rPr>
                  </w:pPr>
                  <w:r>
                    <w:rPr>
                      <w:szCs w:val="21"/>
                    </w:rPr>
                    <w:t>生化处理</w:t>
                  </w:r>
                </w:p>
              </w:tc>
              <w:tc>
                <w:tcPr>
                  <w:tcW w:w="2559" w:type="pct"/>
                  <w:noWrap w:val="0"/>
                  <w:vAlign w:val="center"/>
                </w:tcPr>
                <w:p>
                  <w:pPr>
                    <w:widowControl/>
                    <w:snapToGrid w:val="0"/>
                    <w:textAlignment w:val="center"/>
                    <w:rPr>
                      <w:kern w:val="0"/>
                      <w:szCs w:val="21"/>
                    </w:rPr>
                  </w:pPr>
                  <w:r>
                    <w:rPr>
                      <w:rFonts w:eastAsia="楷体"/>
                      <w:i/>
                      <w:kern w:val="0"/>
                      <w:szCs w:val="21"/>
                      <w:u w:val="single"/>
                    </w:rPr>
                    <w:t>·PASG（厌氧池+综合生化池+集水池+二沉池+接触消毒）：</w:t>
                  </w:r>
                  <w:r>
                    <w:rPr>
                      <w:iCs/>
                      <w:kern w:val="0"/>
                      <w:szCs w:val="21"/>
                    </w:rPr>
                    <w:t>已建，设计处理规模0.1万m</w:t>
                  </w:r>
                  <w:r>
                    <w:rPr>
                      <w:iCs/>
                      <w:kern w:val="0"/>
                      <w:szCs w:val="21"/>
                      <w:vertAlign w:val="superscript"/>
                    </w:rPr>
                    <w:t>3</w:t>
                  </w:r>
                  <w:r>
                    <w:rPr>
                      <w:iCs/>
                      <w:kern w:val="0"/>
                      <w:szCs w:val="21"/>
                    </w:rPr>
                    <w:t>/d，项目改扩建完成后，</w:t>
                  </w:r>
                  <w:r>
                    <w:rPr>
                      <w:rFonts w:hint="eastAsia"/>
                      <w:iCs/>
                      <w:kern w:val="0"/>
                      <w:szCs w:val="21"/>
                    </w:rPr>
                    <w:t>仅</w:t>
                  </w:r>
                  <w:r>
                    <w:rPr>
                      <w:iCs/>
                      <w:kern w:val="0"/>
                      <w:szCs w:val="21"/>
                    </w:rPr>
                    <w:t>运行0.05万m</w:t>
                  </w:r>
                  <w:r>
                    <w:rPr>
                      <w:iCs/>
                      <w:kern w:val="0"/>
                      <w:szCs w:val="21"/>
                      <w:vertAlign w:val="superscript"/>
                    </w:rPr>
                    <w:t>3</w:t>
                  </w:r>
                  <w:r>
                    <w:rPr>
                      <w:iCs/>
                      <w:kern w:val="0"/>
                      <w:szCs w:val="21"/>
                    </w:rPr>
                    <w:t>/d</w:t>
                  </w:r>
                  <w:r>
                    <w:rPr>
                      <w:kern w:val="0"/>
                      <w:szCs w:val="21"/>
                    </w:rPr>
                    <w:t>。</w:t>
                  </w:r>
                </w:p>
                <w:p>
                  <w:pPr>
                    <w:widowControl/>
                    <w:snapToGrid w:val="0"/>
                    <w:textAlignment w:val="center"/>
                    <w:rPr>
                      <w:kern w:val="0"/>
                      <w:szCs w:val="21"/>
                    </w:rPr>
                  </w:pPr>
                  <w:r>
                    <w:rPr>
                      <w:rFonts w:eastAsia="楷体"/>
                      <w:i/>
                      <w:kern w:val="0"/>
                      <w:szCs w:val="21"/>
                      <w:u w:val="single"/>
                    </w:rPr>
                    <w:t>·一体化设备（AAO+MBBR+沉淀池+微絮凝除磷D型滤池+紫外消毒）：</w:t>
                  </w:r>
                  <w:r>
                    <w:rPr>
                      <w:kern w:val="0"/>
                      <w:szCs w:val="21"/>
                    </w:rPr>
                    <w:t>1座，2组，新建，设计处理规模0.1万m</w:t>
                  </w:r>
                  <w:r>
                    <w:rPr>
                      <w:kern w:val="0"/>
                      <w:szCs w:val="21"/>
                      <w:vertAlign w:val="superscript"/>
                    </w:rPr>
                    <w:t>3</w:t>
                  </w:r>
                  <w:r>
                    <w:rPr>
                      <w:kern w:val="0"/>
                      <w:szCs w:val="21"/>
                    </w:rPr>
                    <w:t>/d，每组0.05万m</w:t>
                  </w:r>
                  <w:r>
                    <w:rPr>
                      <w:kern w:val="0"/>
                      <w:szCs w:val="21"/>
                      <w:vertAlign w:val="superscript"/>
                    </w:rPr>
                    <w:t>3</w:t>
                  </w:r>
                  <w:r>
                    <w:rPr>
                      <w:kern w:val="0"/>
                      <w:szCs w:val="21"/>
                    </w:rPr>
                    <w:t>/d。</w:t>
                  </w:r>
                </w:p>
              </w:tc>
              <w:tc>
                <w:tcPr>
                  <w:tcW w:w="505" w:type="pct"/>
                  <w:vMerge w:val="continue"/>
                  <w:noWrap w:val="0"/>
                  <w:vAlign w:val="center"/>
                </w:tcPr>
                <w:p>
                  <w:pPr>
                    <w:snapToGrid w:val="0"/>
                    <w:jc w:val="center"/>
                    <w:rPr>
                      <w:szCs w:val="21"/>
                    </w:rPr>
                  </w:pPr>
                </w:p>
              </w:tc>
              <w:tc>
                <w:tcPr>
                  <w:tcW w:w="505" w:type="pct"/>
                  <w:vMerge w:val="continue"/>
                  <w:noWrap w:val="0"/>
                  <w:vAlign w:val="center"/>
                </w:tcPr>
                <w:p>
                  <w:pPr>
                    <w:widowControl/>
                    <w:snapToGrid w:val="0"/>
                    <w:jc w:val="center"/>
                    <w:textAlignment w:val="center"/>
                    <w:rPr>
                      <w:bCs/>
                      <w:szCs w:val="21"/>
                    </w:rPr>
                  </w:pPr>
                </w:p>
              </w:tc>
              <w:tc>
                <w:tcPr>
                  <w:tcW w:w="703" w:type="pct"/>
                  <w:noWrap w:val="0"/>
                  <w:vAlign w:val="center"/>
                </w:tcPr>
                <w:p>
                  <w:pPr>
                    <w:widowControl/>
                    <w:snapToGrid w:val="0"/>
                    <w:jc w:val="center"/>
                    <w:textAlignment w:val="center"/>
                    <w:rPr>
                      <w:bCs/>
                      <w:szCs w:val="21"/>
                    </w:rPr>
                  </w:pPr>
                  <w:r>
                    <w:rPr>
                      <w:bCs/>
                      <w:szCs w:val="21"/>
                    </w:rPr>
                    <w:t>PASG工艺为已建，一体化设备为新建；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90" w:type="pct"/>
                  <w:vMerge w:val="continue"/>
                  <w:noWrap w:val="0"/>
                  <w:vAlign w:val="center"/>
                </w:tcPr>
                <w:p>
                  <w:pPr>
                    <w:tabs>
                      <w:tab w:val="left" w:pos="480"/>
                    </w:tabs>
                    <w:snapToGrid w:val="0"/>
                    <w:jc w:val="center"/>
                    <w:rPr>
                      <w:szCs w:val="21"/>
                    </w:rPr>
                  </w:pPr>
                </w:p>
              </w:tc>
              <w:tc>
                <w:tcPr>
                  <w:tcW w:w="192" w:type="pct"/>
                  <w:vMerge w:val="continue"/>
                  <w:noWrap w:val="0"/>
                  <w:vAlign w:val="center"/>
                </w:tcPr>
                <w:p>
                  <w:pPr>
                    <w:tabs>
                      <w:tab w:val="left" w:pos="480"/>
                    </w:tabs>
                    <w:snapToGrid w:val="0"/>
                    <w:jc w:val="center"/>
                    <w:rPr>
                      <w:szCs w:val="21"/>
                    </w:rPr>
                  </w:pPr>
                </w:p>
              </w:tc>
              <w:tc>
                <w:tcPr>
                  <w:tcW w:w="246" w:type="pct"/>
                  <w:noWrap w:val="0"/>
                  <w:vAlign w:val="center"/>
                </w:tcPr>
                <w:p>
                  <w:pPr>
                    <w:tabs>
                      <w:tab w:val="left" w:pos="480"/>
                    </w:tabs>
                    <w:snapToGrid w:val="0"/>
                    <w:jc w:val="center"/>
                    <w:rPr>
                      <w:szCs w:val="21"/>
                    </w:rPr>
                  </w:pPr>
                  <w:r>
                    <w:rPr>
                      <w:szCs w:val="21"/>
                    </w:rPr>
                    <w:t>消毒</w:t>
                  </w:r>
                </w:p>
              </w:tc>
              <w:tc>
                <w:tcPr>
                  <w:tcW w:w="2559" w:type="pct"/>
                  <w:noWrap w:val="0"/>
                  <w:vAlign w:val="center"/>
                </w:tcPr>
                <w:p>
                  <w:pPr>
                    <w:widowControl/>
                    <w:snapToGrid w:val="0"/>
                    <w:textAlignment w:val="center"/>
                    <w:rPr>
                      <w:kern w:val="0"/>
                      <w:szCs w:val="21"/>
                    </w:rPr>
                  </w:pPr>
                  <w:r>
                    <w:rPr>
                      <w:rFonts w:eastAsia="楷体"/>
                      <w:i/>
                      <w:kern w:val="0"/>
                      <w:szCs w:val="21"/>
                      <w:u w:val="single"/>
                    </w:rPr>
                    <w:t>·清水池：</w:t>
                  </w:r>
                  <w:r>
                    <w:rPr>
                      <w:kern w:val="0"/>
                      <w:szCs w:val="21"/>
                    </w:rPr>
                    <w:t>1座，已建，为现有工艺使用，为接触消毒。</w:t>
                  </w:r>
                </w:p>
                <w:p>
                  <w:pPr>
                    <w:widowControl/>
                    <w:snapToGrid w:val="0"/>
                    <w:textAlignment w:val="center"/>
                    <w:rPr>
                      <w:kern w:val="0"/>
                      <w:szCs w:val="21"/>
                    </w:rPr>
                  </w:pPr>
                  <w:r>
                    <w:rPr>
                      <w:rFonts w:eastAsia="楷体"/>
                      <w:i/>
                      <w:kern w:val="0"/>
                      <w:szCs w:val="21"/>
                      <w:u w:val="single"/>
                    </w:rPr>
                    <w:t>·巴歇尔槽：</w:t>
                  </w:r>
                  <w:r>
                    <w:rPr>
                      <w:kern w:val="0"/>
                      <w:szCs w:val="21"/>
                    </w:rPr>
                    <w:t>1座，利旧。</w:t>
                  </w:r>
                </w:p>
                <w:p>
                  <w:pPr>
                    <w:widowControl/>
                    <w:snapToGrid w:val="0"/>
                    <w:textAlignment w:val="center"/>
                  </w:pPr>
                  <w:r>
                    <w:rPr>
                      <w:rFonts w:eastAsia="楷体"/>
                      <w:i/>
                      <w:kern w:val="0"/>
                      <w:szCs w:val="21"/>
                      <w:u w:val="single"/>
                    </w:rPr>
                    <w:t>·在线监测室：</w:t>
                  </w:r>
                  <w:r>
                    <w:rPr>
                      <w:iCs/>
                      <w:kern w:val="0"/>
                      <w:szCs w:val="21"/>
                    </w:rPr>
                    <w:t>1间，</w:t>
                  </w:r>
                  <w:r>
                    <w:rPr>
                      <w:kern w:val="0"/>
                      <w:szCs w:val="21"/>
                    </w:rPr>
                    <w:t>利旧。</w:t>
                  </w:r>
                  <w:r>
                    <w:t xml:space="preserve"> </w:t>
                  </w:r>
                </w:p>
              </w:tc>
              <w:tc>
                <w:tcPr>
                  <w:tcW w:w="505" w:type="pct"/>
                  <w:vMerge w:val="continue"/>
                  <w:noWrap w:val="0"/>
                  <w:vAlign w:val="center"/>
                </w:tcPr>
                <w:p>
                  <w:pPr>
                    <w:snapToGrid w:val="0"/>
                    <w:jc w:val="center"/>
                    <w:rPr>
                      <w:szCs w:val="21"/>
                    </w:rPr>
                  </w:pPr>
                </w:p>
              </w:tc>
              <w:tc>
                <w:tcPr>
                  <w:tcW w:w="505" w:type="pct"/>
                  <w:vMerge w:val="continue"/>
                  <w:noWrap w:val="0"/>
                  <w:vAlign w:val="center"/>
                </w:tcPr>
                <w:p>
                  <w:pPr>
                    <w:widowControl/>
                    <w:snapToGrid w:val="0"/>
                    <w:jc w:val="center"/>
                    <w:textAlignment w:val="center"/>
                    <w:rPr>
                      <w:bCs/>
                      <w:szCs w:val="21"/>
                    </w:rPr>
                  </w:pPr>
                </w:p>
              </w:tc>
              <w:tc>
                <w:tcPr>
                  <w:tcW w:w="703" w:type="pct"/>
                  <w:noWrap w:val="0"/>
                  <w:vAlign w:val="center"/>
                </w:tcPr>
                <w:p>
                  <w:pPr>
                    <w:widowControl/>
                    <w:snapToGrid w:val="0"/>
                    <w:jc w:val="center"/>
                    <w:textAlignment w:val="center"/>
                    <w:rPr>
                      <w:bCs/>
                      <w:szCs w:val="21"/>
                    </w:rPr>
                  </w:pPr>
                  <w:r>
                    <w:rPr>
                      <w:bCs/>
                      <w:szCs w:val="21"/>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90" w:type="pct"/>
                  <w:vMerge w:val="continue"/>
                  <w:noWrap w:val="0"/>
                  <w:vAlign w:val="center"/>
                </w:tcPr>
                <w:p>
                  <w:pPr>
                    <w:tabs>
                      <w:tab w:val="left" w:pos="480"/>
                    </w:tabs>
                    <w:snapToGrid w:val="0"/>
                    <w:jc w:val="center"/>
                    <w:rPr>
                      <w:szCs w:val="21"/>
                    </w:rPr>
                  </w:pPr>
                </w:p>
              </w:tc>
              <w:tc>
                <w:tcPr>
                  <w:tcW w:w="192" w:type="pct"/>
                  <w:vMerge w:val="continue"/>
                  <w:noWrap w:val="0"/>
                  <w:vAlign w:val="center"/>
                </w:tcPr>
                <w:p>
                  <w:pPr>
                    <w:tabs>
                      <w:tab w:val="left" w:pos="480"/>
                    </w:tabs>
                    <w:snapToGrid w:val="0"/>
                    <w:jc w:val="center"/>
                    <w:rPr>
                      <w:szCs w:val="21"/>
                    </w:rPr>
                  </w:pPr>
                </w:p>
              </w:tc>
              <w:tc>
                <w:tcPr>
                  <w:tcW w:w="246" w:type="pct"/>
                  <w:noWrap w:val="0"/>
                  <w:vAlign w:val="center"/>
                </w:tcPr>
                <w:p>
                  <w:pPr>
                    <w:tabs>
                      <w:tab w:val="left" w:pos="480"/>
                    </w:tabs>
                    <w:snapToGrid w:val="0"/>
                    <w:jc w:val="center"/>
                    <w:rPr>
                      <w:szCs w:val="21"/>
                    </w:rPr>
                  </w:pPr>
                  <w:r>
                    <w:rPr>
                      <w:szCs w:val="21"/>
                    </w:rPr>
                    <w:t>污泥处理</w:t>
                  </w:r>
                </w:p>
              </w:tc>
              <w:tc>
                <w:tcPr>
                  <w:tcW w:w="2559" w:type="pct"/>
                  <w:noWrap w:val="0"/>
                  <w:vAlign w:val="center"/>
                </w:tcPr>
                <w:p>
                  <w:pPr>
                    <w:widowControl/>
                    <w:snapToGrid w:val="0"/>
                    <w:textAlignment w:val="center"/>
                    <w:rPr>
                      <w:kern w:val="0"/>
                      <w:szCs w:val="21"/>
                    </w:rPr>
                  </w:pPr>
                  <w:r>
                    <w:rPr>
                      <w:rFonts w:eastAsia="楷体"/>
                      <w:i/>
                      <w:kern w:val="0"/>
                      <w:szCs w:val="21"/>
                      <w:u w:val="single"/>
                    </w:rPr>
                    <w:t>·储泥池：</w:t>
                  </w:r>
                  <w:r>
                    <w:rPr>
                      <w:kern w:val="0"/>
                      <w:szCs w:val="21"/>
                    </w:rPr>
                    <w:t>1座，利旧。</w:t>
                  </w:r>
                </w:p>
                <w:p>
                  <w:pPr>
                    <w:widowControl/>
                    <w:snapToGrid w:val="0"/>
                    <w:textAlignment w:val="center"/>
                    <w:rPr>
                      <w:rFonts w:eastAsia="楷体"/>
                      <w:i/>
                      <w:kern w:val="0"/>
                      <w:szCs w:val="21"/>
                      <w:u w:val="single"/>
                    </w:rPr>
                  </w:pPr>
                  <w:r>
                    <w:rPr>
                      <w:rFonts w:eastAsia="楷体"/>
                      <w:i/>
                      <w:kern w:val="0"/>
                      <w:szCs w:val="21"/>
                      <w:u w:val="single"/>
                    </w:rPr>
                    <w:t>·污泥脱水间：</w:t>
                  </w:r>
                  <w:r>
                    <w:rPr>
                      <w:iCs/>
                      <w:kern w:val="0"/>
                      <w:szCs w:val="21"/>
                    </w:rPr>
                    <w:t>1座</w:t>
                  </w:r>
                  <w:r>
                    <w:rPr>
                      <w:kern w:val="0"/>
                      <w:szCs w:val="21"/>
                    </w:rPr>
                    <w:t>，已建，更换污泥压滤系统，新增污泥料仓。</w:t>
                  </w:r>
                </w:p>
              </w:tc>
              <w:tc>
                <w:tcPr>
                  <w:tcW w:w="505" w:type="pct"/>
                  <w:vMerge w:val="continue"/>
                  <w:noWrap w:val="0"/>
                  <w:vAlign w:val="center"/>
                </w:tcPr>
                <w:p>
                  <w:pPr>
                    <w:snapToGrid w:val="0"/>
                    <w:jc w:val="center"/>
                    <w:rPr>
                      <w:szCs w:val="21"/>
                    </w:rPr>
                  </w:pPr>
                </w:p>
              </w:tc>
              <w:tc>
                <w:tcPr>
                  <w:tcW w:w="505" w:type="pct"/>
                  <w:vMerge w:val="continue"/>
                  <w:noWrap w:val="0"/>
                  <w:vAlign w:val="center"/>
                </w:tcPr>
                <w:p>
                  <w:pPr>
                    <w:widowControl/>
                    <w:snapToGrid w:val="0"/>
                    <w:jc w:val="center"/>
                    <w:textAlignment w:val="center"/>
                    <w:rPr>
                      <w:bCs/>
                      <w:szCs w:val="21"/>
                    </w:rPr>
                  </w:pPr>
                </w:p>
              </w:tc>
              <w:tc>
                <w:tcPr>
                  <w:tcW w:w="703" w:type="pct"/>
                  <w:noWrap w:val="0"/>
                  <w:vAlign w:val="center"/>
                </w:tcPr>
                <w:p>
                  <w:pPr>
                    <w:widowControl/>
                    <w:snapToGrid w:val="0"/>
                    <w:jc w:val="center"/>
                    <w:textAlignment w:val="center"/>
                    <w:rPr>
                      <w:bCs/>
                      <w:szCs w:val="21"/>
                    </w:rPr>
                  </w:pPr>
                  <w:r>
                    <w:rPr>
                      <w:bCs/>
                      <w:szCs w:val="21"/>
                    </w:rPr>
                    <w:t>已建，污泥脱水间更换污泥压滤设备；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90" w:type="pct"/>
                  <w:noWrap w:val="0"/>
                  <w:vAlign w:val="center"/>
                </w:tcPr>
                <w:p>
                  <w:pPr>
                    <w:tabs>
                      <w:tab w:val="left" w:pos="480"/>
                    </w:tabs>
                    <w:snapToGrid w:val="0"/>
                    <w:jc w:val="center"/>
                    <w:rPr>
                      <w:szCs w:val="21"/>
                    </w:rPr>
                  </w:pPr>
                  <w:r>
                    <w:rPr>
                      <w:szCs w:val="21"/>
                    </w:rPr>
                    <w:t>辅助</w:t>
                  </w:r>
                </w:p>
                <w:p>
                  <w:pPr>
                    <w:tabs>
                      <w:tab w:val="left" w:pos="480"/>
                    </w:tabs>
                    <w:snapToGrid w:val="0"/>
                    <w:jc w:val="center"/>
                    <w:rPr>
                      <w:szCs w:val="21"/>
                    </w:rPr>
                  </w:pPr>
                  <w:r>
                    <w:rPr>
                      <w:szCs w:val="21"/>
                    </w:rPr>
                    <w:t>工程</w:t>
                  </w:r>
                </w:p>
              </w:tc>
              <w:tc>
                <w:tcPr>
                  <w:tcW w:w="438" w:type="pct"/>
                  <w:gridSpan w:val="2"/>
                  <w:noWrap w:val="0"/>
                  <w:vAlign w:val="center"/>
                </w:tcPr>
                <w:p>
                  <w:pPr>
                    <w:tabs>
                      <w:tab w:val="left" w:pos="480"/>
                    </w:tabs>
                    <w:snapToGrid w:val="0"/>
                    <w:jc w:val="center"/>
                    <w:rPr>
                      <w:szCs w:val="21"/>
                    </w:rPr>
                  </w:pPr>
                  <w:r>
                    <w:rPr>
                      <w:szCs w:val="21"/>
                    </w:rPr>
                    <w:t>综合用房</w:t>
                  </w:r>
                </w:p>
              </w:tc>
              <w:tc>
                <w:tcPr>
                  <w:tcW w:w="2559" w:type="pct"/>
                  <w:noWrap w:val="0"/>
                  <w:vAlign w:val="center"/>
                </w:tcPr>
                <w:p>
                  <w:pPr>
                    <w:widowControl/>
                    <w:snapToGrid w:val="0"/>
                    <w:textAlignment w:val="center"/>
                    <w:rPr>
                      <w:kern w:val="0"/>
                      <w:szCs w:val="21"/>
                    </w:rPr>
                  </w:pPr>
                  <w:r>
                    <w:rPr>
                      <w:kern w:val="0"/>
                      <w:szCs w:val="21"/>
                    </w:rPr>
                    <w:t>1座，已建，单层砖混结构房屋，层高3.5m，建筑面积148.95m</w:t>
                  </w:r>
                  <w:r>
                    <w:rPr>
                      <w:kern w:val="0"/>
                      <w:szCs w:val="21"/>
                      <w:vertAlign w:val="superscript"/>
                    </w:rPr>
                    <w:t>2</w:t>
                  </w:r>
                  <w:r>
                    <w:rPr>
                      <w:kern w:val="0"/>
                      <w:szCs w:val="21"/>
                    </w:rPr>
                    <w:t>。设有柴油发电机房、控制室、值班室、风机房加药房、原料仓库、二氧化氯消毒室、卫生间等。柴油发电机房新增1台发电机，加药间新增1套加药系统。</w:t>
                  </w:r>
                </w:p>
              </w:tc>
              <w:tc>
                <w:tcPr>
                  <w:tcW w:w="505" w:type="pct"/>
                  <w:vMerge w:val="continue"/>
                  <w:noWrap w:val="0"/>
                  <w:vAlign w:val="center"/>
                </w:tcPr>
                <w:p>
                  <w:pPr>
                    <w:snapToGrid w:val="0"/>
                    <w:jc w:val="center"/>
                    <w:rPr>
                      <w:szCs w:val="21"/>
                    </w:rPr>
                  </w:pPr>
                </w:p>
              </w:tc>
              <w:tc>
                <w:tcPr>
                  <w:tcW w:w="505" w:type="pct"/>
                  <w:noWrap w:val="0"/>
                  <w:vAlign w:val="center"/>
                </w:tcPr>
                <w:p>
                  <w:pPr>
                    <w:widowControl/>
                    <w:snapToGrid w:val="0"/>
                    <w:jc w:val="center"/>
                    <w:textAlignment w:val="center"/>
                    <w:rPr>
                      <w:bCs/>
                      <w:szCs w:val="21"/>
                    </w:rPr>
                  </w:pPr>
                  <w:r>
                    <w:rPr>
                      <w:szCs w:val="21"/>
                    </w:rPr>
                    <w:t>在线监测废液</w:t>
                  </w:r>
                </w:p>
              </w:tc>
              <w:tc>
                <w:tcPr>
                  <w:tcW w:w="703" w:type="pct"/>
                  <w:noWrap w:val="0"/>
                  <w:vAlign w:val="center"/>
                </w:tcPr>
                <w:p>
                  <w:pPr>
                    <w:widowControl/>
                    <w:snapToGrid w:val="0"/>
                    <w:jc w:val="center"/>
                    <w:textAlignment w:val="center"/>
                    <w:rPr>
                      <w:bCs/>
                      <w:szCs w:val="21"/>
                    </w:rPr>
                  </w:pPr>
                  <w:r>
                    <w:rPr>
                      <w:bCs/>
                      <w:szCs w:val="21"/>
                    </w:rPr>
                    <w:t>已建，新增柴油发电机、加药系统。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90" w:type="pct"/>
                  <w:vMerge w:val="restart"/>
                  <w:noWrap w:val="0"/>
                  <w:vAlign w:val="center"/>
                </w:tcPr>
                <w:p>
                  <w:pPr>
                    <w:tabs>
                      <w:tab w:val="left" w:pos="480"/>
                    </w:tabs>
                    <w:snapToGrid w:val="0"/>
                    <w:jc w:val="center"/>
                    <w:rPr>
                      <w:szCs w:val="21"/>
                    </w:rPr>
                  </w:pPr>
                  <w:r>
                    <w:rPr>
                      <w:szCs w:val="21"/>
                    </w:rPr>
                    <w:t>公辅</w:t>
                  </w:r>
                </w:p>
                <w:p>
                  <w:pPr>
                    <w:tabs>
                      <w:tab w:val="left" w:pos="480"/>
                    </w:tabs>
                    <w:snapToGrid w:val="0"/>
                    <w:jc w:val="center"/>
                    <w:rPr>
                      <w:szCs w:val="21"/>
                    </w:rPr>
                  </w:pPr>
                  <w:r>
                    <w:rPr>
                      <w:szCs w:val="21"/>
                    </w:rPr>
                    <w:t>工程</w:t>
                  </w:r>
                </w:p>
              </w:tc>
              <w:tc>
                <w:tcPr>
                  <w:tcW w:w="438" w:type="pct"/>
                  <w:gridSpan w:val="2"/>
                  <w:noWrap w:val="0"/>
                  <w:vAlign w:val="center"/>
                </w:tcPr>
                <w:p>
                  <w:pPr>
                    <w:tabs>
                      <w:tab w:val="left" w:pos="480"/>
                    </w:tabs>
                    <w:snapToGrid w:val="0"/>
                    <w:jc w:val="center"/>
                    <w:rPr>
                      <w:szCs w:val="21"/>
                    </w:rPr>
                  </w:pPr>
                  <w:r>
                    <w:rPr>
                      <w:szCs w:val="21"/>
                    </w:rPr>
                    <w:t>供水</w:t>
                  </w:r>
                </w:p>
              </w:tc>
              <w:tc>
                <w:tcPr>
                  <w:tcW w:w="2559" w:type="pct"/>
                  <w:noWrap w:val="0"/>
                  <w:vAlign w:val="center"/>
                </w:tcPr>
                <w:p>
                  <w:pPr>
                    <w:tabs>
                      <w:tab w:val="left" w:pos="480"/>
                    </w:tabs>
                    <w:snapToGrid w:val="0"/>
                    <w:rPr>
                      <w:szCs w:val="21"/>
                    </w:rPr>
                  </w:pPr>
                  <w:r>
                    <w:rPr>
                      <w:szCs w:val="21"/>
                    </w:rPr>
                    <w:t>已建，由市政供水管网接入，厂区内给水干管呈环状布置，供厂内消防和生活用水。</w:t>
                  </w:r>
                </w:p>
              </w:tc>
              <w:tc>
                <w:tcPr>
                  <w:tcW w:w="505" w:type="pct"/>
                  <w:vMerge w:val="continue"/>
                  <w:noWrap w:val="0"/>
                  <w:vAlign w:val="center"/>
                </w:tcPr>
                <w:p>
                  <w:pPr>
                    <w:tabs>
                      <w:tab w:val="left" w:pos="480"/>
                    </w:tabs>
                    <w:snapToGrid w:val="0"/>
                    <w:jc w:val="left"/>
                    <w:rPr>
                      <w:szCs w:val="21"/>
                    </w:rPr>
                  </w:pPr>
                </w:p>
              </w:tc>
              <w:tc>
                <w:tcPr>
                  <w:tcW w:w="505" w:type="pct"/>
                  <w:noWrap w:val="0"/>
                  <w:vAlign w:val="center"/>
                </w:tcPr>
                <w:p>
                  <w:pPr>
                    <w:tabs>
                      <w:tab w:val="left" w:pos="480"/>
                    </w:tabs>
                    <w:snapToGrid w:val="0"/>
                    <w:jc w:val="center"/>
                    <w:rPr>
                      <w:szCs w:val="21"/>
                    </w:rPr>
                  </w:pPr>
                  <w:r>
                    <w:rPr>
                      <w:szCs w:val="21"/>
                    </w:rPr>
                    <w:t>--</w:t>
                  </w:r>
                </w:p>
              </w:tc>
              <w:tc>
                <w:tcPr>
                  <w:tcW w:w="703" w:type="pct"/>
                  <w:noWrap w:val="0"/>
                  <w:vAlign w:val="center"/>
                </w:tcPr>
                <w:p>
                  <w:pPr>
                    <w:tabs>
                      <w:tab w:val="left" w:pos="480"/>
                    </w:tabs>
                    <w:snapToGrid w:val="0"/>
                    <w:jc w:val="center"/>
                    <w:rPr>
                      <w:szCs w:val="21"/>
                    </w:rPr>
                  </w:pPr>
                  <w:r>
                    <w:rPr>
                      <w:szCs w:val="21"/>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90" w:type="pct"/>
                  <w:vMerge w:val="continue"/>
                  <w:noWrap w:val="0"/>
                  <w:vAlign w:val="center"/>
                </w:tcPr>
                <w:p>
                  <w:pPr>
                    <w:tabs>
                      <w:tab w:val="left" w:pos="480"/>
                    </w:tabs>
                    <w:snapToGrid w:val="0"/>
                    <w:jc w:val="center"/>
                    <w:rPr>
                      <w:szCs w:val="21"/>
                    </w:rPr>
                  </w:pPr>
                </w:p>
              </w:tc>
              <w:tc>
                <w:tcPr>
                  <w:tcW w:w="438" w:type="pct"/>
                  <w:gridSpan w:val="2"/>
                  <w:noWrap w:val="0"/>
                  <w:vAlign w:val="center"/>
                </w:tcPr>
                <w:p>
                  <w:pPr>
                    <w:tabs>
                      <w:tab w:val="left" w:pos="480"/>
                    </w:tabs>
                    <w:snapToGrid w:val="0"/>
                    <w:jc w:val="center"/>
                    <w:rPr>
                      <w:szCs w:val="21"/>
                    </w:rPr>
                  </w:pPr>
                  <w:r>
                    <w:rPr>
                      <w:szCs w:val="21"/>
                    </w:rPr>
                    <w:t>供电</w:t>
                  </w:r>
                </w:p>
              </w:tc>
              <w:tc>
                <w:tcPr>
                  <w:tcW w:w="2559" w:type="pct"/>
                  <w:noWrap w:val="0"/>
                  <w:vAlign w:val="center"/>
                </w:tcPr>
                <w:p>
                  <w:pPr>
                    <w:widowControl/>
                    <w:snapToGrid w:val="0"/>
                    <w:textAlignment w:val="center"/>
                  </w:pPr>
                  <w:r>
                    <w:rPr>
                      <w:szCs w:val="21"/>
                    </w:rPr>
                    <w:t>已建，箱变配电房1间（新增1套变压器），由当地供电局提供1路10kV线路，作为污水厂主供电电源。在综合用房内配置一台柴油发电机，作为备用电源（新增1台柴油发电机）。</w:t>
                  </w:r>
                </w:p>
              </w:tc>
              <w:tc>
                <w:tcPr>
                  <w:tcW w:w="505" w:type="pct"/>
                  <w:vMerge w:val="continue"/>
                  <w:noWrap w:val="0"/>
                  <w:vAlign w:val="center"/>
                </w:tcPr>
                <w:p>
                  <w:pPr>
                    <w:tabs>
                      <w:tab w:val="left" w:pos="480"/>
                    </w:tabs>
                    <w:snapToGrid w:val="0"/>
                    <w:jc w:val="left"/>
                    <w:rPr>
                      <w:szCs w:val="21"/>
                    </w:rPr>
                  </w:pPr>
                </w:p>
              </w:tc>
              <w:tc>
                <w:tcPr>
                  <w:tcW w:w="505" w:type="pct"/>
                  <w:noWrap w:val="0"/>
                  <w:vAlign w:val="center"/>
                </w:tcPr>
                <w:p>
                  <w:pPr>
                    <w:tabs>
                      <w:tab w:val="left" w:pos="480"/>
                    </w:tabs>
                    <w:snapToGrid w:val="0"/>
                    <w:jc w:val="center"/>
                    <w:rPr>
                      <w:szCs w:val="21"/>
                    </w:rPr>
                  </w:pPr>
                  <w:r>
                    <w:rPr>
                      <w:szCs w:val="21"/>
                    </w:rPr>
                    <w:t>--</w:t>
                  </w:r>
                </w:p>
              </w:tc>
              <w:tc>
                <w:tcPr>
                  <w:tcW w:w="703" w:type="pct"/>
                  <w:noWrap w:val="0"/>
                  <w:vAlign w:val="center"/>
                </w:tcPr>
                <w:p>
                  <w:pPr>
                    <w:tabs>
                      <w:tab w:val="left" w:pos="480"/>
                    </w:tabs>
                    <w:snapToGrid w:val="0"/>
                    <w:jc w:val="center"/>
                    <w:rPr>
                      <w:szCs w:val="21"/>
                    </w:rPr>
                  </w:pPr>
                  <w:r>
                    <w:rPr>
                      <w:szCs w:val="21"/>
                    </w:rPr>
                    <w:t>已建，新增柴油发电机，增加变压器；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90" w:type="pct"/>
                  <w:vMerge w:val="continue"/>
                  <w:noWrap w:val="0"/>
                  <w:vAlign w:val="center"/>
                </w:tcPr>
                <w:p>
                  <w:pPr>
                    <w:tabs>
                      <w:tab w:val="left" w:pos="480"/>
                    </w:tabs>
                    <w:snapToGrid w:val="0"/>
                    <w:jc w:val="center"/>
                    <w:rPr>
                      <w:szCs w:val="21"/>
                    </w:rPr>
                  </w:pPr>
                </w:p>
              </w:tc>
              <w:tc>
                <w:tcPr>
                  <w:tcW w:w="438" w:type="pct"/>
                  <w:gridSpan w:val="2"/>
                  <w:noWrap w:val="0"/>
                  <w:vAlign w:val="center"/>
                </w:tcPr>
                <w:p>
                  <w:pPr>
                    <w:tabs>
                      <w:tab w:val="left" w:pos="480"/>
                    </w:tabs>
                    <w:snapToGrid w:val="0"/>
                    <w:jc w:val="center"/>
                    <w:rPr>
                      <w:szCs w:val="21"/>
                    </w:rPr>
                  </w:pPr>
                  <w:r>
                    <w:rPr>
                      <w:szCs w:val="21"/>
                    </w:rPr>
                    <w:t>排水</w:t>
                  </w:r>
                </w:p>
              </w:tc>
              <w:tc>
                <w:tcPr>
                  <w:tcW w:w="2559" w:type="pct"/>
                  <w:noWrap w:val="0"/>
                  <w:vAlign w:val="center"/>
                </w:tcPr>
                <w:p>
                  <w:pPr>
                    <w:tabs>
                      <w:tab w:val="left" w:pos="480"/>
                    </w:tabs>
                    <w:snapToGrid w:val="0"/>
                    <w:rPr>
                      <w:szCs w:val="21"/>
                    </w:rPr>
                  </w:pPr>
                  <w:r>
                    <w:rPr>
                      <w:szCs w:val="21"/>
                    </w:rPr>
                    <w:t>采取雨污分流制</w:t>
                  </w:r>
                </w:p>
                <w:p>
                  <w:pPr>
                    <w:tabs>
                      <w:tab w:val="left" w:pos="480"/>
                    </w:tabs>
                    <w:snapToGrid w:val="0"/>
                    <w:rPr>
                      <w:szCs w:val="21"/>
                    </w:rPr>
                  </w:pPr>
                  <w:r>
                    <w:rPr>
                      <w:szCs w:val="21"/>
                    </w:rPr>
                    <w:t>·雨水排入道路雨水管网</w:t>
                  </w:r>
                </w:p>
                <w:p>
                  <w:pPr>
                    <w:tabs>
                      <w:tab w:val="left" w:pos="480"/>
                    </w:tabs>
                    <w:snapToGrid w:val="0"/>
                    <w:rPr>
                      <w:szCs w:val="21"/>
                    </w:rPr>
                  </w:pPr>
                  <w:r>
                    <w:rPr>
                      <w:szCs w:val="21"/>
                    </w:rPr>
                    <w:t>·厂区生活污水与入厂污水一同处理达标后排放</w:t>
                  </w:r>
                </w:p>
              </w:tc>
              <w:tc>
                <w:tcPr>
                  <w:tcW w:w="505" w:type="pct"/>
                  <w:vMerge w:val="continue"/>
                  <w:noWrap w:val="0"/>
                  <w:vAlign w:val="center"/>
                </w:tcPr>
                <w:p>
                  <w:pPr>
                    <w:tabs>
                      <w:tab w:val="left" w:pos="480"/>
                    </w:tabs>
                    <w:snapToGrid w:val="0"/>
                    <w:jc w:val="left"/>
                    <w:rPr>
                      <w:szCs w:val="21"/>
                    </w:rPr>
                  </w:pPr>
                </w:p>
              </w:tc>
              <w:tc>
                <w:tcPr>
                  <w:tcW w:w="505" w:type="pct"/>
                  <w:noWrap w:val="0"/>
                  <w:vAlign w:val="center"/>
                </w:tcPr>
                <w:p>
                  <w:pPr>
                    <w:tabs>
                      <w:tab w:val="left" w:pos="480"/>
                    </w:tabs>
                    <w:snapToGrid w:val="0"/>
                    <w:jc w:val="center"/>
                    <w:rPr>
                      <w:szCs w:val="21"/>
                    </w:rPr>
                  </w:pPr>
                  <w:r>
                    <w:rPr>
                      <w:szCs w:val="21"/>
                    </w:rPr>
                    <w:t>--</w:t>
                  </w:r>
                </w:p>
              </w:tc>
              <w:tc>
                <w:tcPr>
                  <w:tcW w:w="703" w:type="pct"/>
                  <w:noWrap w:val="0"/>
                  <w:vAlign w:val="center"/>
                </w:tcPr>
                <w:p>
                  <w:pPr>
                    <w:tabs>
                      <w:tab w:val="left" w:pos="480"/>
                    </w:tabs>
                    <w:snapToGrid w:val="0"/>
                    <w:jc w:val="center"/>
                    <w:rPr>
                      <w:szCs w:val="21"/>
                    </w:rPr>
                  </w:pPr>
                  <w:r>
                    <w:rPr>
                      <w:szCs w:val="21"/>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90" w:type="pct"/>
                  <w:vMerge w:val="restart"/>
                  <w:noWrap w:val="0"/>
                  <w:vAlign w:val="center"/>
                </w:tcPr>
                <w:p>
                  <w:pPr>
                    <w:tabs>
                      <w:tab w:val="left" w:pos="480"/>
                    </w:tabs>
                    <w:snapToGrid w:val="0"/>
                    <w:jc w:val="center"/>
                    <w:rPr>
                      <w:szCs w:val="21"/>
                    </w:rPr>
                  </w:pPr>
                  <w:r>
                    <w:rPr>
                      <w:szCs w:val="21"/>
                    </w:rPr>
                    <w:t>环保</w:t>
                  </w:r>
                </w:p>
                <w:p>
                  <w:pPr>
                    <w:tabs>
                      <w:tab w:val="left" w:pos="480"/>
                    </w:tabs>
                    <w:snapToGrid w:val="0"/>
                    <w:jc w:val="center"/>
                    <w:rPr>
                      <w:szCs w:val="21"/>
                    </w:rPr>
                  </w:pPr>
                  <w:r>
                    <w:rPr>
                      <w:szCs w:val="21"/>
                    </w:rPr>
                    <w:t>工程</w:t>
                  </w:r>
                </w:p>
              </w:tc>
              <w:tc>
                <w:tcPr>
                  <w:tcW w:w="438" w:type="pct"/>
                  <w:gridSpan w:val="2"/>
                  <w:vMerge w:val="restart"/>
                  <w:noWrap w:val="0"/>
                  <w:vAlign w:val="center"/>
                </w:tcPr>
                <w:p>
                  <w:pPr>
                    <w:tabs>
                      <w:tab w:val="left" w:pos="480"/>
                    </w:tabs>
                    <w:snapToGrid w:val="0"/>
                    <w:jc w:val="center"/>
                    <w:rPr>
                      <w:szCs w:val="21"/>
                    </w:rPr>
                  </w:pPr>
                  <w:r>
                    <w:rPr>
                      <w:szCs w:val="21"/>
                    </w:rPr>
                    <w:t>废气工程</w:t>
                  </w:r>
                </w:p>
              </w:tc>
              <w:tc>
                <w:tcPr>
                  <w:tcW w:w="2559" w:type="pct"/>
                  <w:noWrap w:val="0"/>
                  <w:vAlign w:val="center"/>
                </w:tcPr>
                <w:p>
                  <w:pPr>
                    <w:tabs>
                      <w:tab w:val="left" w:pos="480"/>
                    </w:tabs>
                    <w:snapToGrid w:val="0"/>
                    <w:rPr>
                      <w:szCs w:val="21"/>
                    </w:rPr>
                  </w:pPr>
                  <w:r>
                    <w:rPr>
                      <w:szCs w:val="21"/>
                    </w:rPr>
                    <w:t>密闭产生恶臭的区域，采用机械抽风、自然补风的方式收集恶臭污染物；恶臭污染物经喷淋塔（碱液）除臭系统处理达标后经15m高排气筒排放。</w:t>
                  </w:r>
                </w:p>
              </w:tc>
              <w:tc>
                <w:tcPr>
                  <w:tcW w:w="505" w:type="pct"/>
                  <w:vMerge w:val="continue"/>
                  <w:noWrap w:val="0"/>
                  <w:vAlign w:val="center"/>
                </w:tcPr>
                <w:p>
                  <w:pPr>
                    <w:tabs>
                      <w:tab w:val="left" w:pos="480"/>
                    </w:tabs>
                    <w:snapToGrid w:val="0"/>
                    <w:jc w:val="left"/>
                    <w:rPr>
                      <w:szCs w:val="21"/>
                    </w:rPr>
                  </w:pPr>
                </w:p>
              </w:tc>
              <w:tc>
                <w:tcPr>
                  <w:tcW w:w="505" w:type="pct"/>
                  <w:noWrap w:val="0"/>
                  <w:vAlign w:val="center"/>
                </w:tcPr>
                <w:p>
                  <w:pPr>
                    <w:widowControl/>
                    <w:snapToGrid w:val="0"/>
                    <w:jc w:val="center"/>
                    <w:textAlignment w:val="center"/>
                    <w:rPr>
                      <w:bCs/>
                      <w:szCs w:val="21"/>
                    </w:rPr>
                  </w:pPr>
                  <w:r>
                    <w:rPr>
                      <w:szCs w:val="21"/>
                    </w:rPr>
                    <w:t>噪声</w:t>
                  </w:r>
                </w:p>
              </w:tc>
              <w:tc>
                <w:tcPr>
                  <w:tcW w:w="703" w:type="pct"/>
                  <w:noWrap w:val="0"/>
                  <w:vAlign w:val="center"/>
                </w:tcPr>
                <w:p>
                  <w:pPr>
                    <w:widowControl/>
                    <w:snapToGrid w:val="0"/>
                    <w:jc w:val="center"/>
                    <w:textAlignment w:val="center"/>
                    <w:rPr>
                      <w:szCs w:val="21"/>
                    </w:rPr>
                  </w:pPr>
                  <w:r>
                    <w:rPr>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90" w:type="pct"/>
                  <w:vMerge w:val="continue"/>
                  <w:noWrap w:val="0"/>
                  <w:vAlign w:val="center"/>
                </w:tcPr>
                <w:p>
                  <w:pPr>
                    <w:tabs>
                      <w:tab w:val="left" w:pos="480"/>
                    </w:tabs>
                    <w:snapToGrid w:val="0"/>
                    <w:jc w:val="center"/>
                    <w:rPr>
                      <w:szCs w:val="21"/>
                    </w:rPr>
                  </w:pPr>
                </w:p>
              </w:tc>
              <w:tc>
                <w:tcPr>
                  <w:tcW w:w="438" w:type="pct"/>
                  <w:gridSpan w:val="2"/>
                  <w:vMerge w:val="continue"/>
                  <w:noWrap w:val="0"/>
                  <w:vAlign w:val="center"/>
                </w:tcPr>
                <w:p>
                  <w:pPr>
                    <w:tabs>
                      <w:tab w:val="left" w:pos="480"/>
                    </w:tabs>
                    <w:snapToGrid w:val="0"/>
                    <w:jc w:val="center"/>
                    <w:rPr>
                      <w:szCs w:val="21"/>
                    </w:rPr>
                  </w:pPr>
                </w:p>
              </w:tc>
              <w:tc>
                <w:tcPr>
                  <w:tcW w:w="2559" w:type="pct"/>
                  <w:noWrap w:val="0"/>
                  <w:vAlign w:val="center"/>
                </w:tcPr>
                <w:p>
                  <w:pPr>
                    <w:tabs>
                      <w:tab w:val="left" w:pos="480"/>
                    </w:tabs>
                    <w:snapToGrid w:val="0"/>
                    <w:rPr>
                      <w:szCs w:val="21"/>
                    </w:rPr>
                  </w:pPr>
                  <w:r>
                    <w:rPr>
                      <w:szCs w:val="21"/>
                    </w:rPr>
                    <w:t>柴油发电机产生的废气经自带的消烟除尘装置处理后，经专用烟道高空排放。</w:t>
                  </w:r>
                </w:p>
              </w:tc>
              <w:tc>
                <w:tcPr>
                  <w:tcW w:w="505" w:type="pct"/>
                  <w:vMerge w:val="continue"/>
                  <w:noWrap w:val="0"/>
                  <w:vAlign w:val="center"/>
                </w:tcPr>
                <w:p>
                  <w:pPr>
                    <w:tabs>
                      <w:tab w:val="left" w:pos="480"/>
                    </w:tabs>
                    <w:snapToGrid w:val="0"/>
                    <w:jc w:val="left"/>
                    <w:rPr>
                      <w:szCs w:val="21"/>
                    </w:rPr>
                  </w:pPr>
                </w:p>
              </w:tc>
              <w:tc>
                <w:tcPr>
                  <w:tcW w:w="505" w:type="pct"/>
                  <w:noWrap w:val="0"/>
                  <w:vAlign w:val="center"/>
                </w:tcPr>
                <w:p>
                  <w:pPr>
                    <w:widowControl/>
                    <w:snapToGrid w:val="0"/>
                    <w:jc w:val="center"/>
                    <w:textAlignment w:val="center"/>
                    <w:rPr>
                      <w:bCs/>
                      <w:szCs w:val="21"/>
                    </w:rPr>
                  </w:pPr>
                  <w:r>
                    <w:rPr>
                      <w:szCs w:val="21"/>
                    </w:rPr>
                    <w:t>--</w:t>
                  </w:r>
                </w:p>
              </w:tc>
              <w:tc>
                <w:tcPr>
                  <w:tcW w:w="703" w:type="pct"/>
                  <w:noWrap w:val="0"/>
                  <w:vAlign w:val="center"/>
                </w:tcPr>
                <w:p>
                  <w:pPr>
                    <w:widowControl/>
                    <w:snapToGrid w:val="0"/>
                    <w:jc w:val="center"/>
                    <w:textAlignment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90" w:type="pct"/>
                  <w:vMerge w:val="continue"/>
                  <w:noWrap w:val="0"/>
                  <w:vAlign w:val="center"/>
                </w:tcPr>
                <w:p>
                  <w:pPr>
                    <w:tabs>
                      <w:tab w:val="left" w:pos="480"/>
                    </w:tabs>
                    <w:snapToGrid w:val="0"/>
                    <w:jc w:val="center"/>
                    <w:rPr>
                      <w:szCs w:val="21"/>
                    </w:rPr>
                  </w:pPr>
                </w:p>
              </w:tc>
              <w:tc>
                <w:tcPr>
                  <w:tcW w:w="438" w:type="pct"/>
                  <w:gridSpan w:val="2"/>
                  <w:noWrap w:val="0"/>
                  <w:vAlign w:val="center"/>
                </w:tcPr>
                <w:p>
                  <w:pPr>
                    <w:tabs>
                      <w:tab w:val="left" w:pos="480"/>
                    </w:tabs>
                    <w:snapToGrid w:val="0"/>
                    <w:jc w:val="center"/>
                    <w:rPr>
                      <w:szCs w:val="21"/>
                    </w:rPr>
                  </w:pPr>
                  <w:r>
                    <w:rPr>
                      <w:szCs w:val="21"/>
                    </w:rPr>
                    <w:t>废水工程</w:t>
                  </w:r>
                </w:p>
              </w:tc>
              <w:tc>
                <w:tcPr>
                  <w:tcW w:w="2559" w:type="pct"/>
                  <w:noWrap w:val="0"/>
                  <w:vAlign w:val="center"/>
                </w:tcPr>
                <w:p>
                  <w:pPr>
                    <w:tabs>
                      <w:tab w:val="left" w:pos="480"/>
                    </w:tabs>
                    <w:snapToGrid w:val="0"/>
                    <w:rPr>
                      <w:szCs w:val="21"/>
                    </w:rPr>
                  </w:pPr>
                  <w:r>
                    <w:rPr>
                      <w:szCs w:val="21"/>
                    </w:rPr>
                    <w:t>员工产生的生活污水与生产废水一起排入格栅池处同进厂污水一起进行处理。</w:t>
                  </w:r>
                </w:p>
              </w:tc>
              <w:tc>
                <w:tcPr>
                  <w:tcW w:w="505" w:type="pct"/>
                  <w:vMerge w:val="continue"/>
                  <w:noWrap w:val="0"/>
                  <w:vAlign w:val="center"/>
                </w:tcPr>
                <w:p>
                  <w:pPr>
                    <w:tabs>
                      <w:tab w:val="left" w:pos="480"/>
                    </w:tabs>
                    <w:snapToGrid w:val="0"/>
                    <w:jc w:val="left"/>
                    <w:rPr>
                      <w:szCs w:val="21"/>
                    </w:rPr>
                  </w:pPr>
                </w:p>
              </w:tc>
              <w:tc>
                <w:tcPr>
                  <w:tcW w:w="505" w:type="pct"/>
                  <w:noWrap w:val="0"/>
                  <w:vAlign w:val="center"/>
                </w:tcPr>
                <w:p>
                  <w:pPr>
                    <w:widowControl/>
                    <w:snapToGrid w:val="0"/>
                    <w:jc w:val="center"/>
                    <w:textAlignment w:val="center"/>
                    <w:rPr>
                      <w:szCs w:val="21"/>
                    </w:rPr>
                  </w:pPr>
                  <w:r>
                    <w:rPr>
                      <w:szCs w:val="21"/>
                    </w:rPr>
                    <w:t>--</w:t>
                  </w:r>
                </w:p>
              </w:tc>
              <w:tc>
                <w:tcPr>
                  <w:tcW w:w="703" w:type="pct"/>
                  <w:noWrap w:val="0"/>
                  <w:vAlign w:val="center"/>
                </w:tcPr>
                <w:p>
                  <w:pPr>
                    <w:widowControl/>
                    <w:snapToGrid w:val="0"/>
                    <w:jc w:val="center"/>
                    <w:textAlignment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90" w:type="pct"/>
                  <w:vMerge w:val="continue"/>
                  <w:noWrap w:val="0"/>
                  <w:vAlign w:val="center"/>
                </w:tcPr>
                <w:p>
                  <w:pPr>
                    <w:tabs>
                      <w:tab w:val="left" w:pos="480"/>
                    </w:tabs>
                    <w:snapToGrid w:val="0"/>
                    <w:jc w:val="center"/>
                    <w:rPr>
                      <w:szCs w:val="21"/>
                    </w:rPr>
                  </w:pPr>
                </w:p>
              </w:tc>
              <w:tc>
                <w:tcPr>
                  <w:tcW w:w="438" w:type="pct"/>
                  <w:gridSpan w:val="2"/>
                  <w:noWrap w:val="0"/>
                  <w:vAlign w:val="center"/>
                </w:tcPr>
                <w:p>
                  <w:pPr>
                    <w:tabs>
                      <w:tab w:val="left" w:pos="480"/>
                    </w:tabs>
                    <w:snapToGrid w:val="0"/>
                    <w:jc w:val="center"/>
                    <w:rPr>
                      <w:szCs w:val="21"/>
                    </w:rPr>
                  </w:pPr>
                  <w:r>
                    <w:rPr>
                      <w:szCs w:val="21"/>
                    </w:rPr>
                    <w:t>降噪工程</w:t>
                  </w:r>
                </w:p>
              </w:tc>
              <w:tc>
                <w:tcPr>
                  <w:tcW w:w="2559" w:type="pct"/>
                  <w:noWrap w:val="0"/>
                  <w:vAlign w:val="center"/>
                </w:tcPr>
                <w:p>
                  <w:pPr>
                    <w:tabs>
                      <w:tab w:val="left" w:pos="480"/>
                    </w:tabs>
                    <w:snapToGrid w:val="0"/>
                    <w:rPr>
                      <w:szCs w:val="21"/>
                    </w:rPr>
                  </w:pPr>
                  <w:r>
                    <w:rPr>
                      <w:szCs w:val="21"/>
                    </w:rPr>
                    <w:t>产噪设备经基础减振、消声、隔声等措施降噪。</w:t>
                  </w:r>
                </w:p>
              </w:tc>
              <w:tc>
                <w:tcPr>
                  <w:tcW w:w="505" w:type="pct"/>
                  <w:vMerge w:val="continue"/>
                  <w:noWrap w:val="0"/>
                  <w:vAlign w:val="center"/>
                </w:tcPr>
                <w:p>
                  <w:pPr>
                    <w:tabs>
                      <w:tab w:val="left" w:pos="480"/>
                    </w:tabs>
                    <w:snapToGrid w:val="0"/>
                    <w:jc w:val="left"/>
                    <w:rPr>
                      <w:szCs w:val="21"/>
                    </w:rPr>
                  </w:pPr>
                </w:p>
              </w:tc>
              <w:tc>
                <w:tcPr>
                  <w:tcW w:w="505" w:type="pct"/>
                  <w:noWrap w:val="0"/>
                  <w:vAlign w:val="center"/>
                </w:tcPr>
                <w:p>
                  <w:pPr>
                    <w:tabs>
                      <w:tab w:val="left" w:pos="480"/>
                    </w:tabs>
                    <w:snapToGrid w:val="0"/>
                    <w:jc w:val="center"/>
                    <w:rPr>
                      <w:szCs w:val="21"/>
                    </w:rPr>
                  </w:pPr>
                  <w:r>
                    <w:rPr>
                      <w:szCs w:val="21"/>
                    </w:rPr>
                    <w:t>--</w:t>
                  </w:r>
                </w:p>
              </w:tc>
              <w:tc>
                <w:tcPr>
                  <w:tcW w:w="703" w:type="pct"/>
                  <w:noWrap w:val="0"/>
                  <w:vAlign w:val="center"/>
                </w:tcPr>
                <w:p>
                  <w:pPr>
                    <w:tabs>
                      <w:tab w:val="left" w:pos="480"/>
                    </w:tabs>
                    <w:snapToGrid w:val="0"/>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90" w:type="pct"/>
                  <w:vMerge w:val="continue"/>
                  <w:noWrap w:val="0"/>
                  <w:vAlign w:val="center"/>
                </w:tcPr>
                <w:p>
                  <w:pPr>
                    <w:tabs>
                      <w:tab w:val="left" w:pos="480"/>
                    </w:tabs>
                    <w:snapToGrid w:val="0"/>
                    <w:jc w:val="center"/>
                    <w:rPr>
                      <w:szCs w:val="21"/>
                    </w:rPr>
                  </w:pPr>
                </w:p>
              </w:tc>
              <w:tc>
                <w:tcPr>
                  <w:tcW w:w="438" w:type="pct"/>
                  <w:gridSpan w:val="2"/>
                  <w:noWrap w:val="0"/>
                  <w:vAlign w:val="center"/>
                </w:tcPr>
                <w:p>
                  <w:pPr>
                    <w:tabs>
                      <w:tab w:val="left" w:pos="480"/>
                    </w:tabs>
                    <w:snapToGrid w:val="0"/>
                    <w:jc w:val="center"/>
                    <w:rPr>
                      <w:szCs w:val="21"/>
                    </w:rPr>
                  </w:pPr>
                  <w:r>
                    <w:rPr>
                      <w:szCs w:val="21"/>
                    </w:rPr>
                    <w:t>防渗工程</w:t>
                  </w:r>
                </w:p>
              </w:tc>
              <w:tc>
                <w:tcPr>
                  <w:tcW w:w="2559" w:type="pct"/>
                  <w:noWrap w:val="0"/>
                  <w:vAlign w:val="center"/>
                </w:tcPr>
                <w:p>
                  <w:pPr>
                    <w:widowControl/>
                    <w:adjustRightInd w:val="0"/>
                    <w:snapToGrid w:val="0"/>
                    <w:spacing w:line="276" w:lineRule="auto"/>
                    <w:rPr>
                      <w:kern w:val="0"/>
                      <w:szCs w:val="21"/>
                    </w:rPr>
                  </w:pPr>
                  <w:r>
                    <w:rPr>
                      <w:kern w:val="0"/>
                      <w:szCs w:val="21"/>
                    </w:rPr>
                    <w:t>重点防渗区为：本次新增的调节池和污泥池、一体化设备区域、污泥料仓区域。</w:t>
                  </w:r>
                </w:p>
                <w:p>
                  <w:pPr>
                    <w:widowControl/>
                    <w:adjustRightInd w:val="0"/>
                    <w:snapToGrid w:val="0"/>
                    <w:spacing w:line="276" w:lineRule="auto"/>
                    <w:rPr>
                      <w:kern w:val="0"/>
                      <w:szCs w:val="21"/>
                    </w:rPr>
                  </w:pPr>
                  <w:r>
                    <w:rPr>
                      <w:kern w:val="0"/>
                      <w:szCs w:val="21"/>
                    </w:rPr>
                    <w:t>一般防渗区为：本次新增的反冲洗水罐区域。</w:t>
                  </w:r>
                </w:p>
                <w:p>
                  <w:pPr>
                    <w:tabs>
                      <w:tab w:val="left" w:pos="480"/>
                    </w:tabs>
                    <w:snapToGrid w:val="0"/>
                    <w:rPr>
                      <w:szCs w:val="21"/>
                    </w:rPr>
                  </w:pPr>
                  <w:r>
                    <w:rPr>
                      <w:kern w:val="0"/>
                      <w:szCs w:val="21"/>
                    </w:rPr>
                    <w:t>简单防渗区为：本次新增的简单防渗区域为厂区道路。</w:t>
                  </w:r>
                </w:p>
              </w:tc>
              <w:tc>
                <w:tcPr>
                  <w:tcW w:w="505" w:type="pct"/>
                  <w:vMerge w:val="continue"/>
                  <w:noWrap w:val="0"/>
                  <w:vAlign w:val="center"/>
                </w:tcPr>
                <w:p>
                  <w:pPr>
                    <w:tabs>
                      <w:tab w:val="left" w:pos="480"/>
                    </w:tabs>
                    <w:snapToGrid w:val="0"/>
                    <w:jc w:val="left"/>
                    <w:rPr>
                      <w:szCs w:val="21"/>
                    </w:rPr>
                  </w:pPr>
                </w:p>
              </w:tc>
              <w:tc>
                <w:tcPr>
                  <w:tcW w:w="505" w:type="pct"/>
                  <w:noWrap w:val="0"/>
                  <w:vAlign w:val="center"/>
                </w:tcPr>
                <w:p>
                  <w:pPr>
                    <w:tabs>
                      <w:tab w:val="left" w:pos="480"/>
                    </w:tabs>
                    <w:snapToGrid w:val="0"/>
                    <w:jc w:val="center"/>
                    <w:rPr>
                      <w:szCs w:val="21"/>
                    </w:rPr>
                  </w:pPr>
                  <w:r>
                    <w:rPr>
                      <w:szCs w:val="21"/>
                    </w:rPr>
                    <w:t>--</w:t>
                  </w:r>
                </w:p>
              </w:tc>
              <w:tc>
                <w:tcPr>
                  <w:tcW w:w="703" w:type="pct"/>
                  <w:noWrap w:val="0"/>
                  <w:vAlign w:val="center"/>
                </w:tcPr>
                <w:p>
                  <w:pPr>
                    <w:tabs>
                      <w:tab w:val="left" w:pos="480"/>
                    </w:tabs>
                    <w:snapToGrid w:val="0"/>
                    <w:jc w:val="center"/>
                    <w:rPr>
                      <w:szCs w:val="21"/>
                    </w:rPr>
                  </w:pPr>
                  <w:r>
                    <w:rPr>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4" w:hRule="atLeast"/>
                <w:jc w:val="center"/>
              </w:trPr>
              <w:tc>
                <w:tcPr>
                  <w:tcW w:w="290" w:type="pct"/>
                  <w:vMerge w:val="continue"/>
                  <w:noWrap w:val="0"/>
                  <w:vAlign w:val="center"/>
                </w:tcPr>
                <w:p>
                  <w:pPr>
                    <w:tabs>
                      <w:tab w:val="left" w:pos="480"/>
                    </w:tabs>
                    <w:snapToGrid w:val="0"/>
                    <w:jc w:val="center"/>
                    <w:rPr>
                      <w:szCs w:val="21"/>
                    </w:rPr>
                  </w:pPr>
                </w:p>
              </w:tc>
              <w:tc>
                <w:tcPr>
                  <w:tcW w:w="438" w:type="pct"/>
                  <w:gridSpan w:val="2"/>
                  <w:noWrap w:val="0"/>
                  <w:vAlign w:val="center"/>
                </w:tcPr>
                <w:p>
                  <w:pPr>
                    <w:tabs>
                      <w:tab w:val="left" w:pos="480"/>
                    </w:tabs>
                    <w:snapToGrid w:val="0"/>
                    <w:jc w:val="center"/>
                    <w:rPr>
                      <w:szCs w:val="21"/>
                    </w:rPr>
                  </w:pPr>
                  <w:r>
                    <w:rPr>
                      <w:szCs w:val="21"/>
                    </w:rPr>
                    <w:t>固废工程</w:t>
                  </w:r>
                </w:p>
              </w:tc>
              <w:tc>
                <w:tcPr>
                  <w:tcW w:w="2559" w:type="pct"/>
                  <w:noWrap w:val="0"/>
                  <w:vAlign w:val="center"/>
                </w:tcPr>
                <w:p>
                  <w:pPr>
                    <w:tabs>
                      <w:tab w:val="left" w:pos="480"/>
                    </w:tabs>
                    <w:snapToGrid w:val="0"/>
                    <w:rPr>
                      <w:szCs w:val="21"/>
                    </w:rPr>
                  </w:pPr>
                  <w:r>
                    <w:rPr>
                      <w:szCs w:val="21"/>
                    </w:rPr>
                    <w:t>A、</w:t>
                  </w:r>
                  <w:r>
                    <w:rPr>
                      <w:szCs w:val="21"/>
                    </w:rPr>
                    <w:tab/>
                  </w:r>
                  <w:r>
                    <w:rPr>
                      <w:szCs w:val="21"/>
                    </w:rPr>
                    <w:t>生活垃圾由环卫部门定期收集。</w:t>
                  </w:r>
                </w:p>
                <w:p>
                  <w:pPr>
                    <w:tabs>
                      <w:tab w:val="left" w:pos="480"/>
                    </w:tabs>
                    <w:snapToGrid w:val="0"/>
                    <w:rPr>
                      <w:szCs w:val="21"/>
                    </w:rPr>
                  </w:pPr>
                  <w:r>
                    <w:rPr>
                      <w:szCs w:val="21"/>
                    </w:rPr>
                    <w:t>B、产生的栅渣及砂粒经统一收集、脱水等预处理后送城市垃圾处理场卫生填埋。</w:t>
                  </w:r>
                </w:p>
                <w:p>
                  <w:pPr>
                    <w:tabs>
                      <w:tab w:val="left" w:pos="480"/>
                    </w:tabs>
                    <w:snapToGrid w:val="0"/>
                    <w:rPr>
                      <w:szCs w:val="21"/>
                    </w:rPr>
                  </w:pPr>
                  <w:r>
                    <w:rPr>
                      <w:szCs w:val="21"/>
                    </w:rPr>
                    <w:t>C、项目污泥经脱水后，含水率可降低至60%以下，进入污泥料仓密闭暂存，定期由密封翻斗车外运委托渠县万晟同新环保科技有限公司处理。</w:t>
                  </w:r>
                </w:p>
                <w:p>
                  <w:pPr>
                    <w:tabs>
                      <w:tab w:val="left" w:pos="480"/>
                    </w:tabs>
                    <w:snapToGrid w:val="0"/>
                    <w:rPr>
                      <w:szCs w:val="21"/>
                    </w:rPr>
                  </w:pPr>
                  <w:r>
                    <w:rPr>
                      <w:szCs w:val="21"/>
                    </w:rPr>
                    <w:t>D、在线监测废液、废矿物油、废油桶、设备日常维护中产生的废含油棉纱和抹布：分类集中收集后暂存于厂区现有危废间，定期交由资质单位进行处理。</w:t>
                  </w:r>
                </w:p>
              </w:tc>
              <w:tc>
                <w:tcPr>
                  <w:tcW w:w="505" w:type="pct"/>
                  <w:vMerge w:val="continue"/>
                  <w:noWrap w:val="0"/>
                  <w:vAlign w:val="center"/>
                </w:tcPr>
                <w:p>
                  <w:pPr>
                    <w:tabs>
                      <w:tab w:val="left" w:pos="480"/>
                    </w:tabs>
                    <w:snapToGrid w:val="0"/>
                    <w:jc w:val="left"/>
                    <w:rPr>
                      <w:szCs w:val="21"/>
                    </w:rPr>
                  </w:pPr>
                </w:p>
              </w:tc>
              <w:tc>
                <w:tcPr>
                  <w:tcW w:w="505" w:type="pct"/>
                  <w:noWrap w:val="0"/>
                  <w:vAlign w:val="center"/>
                </w:tcPr>
                <w:p>
                  <w:pPr>
                    <w:tabs>
                      <w:tab w:val="left" w:pos="480"/>
                    </w:tabs>
                    <w:snapToGrid w:val="0"/>
                    <w:jc w:val="center"/>
                    <w:rPr>
                      <w:szCs w:val="21"/>
                    </w:rPr>
                  </w:pPr>
                  <w:r>
                    <w:rPr>
                      <w:szCs w:val="21"/>
                    </w:rPr>
                    <w:t>--</w:t>
                  </w:r>
                </w:p>
              </w:tc>
              <w:tc>
                <w:tcPr>
                  <w:tcW w:w="703" w:type="pct"/>
                  <w:noWrap w:val="0"/>
                  <w:vAlign w:val="center"/>
                </w:tcPr>
                <w:p>
                  <w:pPr>
                    <w:tabs>
                      <w:tab w:val="left" w:pos="480"/>
                    </w:tabs>
                    <w:snapToGrid w:val="0"/>
                    <w:jc w:val="center"/>
                    <w:rPr>
                      <w:szCs w:val="21"/>
                    </w:rPr>
                  </w:pPr>
                  <w:r>
                    <w:rPr>
                      <w:szCs w:val="21"/>
                    </w:rPr>
                    <w:t>/</w:t>
                  </w:r>
                </w:p>
              </w:tc>
            </w:tr>
            <w:bookmarkEnd w:id="19"/>
          </w:tbl>
          <w:p>
            <w:pPr>
              <w:adjustRightInd w:val="0"/>
              <w:snapToGrid w:val="0"/>
              <w:spacing w:before="120" w:beforeLines="50" w:line="360" w:lineRule="auto"/>
              <w:ind w:firstLine="482" w:firstLineChars="200"/>
              <w:rPr>
                <w:b/>
                <w:sz w:val="24"/>
              </w:rPr>
            </w:pPr>
            <w:r>
              <w:rPr>
                <w:b/>
                <w:sz w:val="24"/>
              </w:rPr>
              <w:t>（2）污水处理厂主要构（建）筑工程量</w:t>
            </w:r>
          </w:p>
          <w:p>
            <w:pPr>
              <w:adjustRightInd w:val="0"/>
              <w:snapToGrid w:val="0"/>
              <w:spacing w:line="360" w:lineRule="auto"/>
              <w:ind w:firstLine="480" w:firstLineChars="200"/>
              <w:rPr>
                <w:bCs/>
                <w:sz w:val="24"/>
              </w:rPr>
            </w:pPr>
            <w:r>
              <w:rPr>
                <w:bCs/>
                <w:sz w:val="24"/>
              </w:rPr>
              <w:t>项目主要构筑物及数量见表2-5。</w:t>
            </w:r>
          </w:p>
          <w:p>
            <w:pPr>
              <w:adjustRightInd w:val="0"/>
              <w:snapToGrid w:val="0"/>
              <w:spacing w:line="276" w:lineRule="auto"/>
              <w:jc w:val="center"/>
              <w:rPr>
                <w:rFonts w:eastAsia="黑体"/>
                <w:bCs/>
                <w:sz w:val="24"/>
              </w:rPr>
            </w:pPr>
            <w:r>
              <w:rPr>
                <w:rFonts w:eastAsia="黑体"/>
                <w:bCs/>
                <w:sz w:val="24"/>
              </w:rPr>
              <w:t>表2-5  改扩建后项目主要构筑物一览表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07"/>
              <w:gridCol w:w="1556"/>
              <w:gridCol w:w="2830"/>
              <w:gridCol w:w="849"/>
              <w:gridCol w:w="566"/>
              <w:gridCol w:w="860"/>
              <w:gridCol w:w="14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blHeader/>
                <w:jc w:val="center"/>
              </w:trPr>
              <w:tc>
                <w:tcPr>
                  <w:tcW w:w="183" w:type="pct"/>
                  <w:shd w:val="clear" w:color="auto" w:fill="CCFFFF"/>
                  <w:noWrap w:val="0"/>
                  <w:vAlign w:val="center"/>
                </w:tcPr>
                <w:p>
                  <w:pPr>
                    <w:jc w:val="center"/>
                    <w:rPr>
                      <w:b/>
                      <w:bCs/>
                      <w:szCs w:val="21"/>
                    </w:rPr>
                  </w:pPr>
                  <w:r>
                    <w:rPr>
                      <w:b/>
                      <w:bCs/>
                      <w:szCs w:val="21"/>
                    </w:rPr>
                    <w:t>序号</w:t>
                  </w:r>
                </w:p>
              </w:tc>
              <w:tc>
                <w:tcPr>
                  <w:tcW w:w="924" w:type="pct"/>
                  <w:shd w:val="clear" w:color="auto" w:fill="CCFFFF"/>
                  <w:noWrap w:val="0"/>
                  <w:vAlign w:val="center"/>
                </w:tcPr>
                <w:p>
                  <w:pPr>
                    <w:jc w:val="center"/>
                    <w:rPr>
                      <w:b/>
                      <w:bCs/>
                      <w:szCs w:val="21"/>
                    </w:rPr>
                  </w:pPr>
                  <w:r>
                    <w:rPr>
                      <w:b/>
                      <w:bCs/>
                      <w:szCs w:val="21"/>
                    </w:rPr>
                    <w:t>名称</w:t>
                  </w:r>
                </w:p>
              </w:tc>
              <w:tc>
                <w:tcPr>
                  <w:tcW w:w="1681" w:type="pct"/>
                  <w:shd w:val="clear" w:color="auto" w:fill="CCFFFF"/>
                  <w:noWrap w:val="0"/>
                  <w:vAlign w:val="center"/>
                </w:tcPr>
                <w:p>
                  <w:pPr>
                    <w:jc w:val="center"/>
                    <w:rPr>
                      <w:b/>
                      <w:bCs/>
                      <w:szCs w:val="21"/>
                    </w:rPr>
                  </w:pPr>
                  <w:r>
                    <w:rPr>
                      <w:b/>
                      <w:bCs/>
                      <w:szCs w:val="21"/>
                    </w:rPr>
                    <w:t>建构筑物尺寸（m）</w:t>
                  </w:r>
                </w:p>
                <w:p>
                  <w:pPr>
                    <w:jc w:val="center"/>
                    <w:rPr>
                      <w:b/>
                      <w:bCs/>
                      <w:szCs w:val="21"/>
                    </w:rPr>
                  </w:pPr>
                  <w:r>
                    <w:rPr>
                      <w:b/>
                      <w:bCs/>
                      <w:szCs w:val="21"/>
                    </w:rPr>
                    <w:t>（L×B×H）</w:t>
                  </w:r>
                </w:p>
              </w:tc>
              <w:tc>
                <w:tcPr>
                  <w:tcW w:w="504" w:type="pct"/>
                  <w:shd w:val="clear" w:color="auto" w:fill="CCFFFF"/>
                  <w:noWrap w:val="0"/>
                  <w:vAlign w:val="center"/>
                </w:tcPr>
                <w:p>
                  <w:pPr>
                    <w:jc w:val="center"/>
                    <w:rPr>
                      <w:b/>
                      <w:bCs/>
                      <w:szCs w:val="21"/>
                    </w:rPr>
                  </w:pPr>
                  <w:r>
                    <w:rPr>
                      <w:b/>
                      <w:bCs/>
                      <w:szCs w:val="21"/>
                    </w:rPr>
                    <w:t>建筑面积(m</w:t>
                  </w:r>
                  <w:r>
                    <w:rPr>
                      <w:b/>
                      <w:bCs/>
                      <w:szCs w:val="21"/>
                      <w:vertAlign w:val="superscript"/>
                    </w:rPr>
                    <w:t>2</w:t>
                  </w:r>
                  <w:r>
                    <w:rPr>
                      <w:b/>
                      <w:bCs/>
                      <w:szCs w:val="21"/>
                    </w:rPr>
                    <w:t>)</w:t>
                  </w:r>
                </w:p>
              </w:tc>
              <w:tc>
                <w:tcPr>
                  <w:tcW w:w="336" w:type="pct"/>
                  <w:shd w:val="clear" w:color="auto" w:fill="CCFFFF"/>
                  <w:noWrap w:val="0"/>
                  <w:vAlign w:val="center"/>
                </w:tcPr>
                <w:p>
                  <w:pPr>
                    <w:jc w:val="center"/>
                    <w:rPr>
                      <w:b/>
                      <w:bCs/>
                      <w:szCs w:val="21"/>
                    </w:rPr>
                  </w:pPr>
                  <w:r>
                    <w:rPr>
                      <w:b/>
                      <w:bCs/>
                      <w:szCs w:val="21"/>
                    </w:rPr>
                    <w:t>数 量</w:t>
                  </w:r>
                </w:p>
              </w:tc>
              <w:tc>
                <w:tcPr>
                  <w:tcW w:w="511" w:type="pct"/>
                  <w:shd w:val="clear" w:color="auto" w:fill="CCFFFF"/>
                  <w:noWrap w:val="0"/>
                  <w:vAlign w:val="center"/>
                </w:tcPr>
                <w:p>
                  <w:pPr>
                    <w:jc w:val="center"/>
                    <w:rPr>
                      <w:b/>
                      <w:bCs/>
                      <w:szCs w:val="21"/>
                    </w:rPr>
                  </w:pPr>
                  <w:r>
                    <w:rPr>
                      <w:b/>
                      <w:bCs/>
                      <w:szCs w:val="21"/>
                    </w:rPr>
                    <w:t>结构</w:t>
                  </w:r>
                </w:p>
                <w:p>
                  <w:pPr>
                    <w:jc w:val="center"/>
                    <w:rPr>
                      <w:b/>
                      <w:bCs/>
                      <w:szCs w:val="21"/>
                    </w:rPr>
                  </w:pPr>
                  <w:r>
                    <w:rPr>
                      <w:b/>
                      <w:bCs/>
                      <w:szCs w:val="21"/>
                    </w:rPr>
                    <w:t>形式</w:t>
                  </w:r>
                </w:p>
              </w:tc>
              <w:tc>
                <w:tcPr>
                  <w:tcW w:w="861" w:type="pct"/>
                  <w:shd w:val="clear" w:color="auto" w:fill="CCFFFF"/>
                  <w:noWrap w:val="0"/>
                  <w:vAlign w:val="center"/>
                </w:tcPr>
                <w:p>
                  <w:pPr>
                    <w:jc w:val="center"/>
                    <w:rPr>
                      <w:b/>
                      <w:bCs/>
                      <w:szCs w:val="21"/>
                    </w:rPr>
                  </w:pPr>
                  <w:r>
                    <w:rPr>
                      <w:b/>
                      <w:bCs/>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83" w:type="pct"/>
                  <w:noWrap w:val="0"/>
                  <w:vAlign w:val="center"/>
                </w:tcPr>
                <w:p>
                  <w:pPr>
                    <w:jc w:val="center"/>
                    <w:rPr>
                      <w:szCs w:val="21"/>
                    </w:rPr>
                  </w:pPr>
                  <w:r>
                    <w:rPr>
                      <w:szCs w:val="21"/>
                    </w:rPr>
                    <w:t>1</w:t>
                  </w:r>
                </w:p>
              </w:tc>
              <w:tc>
                <w:tcPr>
                  <w:tcW w:w="924" w:type="pct"/>
                  <w:noWrap w:val="0"/>
                  <w:vAlign w:val="center"/>
                </w:tcPr>
                <w:p>
                  <w:pPr>
                    <w:jc w:val="center"/>
                    <w:rPr>
                      <w:szCs w:val="21"/>
                    </w:rPr>
                  </w:pPr>
                  <w:r>
                    <w:rPr>
                      <w:szCs w:val="21"/>
                    </w:rPr>
                    <w:t>提升池</w:t>
                  </w:r>
                </w:p>
              </w:tc>
              <w:tc>
                <w:tcPr>
                  <w:tcW w:w="1681" w:type="pct"/>
                  <w:noWrap w:val="0"/>
                  <w:vAlign w:val="center"/>
                </w:tcPr>
                <w:p>
                  <w:pPr>
                    <w:jc w:val="center"/>
                    <w:rPr>
                      <w:szCs w:val="21"/>
                    </w:rPr>
                  </w:pPr>
                  <w:r>
                    <w:rPr>
                      <w:szCs w:val="21"/>
                    </w:rPr>
                    <w:t>3.5×3.0×8m</w:t>
                  </w:r>
                </w:p>
              </w:tc>
              <w:tc>
                <w:tcPr>
                  <w:tcW w:w="504" w:type="pct"/>
                  <w:noWrap w:val="0"/>
                  <w:vAlign w:val="center"/>
                </w:tcPr>
                <w:p>
                  <w:pPr>
                    <w:jc w:val="center"/>
                    <w:rPr>
                      <w:szCs w:val="21"/>
                    </w:rPr>
                  </w:pPr>
                </w:p>
              </w:tc>
              <w:tc>
                <w:tcPr>
                  <w:tcW w:w="336" w:type="pct"/>
                  <w:noWrap w:val="0"/>
                  <w:vAlign w:val="center"/>
                </w:tcPr>
                <w:p>
                  <w:pPr>
                    <w:jc w:val="center"/>
                    <w:rPr>
                      <w:szCs w:val="21"/>
                    </w:rPr>
                  </w:pPr>
                  <w:r>
                    <w:rPr>
                      <w:szCs w:val="21"/>
                    </w:rPr>
                    <w:t>1</w:t>
                  </w:r>
                </w:p>
              </w:tc>
              <w:tc>
                <w:tcPr>
                  <w:tcW w:w="511" w:type="pct"/>
                  <w:noWrap w:val="0"/>
                  <w:vAlign w:val="center"/>
                </w:tcPr>
                <w:p>
                  <w:pPr>
                    <w:jc w:val="center"/>
                    <w:rPr>
                      <w:szCs w:val="21"/>
                    </w:rPr>
                  </w:pPr>
                  <w:r>
                    <w:rPr>
                      <w:szCs w:val="21"/>
                    </w:rPr>
                    <w:t>钢混</w:t>
                  </w:r>
                </w:p>
              </w:tc>
              <w:tc>
                <w:tcPr>
                  <w:tcW w:w="861" w:type="pct"/>
                  <w:noWrap w:val="0"/>
                  <w:vAlign w:val="center"/>
                </w:tcPr>
                <w:p>
                  <w:pPr>
                    <w:jc w:val="center"/>
                    <w:rPr>
                      <w:szCs w:val="21"/>
                    </w:rPr>
                  </w:pPr>
                  <w:r>
                    <w:rPr>
                      <w:kern w:val="0"/>
                      <w:szCs w:val="21"/>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83" w:type="pct"/>
                  <w:noWrap w:val="0"/>
                  <w:vAlign w:val="center"/>
                </w:tcPr>
                <w:p>
                  <w:pPr>
                    <w:jc w:val="center"/>
                    <w:rPr>
                      <w:szCs w:val="21"/>
                    </w:rPr>
                  </w:pPr>
                  <w:r>
                    <w:rPr>
                      <w:szCs w:val="21"/>
                    </w:rPr>
                    <w:t>2</w:t>
                  </w:r>
                </w:p>
              </w:tc>
              <w:tc>
                <w:tcPr>
                  <w:tcW w:w="924" w:type="pct"/>
                  <w:noWrap w:val="0"/>
                  <w:vAlign w:val="center"/>
                </w:tcPr>
                <w:p>
                  <w:pPr>
                    <w:jc w:val="center"/>
                    <w:rPr>
                      <w:szCs w:val="21"/>
                    </w:rPr>
                  </w:pPr>
                  <w:r>
                    <w:rPr>
                      <w:szCs w:val="21"/>
                    </w:rPr>
                    <w:t>格栅渠</w:t>
                  </w:r>
                </w:p>
              </w:tc>
              <w:tc>
                <w:tcPr>
                  <w:tcW w:w="1681" w:type="pct"/>
                  <w:noWrap w:val="0"/>
                  <w:vAlign w:val="center"/>
                </w:tcPr>
                <w:p>
                  <w:pPr>
                    <w:jc w:val="center"/>
                    <w:rPr>
                      <w:szCs w:val="21"/>
                    </w:rPr>
                  </w:pPr>
                  <w:r>
                    <w:rPr>
                      <w:szCs w:val="21"/>
                    </w:rPr>
                    <w:t>5.7×1.5m</w:t>
                  </w:r>
                </w:p>
              </w:tc>
              <w:tc>
                <w:tcPr>
                  <w:tcW w:w="504" w:type="pct"/>
                  <w:noWrap w:val="0"/>
                  <w:vAlign w:val="center"/>
                </w:tcPr>
                <w:p>
                  <w:pPr>
                    <w:jc w:val="center"/>
                    <w:rPr>
                      <w:szCs w:val="21"/>
                    </w:rPr>
                  </w:pPr>
                </w:p>
              </w:tc>
              <w:tc>
                <w:tcPr>
                  <w:tcW w:w="336" w:type="pct"/>
                  <w:noWrap w:val="0"/>
                  <w:vAlign w:val="center"/>
                </w:tcPr>
                <w:p>
                  <w:pPr>
                    <w:jc w:val="center"/>
                    <w:rPr>
                      <w:szCs w:val="21"/>
                    </w:rPr>
                  </w:pPr>
                  <w:r>
                    <w:rPr>
                      <w:szCs w:val="21"/>
                    </w:rPr>
                    <w:t>1</w:t>
                  </w:r>
                </w:p>
              </w:tc>
              <w:tc>
                <w:tcPr>
                  <w:tcW w:w="511" w:type="pct"/>
                  <w:noWrap w:val="0"/>
                  <w:vAlign w:val="center"/>
                </w:tcPr>
                <w:p>
                  <w:pPr>
                    <w:jc w:val="center"/>
                    <w:rPr>
                      <w:szCs w:val="21"/>
                    </w:rPr>
                  </w:pPr>
                  <w:r>
                    <w:rPr>
                      <w:szCs w:val="21"/>
                    </w:rPr>
                    <w:t>钢混</w:t>
                  </w:r>
                </w:p>
              </w:tc>
              <w:tc>
                <w:tcPr>
                  <w:tcW w:w="861" w:type="pct"/>
                  <w:noWrap w:val="0"/>
                  <w:vAlign w:val="center"/>
                </w:tcPr>
                <w:p>
                  <w:pPr>
                    <w:jc w:val="center"/>
                    <w:rPr>
                      <w:szCs w:val="21"/>
                    </w:rPr>
                  </w:pPr>
                  <w:r>
                    <w:rPr>
                      <w:kern w:val="0"/>
                      <w:szCs w:val="21"/>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83" w:type="pct"/>
                  <w:noWrap w:val="0"/>
                  <w:vAlign w:val="center"/>
                </w:tcPr>
                <w:p>
                  <w:pPr>
                    <w:jc w:val="center"/>
                    <w:rPr>
                      <w:szCs w:val="21"/>
                    </w:rPr>
                  </w:pPr>
                  <w:r>
                    <w:rPr>
                      <w:szCs w:val="21"/>
                    </w:rPr>
                    <w:t>3</w:t>
                  </w:r>
                </w:p>
              </w:tc>
              <w:tc>
                <w:tcPr>
                  <w:tcW w:w="924" w:type="pct"/>
                  <w:noWrap w:val="0"/>
                  <w:vAlign w:val="center"/>
                </w:tcPr>
                <w:p>
                  <w:pPr>
                    <w:jc w:val="center"/>
                    <w:rPr>
                      <w:szCs w:val="21"/>
                    </w:rPr>
                  </w:pPr>
                  <w:r>
                    <w:rPr>
                      <w:szCs w:val="21"/>
                    </w:rPr>
                    <w:t>隔渣池</w:t>
                  </w:r>
                </w:p>
              </w:tc>
              <w:tc>
                <w:tcPr>
                  <w:tcW w:w="1681" w:type="pct"/>
                  <w:noWrap w:val="0"/>
                  <w:vAlign w:val="center"/>
                </w:tcPr>
                <w:p>
                  <w:pPr>
                    <w:jc w:val="center"/>
                    <w:rPr>
                      <w:szCs w:val="21"/>
                    </w:rPr>
                  </w:pPr>
                  <w:r>
                    <w:rPr>
                      <w:szCs w:val="21"/>
                    </w:rPr>
                    <w:t>3.0×3.0×3.5m</w:t>
                  </w:r>
                </w:p>
              </w:tc>
              <w:tc>
                <w:tcPr>
                  <w:tcW w:w="504" w:type="pct"/>
                  <w:noWrap w:val="0"/>
                  <w:vAlign w:val="center"/>
                </w:tcPr>
                <w:p>
                  <w:pPr>
                    <w:jc w:val="center"/>
                    <w:rPr>
                      <w:szCs w:val="21"/>
                    </w:rPr>
                  </w:pPr>
                </w:p>
              </w:tc>
              <w:tc>
                <w:tcPr>
                  <w:tcW w:w="336" w:type="pct"/>
                  <w:noWrap w:val="0"/>
                  <w:vAlign w:val="center"/>
                </w:tcPr>
                <w:p>
                  <w:pPr>
                    <w:jc w:val="center"/>
                    <w:rPr>
                      <w:szCs w:val="21"/>
                    </w:rPr>
                  </w:pPr>
                  <w:r>
                    <w:rPr>
                      <w:szCs w:val="21"/>
                    </w:rPr>
                    <w:t>1</w:t>
                  </w:r>
                </w:p>
              </w:tc>
              <w:tc>
                <w:tcPr>
                  <w:tcW w:w="511" w:type="pct"/>
                  <w:noWrap w:val="0"/>
                  <w:vAlign w:val="center"/>
                </w:tcPr>
                <w:p>
                  <w:pPr>
                    <w:jc w:val="center"/>
                    <w:rPr>
                      <w:szCs w:val="21"/>
                    </w:rPr>
                  </w:pPr>
                  <w:r>
                    <w:rPr>
                      <w:szCs w:val="21"/>
                    </w:rPr>
                    <w:t>钢混</w:t>
                  </w:r>
                </w:p>
              </w:tc>
              <w:tc>
                <w:tcPr>
                  <w:tcW w:w="861" w:type="pct"/>
                  <w:noWrap w:val="0"/>
                  <w:vAlign w:val="center"/>
                </w:tcPr>
                <w:p>
                  <w:pPr>
                    <w:jc w:val="center"/>
                    <w:rPr>
                      <w:szCs w:val="21"/>
                    </w:rPr>
                  </w:pPr>
                  <w:r>
                    <w:rPr>
                      <w:kern w:val="0"/>
                      <w:szCs w:val="21"/>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83" w:type="pct"/>
                  <w:noWrap w:val="0"/>
                  <w:vAlign w:val="center"/>
                </w:tcPr>
                <w:p>
                  <w:pPr>
                    <w:jc w:val="center"/>
                    <w:rPr>
                      <w:szCs w:val="21"/>
                    </w:rPr>
                  </w:pPr>
                  <w:r>
                    <w:rPr>
                      <w:szCs w:val="21"/>
                    </w:rPr>
                    <w:t>4</w:t>
                  </w:r>
                </w:p>
              </w:tc>
              <w:tc>
                <w:tcPr>
                  <w:tcW w:w="924" w:type="pct"/>
                  <w:noWrap w:val="0"/>
                  <w:vAlign w:val="center"/>
                </w:tcPr>
                <w:p>
                  <w:pPr>
                    <w:jc w:val="center"/>
                    <w:rPr>
                      <w:szCs w:val="21"/>
                    </w:rPr>
                  </w:pPr>
                  <w:r>
                    <w:rPr>
                      <w:szCs w:val="21"/>
                    </w:rPr>
                    <w:t>初沉池</w:t>
                  </w:r>
                </w:p>
              </w:tc>
              <w:tc>
                <w:tcPr>
                  <w:tcW w:w="1681" w:type="pct"/>
                  <w:noWrap w:val="0"/>
                  <w:vAlign w:val="center"/>
                </w:tcPr>
                <w:p>
                  <w:pPr>
                    <w:jc w:val="center"/>
                    <w:rPr>
                      <w:szCs w:val="21"/>
                    </w:rPr>
                  </w:pPr>
                  <w:r>
                    <w:rPr>
                      <w:szCs w:val="21"/>
                    </w:rPr>
                    <w:t>4.76×2.26×4.5m</w:t>
                  </w:r>
                </w:p>
              </w:tc>
              <w:tc>
                <w:tcPr>
                  <w:tcW w:w="504" w:type="pct"/>
                  <w:noWrap w:val="0"/>
                  <w:vAlign w:val="center"/>
                </w:tcPr>
                <w:p>
                  <w:pPr>
                    <w:jc w:val="center"/>
                    <w:rPr>
                      <w:szCs w:val="21"/>
                    </w:rPr>
                  </w:pPr>
                </w:p>
              </w:tc>
              <w:tc>
                <w:tcPr>
                  <w:tcW w:w="336" w:type="pct"/>
                  <w:noWrap w:val="0"/>
                  <w:vAlign w:val="center"/>
                </w:tcPr>
                <w:p>
                  <w:pPr>
                    <w:jc w:val="center"/>
                    <w:rPr>
                      <w:szCs w:val="21"/>
                    </w:rPr>
                  </w:pPr>
                  <w:r>
                    <w:rPr>
                      <w:szCs w:val="21"/>
                    </w:rPr>
                    <w:t>1</w:t>
                  </w:r>
                </w:p>
              </w:tc>
              <w:tc>
                <w:tcPr>
                  <w:tcW w:w="511" w:type="pct"/>
                  <w:noWrap w:val="0"/>
                  <w:vAlign w:val="center"/>
                </w:tcPr>
                <w:p>
                  <w:pPr>
                    <w:jc w:val="center"/>
                    <w:rPr>
                      <w:szCs w:val="21"/>
                    </w:rPr>
                  </w:pPr>
                  <w:r>
                    <w:rPr>
                      <w:szCs w:val="21"/>
                    </w:rPr>
                    <w:t>钢混</w:t>
                  </w:r>
                </w:p>
              </w:tc>
              <w:tc>
                <w:tcPr>
                  <w:tcW w:w="861" w:type="pct"/>
                  <w:noWrap w:val="0"/>
                  <w:vAlign w:val="center"/>
                </w:tcPr>
                <w:p>
                  <w:pPr>
                    <w:jc w:val="center"/>
                    <w:rPr>
                      <w:szCs w:val="21"/>
                    </w:rPr>
                  </w:pPr>
                  <w:r>
                    <w:rPr>
                      <w:szCs w:val="21"/>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83" w:type="pct"/>
                  <w:noWrap w:val="0"/>
                  <w:vAlign w:val="center"/>
                </w:tcPr>
                <w:p>
                  <w:pPr>
                    <w:jc w:val="center"/>
                    <w:rPr>
                      <w:szCs w:val="21"/>
                    </w:rPr>
                  </w:pPr>
                  <w:r>
                    <w:rPr>
                      <w:szCs w:val="21"/>
                    </w:rPr>
                    <w:t>5</w:t>
                  </w:r>
                </w:p>
              </w:tc>
              <w:tc>
                <w:tcPr>
                  <w:tcW w:w="924" w:type="pct"/>
                  <w:noWrap w:val="0"/>
                  <w:vAlign w:val="center"/>
                </w:tcPr>
                <w:p>
                  <w:pPr>
                    <w:jc w:val="center"/>
                    <w:rPr>
                      <w:szCs w:val="21"/>
                    </w:rPr>
                  </w:pPr>
                  <w:r>
                    <w:rPr>
                      <w:szCs w:val="21"/>
                    </w:rPr>
                    <w:t>调节池、污泥池</w:t>
                  </w:r>
                </w:p>
              </w:tc>
              <w:tc>
                <w:tcPr>
                  <w:tcW w:w="1681" w:type="pct"/>
                  <w:noWrap w:val="0"/>
                  <w:vAlign w:val="center"/>
                </w:tcPr>
                <w:p>
                  <w:pPr>
                    <w:jc w:val="center"/>
                    <w:rPr>
                      <w:szCs w:val="21"/>
                    </w:rPr>
                  </w:pPr>
                  <w:r>
                    <w:rPr>
                      <w:szCs w:val="21"/>
                    </w:rPr>
                    <w:t>9.5×6.3×4.5m+2.5×2.5×4.0m</w:t>
                  </w:r>
                </w:p>
              </w:tc>
              <w:tc>
                <w:tcPr>
                  <w:tcW w:w="504" w:type="pct"/>
                  <w:noWrap w:val="0"/>
                  <w:vAlign w:val="center"/>
                </w:tcPr>
                <w:p>
                  <w:pPr>
                    <w:jc w:val="center"/>
                    <w:rPr>
                      <w:szCs w:val="21"/>
                    </w:rPr>
                  </w:pPr>
                </w:p>
              </w:tc>
              <w:tc>
                <w:tcPr>
                  <w:tcW w:w="336" w:type="pct"/>
                  <w:noWrap w:val="0"/>
                  <w:vAlign w:val="center"/>
                </w:tcPr>
                <w:p>
                  <w:pPr>
                    <w:jc w:val="center"/>
                    <w:rPr>
                      <w:szCs w:val="21"/>
                    </w:rPr>
                  </w:pPr>
                  <w:r>
                    <w:rPr>
                      <w:szCs w:val="21"/>
                    </w:rPr>
                    <w:t>1</w:t>
                  </w:r>
                </w:p>
              </w:tc>
              <w:tc>
                <w:tcPr>
                  <w:tcW w:w="511" w:type="pct"/>
                  <w:noWrap w:val="0"/>
                  <w:vAlign w:val="center"/>
                </w:tcPr>
                <w:p>
                  <w:pPr>
                    <w:jc w:val="center"/>
                    <w:rPr>
                      <w:szCs w:val="21"/>
                    </w:rPr>
                  </w:pPr>
                  <w:r>
                    <w:rPr>
                      <w:szCs w:val="21"/>
                    </w:rPr>
                    <w:t>钢混</w:t>
                  </w:r>
                </w:p>
              </w:tc>
              <w:tc>
                <w:tcPr>
                  <w:tcW w:w="861" w:type="pct"/>
                  <w:noWrap w:val="0"/>
                  <w:vAlign w:val="center"/>
                </w:tcPr>
                <w:p>
                  <w:pPr>
                    <w:jc w:val="center"/>
                    <w:rPr>
                      <w:szCs w:val="21"/>
                    </w:rPr>
                  </w:pPr>
                  <w:r>
                    <w:rPr>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83" w:type="pct"/>
                  <w:noWrap w:val="0"/>
                  <w:vAlign w:val="center"/>
                </w:tcPr>
                <w:p>
                  <w:pPr>
                    <w:jc w:val="center"/>
                    <w:rPr>
                      <w:szCs w:val="21"/>
                    </w:rPr>
                  </w:pPr>
                  <w:r>
                    <w:rPr>
                      <w:szCs w:val="21"/>
                    </w:rPr>
                    <w:t>6</w:t>
                  </w:r>
                </w:p>
              </w:tc>
              <w:tc>
                <w:tcPr>
                  <w:tcW w:w="924" w:type="pct"/>
                  <w:noWrap w:val="0"/>
                  <w:vAlign w:val="center"/>
                </w:tcPr>
                <w:p>
                  <w:pPr>
                    <w:jc w:val="center"/>
                    <w:rPr>
                      <w:szCs w:val="21"/>
                    </w:rPr>
                  </w:pPr>
                  <w:r>
                    <w:rPr>
                      <w:szCs w:val="21"/>
                    </w:rPr>
                    <w:t>厌氧池</w:t>
                  </w:r>
                </w:p>
              </w:tc>
              <w:tc>
                <w:tcPr>
                  <w:tcW w:w="1681" w:type="pct"/>
                  <w:noWrap w:val="0"/>
                  <w:vAlign w:val="center"/>
                </w:tcPr>
                <w:p>
                  <w:pPr>
                    <w:jc w:val="center"/>
                    <w:rPr>
                      <w:szCs w:val="21"/>
                    </w:rPr>
                  </w:pPr>
                  <w:r>
                    <w:rPr>
                      <w:szCs w:val="21"/>
                    </w:rPr>
                    <w:t>24.76×9.76×4.5m</w:t>
                  </w:r>
                </w:p>
              </w:tc>
              <w:tc>
                <w:tcPr>
                  <w:tcW w:w="504" w:type="pct"/>
                  <w:noWrap w:val="0"/>
                  <w:vAlign w:val="center"/>
                </w:tcPr>
                <w:p>
                  <w:pPr>
                    <w:jc w:val="center"/>
                    <w:rPr>
                      <w:szCs w:val="21"/>
                    </w:rPr>
                  </w:pPr>
                </w:p>
              </w:tc>
              <w:tc>
                <w:tcPr>
                  <w:tcW w:w="336" w:type="pct"/>
                  <w:noWrap w:val="0"/>
                  <w:vAlign w:val="center"/>
                </w:tcPr>
                <w:p>
                  <w:pPr>
                    <w:jc w:val="center"/>
                    <w:rPr>
                      <w:szCs w:val="21"/>
                    </w:rPr>
                  </w:pPr>
                  <w:r>
                    <w:rPr>
                      <w:szCs w:val="21"/>
                    </w:rPr>
                    <w:t>1</w:t>
                  </w:r>
                </w:p>
              </w:tc>
              <w:tc>
                <w:tcPr>
                  <w:tcW w:w="511" w:type="pct"/>
                  <w:noWrap w:val="0"/>
                  <w:vAlign w:val="center"/>
                </w:tcPr>
                <w:p>
                  <w:pPr>
                    <w:jc w:val="center"/>
                    <w:rPr>
                      <w:szCs w:val="21"/>
                    </w:rPr>
                  </w:pPr>
                  <w:r>
                    <w:rPr>
                      <w:szCs w:val="21"/>
                    </w:rPr>
                    <w:t>钢混</w:t>
                  </w:r>
                </w:p>
              </w:tc>
              <w:tc>
                <w:tcPr>
                  <w:tcW w:w="861" w:type="pct"/>
                  <w:noWrap w:val="0"/>
                  <w:vAlign w:val="center"/>
                </w:tcPr>
                <w:p>
                  <w:pPr>
                    <w:jc w:val="center"/>
                    <w:rPr>
                      <w:szCs w:val="21"/>
                    </w:rPr>
                  </w:pPr>
                  <w:r>
                    <w:rPr>
                      <w:szCs w:val="21"/>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83" w:type="pct"/>
                  <w:noWrap w:val="0"/>
                  <w:vAlign w:val="center"/>
                </w:tcPr>
                <w:p>
                  <w:pPr>
                    <w:jc w:val="center"/>
                    <w:rPr>
                      <w:szCs w:val="21"/>
                    </w:rPr>
                  </w:pPr>
                  <w:r>
                    <w:rPr>
                      <w:szCs w:val="21"/>
                    </w:rPr>
                    <w:t>7</w:t>
                  </w:r>
                </w:p>
              </w:tc>
              <w:tc>
                <w:tcPr>
                  <w:tcW w:w="924" w:type="pct"/>
                  <w:noWrap w:val="0"/>
                  <w:vAlign w:val="center"/>
                </w:tcPr>
                <w:p>
                  <w:pPr>
                    <w:jc w:val="center"/>
                    <w:rPr>
                      <w:szCs w:val="21"/>
                    </w:rPr>
                  </w:pPr>
                  <w:r>
                    <w:rPr>
                      <w:szCs w:val="21"/>
                    </w:rPr>
                    <w:t>综合生化池</w:t>
                  </w:r>
                </w:p>
              </w:tc>
              <w:tc>
                <w:tcPr>
                  <w:tcW w:w="1681" w:type="pct"/>
                  <w:noWrap w:val="0"/>
                  <w:vAlign w:val="center"/>
                </w:tcPr>
                <w:p>
                  <w:pPr>
                    <w:jc w:val="center"/>
                    <w:rPr>
                      <w:szCs w:val="21"/>
                    </w:rPr>
                  </w:pPr>
                  <w:r>
                    <w:rPr>
                      <w:szCs w:val="21"/>
                    </w:rPr>
                    <w:t>30.0×20.0×3.6m</w:t>
                  </w:r>
                </w:p>
              </w:tc>
              <w:tc>
                <w:tcPr>
                  <w:tcW w:w="504" w:type="pct"/>
                  <w:noWrap w:val="0"/>
                  <w:vAlign w:val="center"/>
                </w:tcPr>
                <w:p>
                  <w:pPr>
                    <w:jc w:val="center"/>
                    <w:rPr>
                      <w:szCs w:val="21"/>
                    </w:rPr>
                  </w:pPr>
                </w:p>
              </w:tc>
              <w:tc>
                <w:tcPr>
                  <w:tcW w:w="336" w:type="pct"/>
                  <w:noWrap w:val="0"/>
                  <w:vAlign w:val="center"/>
                </w:tcPr>
                <w:p>
                  <w:pPr>
                    <w:jc w:val="center"/>
                    <w:rPr>
                      <w:szCs w:val="21"/>
                    </w:rPr>
                  </w:pPr>
                  <w:r>
                    <w:rPr>
                      <w:szCs w:val="21"/>
                    </w:rPr>
                    <w:t>1</w:t>
                  </w:r>
                </w:p>
              </w:tc>
              <w:tc>
                <w:tcPr>
                  <w:tcW w:w="511" w:type="pct"/>
                  <w:noWrap w:val="0"/>
                  <w:vAlign w:val="center"/>
                </w:tcPr>
                <w:p>
                  <w:pPr>
                    <w:jc w:val="center"/>
                    <w:rPr>
                      <w:szCs w:val="21"/>
                    </w:rPr>
                  </w:pPr>
                  <w:r>
                    <w:rPr>
                      <w:szCs w:val="21"/>
                    </w:rPr>
                    <w:t>钢混</w:t>
                  </w:r>
                </w:p>
              </w:tc>
              <w:tc>
                <w:tcPr>
                  <w:tcW w:w="861" w:type="pct"/>
                  <w:noWrap w:val="0"/>
                  <w:vAlign w:val="center"/>
                </w:tcPr>
                <w:p>
                  <w:pPr>
                    <w:jc w:val="center"/>
                    <w:rPr>
                      <w:szCs w:val="21"/>
                    </w:rPr>
                  </w:pPr>
                  <w:r>
                    <w:rPr>
                      <w:szCs w:val="21"/>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83" w:type="pct"/>
                  <w:noWrap w:val="0"/>
                  <w:vAlign w:val="center"/>
                </w:tcPr>
                <w:p>
                  <w:pPr>
                    <w:jc w:val="center"/>
                    <w:rPr>
                      <w:szCs w:val="21"/>
                    </w:rPr>
                  </w:pPr>
                  <w:r>
                    <w:rPr>
                      <w:szCs w:val="21"/>
                    </w:rPr>
                    <w:t>8</w:t>
                  </w:r>
                </w:p>
              </w:tc>
              <w:tc>
                <w:tcPr>
                  <w:tcW w:w="924" w:type="pct"/>
                  <w:noWrap w:val="0"/>
                  <w:vAlign w:val="center"/>
                </w:tcPr>
                <w:p>
                  <w:pPr>
                    <w:jc w:val="center"/>
                    <w:rPr>
                      <w:szCs w:val="21"/>
                    </w:rPr>
                  </w:pPr>
                  <w:r>
                    <w:rPr>
                      <w:szCs w:val="21"/>
                    </w:rPr>
                    <w:t>集水池</w:t>
                  </w:r>
                </w:p>
              </w:tc>
              <w:tc>
                <w:tcPr>
                  <w:tcW w:w="1681" w:type="pct"/>
                  <w:noWrap w:val="0"/>
                  <w:vAlign w:val="center"/>
                </w:tcPr>
                <w:p>
                  <w:pPr>
                    <w:jc w:val="center"/>
                    <w:rPr>
                      <w:szCs w:val="21"/>
                    </w:rPr>
                  </w:pPr>
                  <w:r>
                    <w:rPr>
                      <w:szCs w:val="21"/>
                    </w:rPr>
                    <w:t>4.0×2.36×5.9m</w:t>
                  </w:r>
                </w:p>
              </w:tc>
              <w:tc>
                <w:tcPr>
                  <w:tcW w:w="504" w:type="pct"/>
                  <w:noWrap w:val="0"/>
                  <w:vAlign w:val="center"/>
                </w:tcPr>
                <w:p>
                  <w:pPr>
                    <w:jc w:val="center"/>
                    <w:rPr>
                      <w:szCs w:val="21"/>
                    </w:rPr>
                  </w:pPr>
                </w:p>
              </w:tc>
              <w:tc>
                <w:tcPr>
                  <w:tcW w:w="336" w:type="pct"/>
                  <w:noWrap w:val="0"/>
                  <w:vAlign w:val="center"/>
                </w:tcPr>
                <w:p>
                  <w:pPr>
                    <w:jc w:val="center"/>
                    <w:rPr>
                      <w:szCs w:val="21"/>
                    </w:rPr>
                  </w:pPr>
                  <w:r>
                    <w:rPr>
                      <w:szCs w:val="21"/>
                    </w:rPr>
                    <w:t>1</w:t>
                  </w:r>
                </w:p>
              </w:tc>
              <w:tc>
                <w:tcPr>
                  <w:tcW w:w="511" w:type="pct"/>
                  <w:noWrap w:val="0"/>
                  <w:vAlign w:val="center"/>
                </w:tcPr>
                <w:p>
                  <w:pPr>
                    <w:jc w:val="center"/>
                    <w:rPr>
                      <w:szCs w:val="21"/>
                    </w:rPr>
                  </w:pPr>
                  <w:r>
                    <w:rPr>
                      <w:szCs w:val="21"/>
                    </w:rPr>
                    <w:t>钢混</w:t>
                  </w:r>
                </w:p>
              </w:tc>
              <w:tc>
                <w:tcPr>
                  <w:tcW w:w="861" w:type="pct"/>
                  <w:noWrap w:val="0"/>
                  <w:vAlign w:val="center"/>
                </w:tcPr>
                <w:p>
                  <w:pPr>
                    <w:jc w:val="center"/>
                    <w:rPr>
                      <w:szCs w:val="21"/>
                    </w:rPr>
                  </w:pPr>
                  <w:r>
                    <w:rPr>
                      <w:szCs w:val="21"/>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83" w:type="pct"/>
                  <w:noWrap w:val="0"/>
                  <w:vAlign w:val="center"/>
                </w:tcPr>
                <w:p>
                  <w:pPr>
                    <w:jc w:val="center"/>
                    <w:rPr>
                      <w:szCs w:val="21"/>
                    </w:rPr>
                  </w:pPr>
                  <w:r>
                    <w:rPr>
                      <w:szCs w:val="21"/>
                    </w:rPr>
                    <w:t>9</w:t>
                  </w:r>
                </w:p>
              </w:tc>
              <w:tc>
                <w:tcPr>
                  <w:tcW w:w="924" w:type="pct"/>
                  <w:noWrap w:val="0"/>
                  <w:vAlign w:val="center"/>
                </w:tcPr>
                <w:p>
                  <w:pPr>
                    <w:jc w:val="center"/>
                    <w:rPr>
                      <w:szCs w:val="21"/>
                    </w:rPr>
                  </w:pPr>
                  <w:r>
                    <w:rPr>
                      <w:szCs w:val="21"/>
                    </w:rPr>
                    <w:t>二沉池</w:t>
                  </w:r>
                </w:p>
              </w:tc>
              <w:tc>
                <w:tcPr>
                  <w:tcW w:w="1681" w:type="pct"/>
                  <w:noWrap w:val="0"/>
                  <w:vAlign w:val="center"/>
                </w:tcPr>
                <w:p>
                  <w:pPr>
                    <w:jc w:val="center"/>
                    <w:rPr>
                      <w:szCs w:val="21"/>
                    </w:rPr>
                  </w:pPr>
                  <w:r>
                    <w:rPr>
                      <w:szCs w:val="21"/>
                    </w:rPr>
                    <w:t>5.0×4.0×5.9m</w:t>
                  </w:r>
                </w:p>
              </w:tc>
              <w:tc>
                <w:tcPr>
                  <w:tcW w:w="504" w:type="pct"/>
                  <w:noWrap w:val="0"/>
                  <w:vAlign w:val="center"/>
                </w:tcPr>
                <w:p>
                  <w:pPr>
                    <w:jc w:val="center"/>
                    <w:rPr>
                      <w:szCs w:val="21"/>
                    </w:rPr>
                  </w:pPr>
                </w:p>
              </w:tc>
              <w:tc>
                <w:tcPr>
                  <w:tcW w:w="336" w:type="pct"/>
                  <w:noWrap w:val="0"/>
                  <w:vAlign w:val="center"/>
                </w:tcPr>
                <w:p>
                  <w:pPr>
                    <w:jc w:val="center"/>
                    <w:rPr>
                      <w:szCs w:val="21"/>
                    </w:rPr>
                  </w:pPr>
                  <w:r>
                    <w:rPr>
                      <w:szCs w:val="21"/>
                    </w:rPr>
                    <w:t>1</w:t>
                  </w:r>
                </w:p>
              </w:tc>
              <w:tc>
                <w:tcPr>
                  <w:tcW w:w="511" w:type="pct"/>
                  <w:noWrap w:val="0"/>
                  <w:vAlign w:val="center"/>
                </w:tcPr>
                <w:p>
                  <w:pPr>
                    <w:jc w:val="center"/>
                    <w:rPr>
                      <w:szCs w:val="21"/>
                    </w:rPr>
                  </w:pPr>
                  <w:r>
                    <w:rPr>
                      <w:szCs w:val="21"/>
                    </w:rPr>
                    <w:t>钢混</w:t>
                  </w:r>
                </w:p>
              </w:tc>
              <w:tc>
                <w:tcPr>
                  <w:tcW w:w="861" w:type="pct"/>
                  <w:noWrap w:val="0"/>
                  <w:vAlign w:val="center"/>
                </w:tcPr>
                <w:p>
                  <w:pPr>
                    <w:jc w:val="center"/>
                    <w:rPr>
                      <w:szCs w:val="21"/>
                    </w:rPr>
                  </w:pPr>
                  <w:r>
                    <w:rPr>
                      <w:szCs w:val="21"/>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83" w:type="pct"/>
                  <w:noWrap w:val="0"/>
                  <w:vAlign w:val="center"/>
                </w:tcPr>
                <w:p>
                  <w:pPr>
                    <w:jc w:val="center"/>
                    <w:rPr>
                      <w:szCs w:val="21"/>
                    </w:rPr>
                  </w:pPr>
                  <w:r>
                    <w:rPr>
                      <w:szCs w:val="21"/>
                    </w:rPr>
                    <w:t>10</w:t>
                  </w:r>
                </w:p>
              </w:tc>
              <w:tc>
                <w:tcPr>
                  <w:tcW w:w="924" w:type="pct"/>
                  <w:noWrap w:val="0"/>
                  <w:vAlign w:val="center"/>
                </w:tcPr>
                <w:p>
                  <w:pPr>
                    <w:jc w:val="center"/>
                    <w:rPr>
                      <w:szCs w:val="21"/>
                    </w:rPr>
                  </w:pPr>
                  <w:r>
                    <w:rPr>
                      <w:szCs w:val="21"/>
                    </w:rPr>
                    <w:t>一体化设备</w:t>
                  </w:r>
                </w:p>
              </w:tc>
              <w:tc>
                <w:tcPr>
                  <w:tcW w:w="1681" w:type="pct"/>
                  <w:noWrap w:val="0"/>
                  <w:vAlign w:val="center"/>
                </w:tcPr>
                <w:p>
                  <w:pPr>
                    <w:jc w:val="center"/>
                    <w:rPr>
                      <w:szCs w:val="21"/>
                    </w:rPr>
                  </w:pPr>
                  <w:r>
                    <w:rPr>
                      <w:szCs w:val="21"/>
                    </w:rPr>
                    <w:t>21.20×13.40×0.40m</w:t>
                  </w:r>
                </w:p>
              </w:tc>
              <w:tc>
                <w:tcPr>
                  <w:tcW w:w="504" w:type="pct"/>
                  <w:noWrap w:val="0"/>
                  <w:vAlign w:val="center"/>
                </w:tcPr>
                <w:p>
                  <w:pPr>
                    <w:jc w:val="center"/>
                    <w:rPr>
                      <w:szCs w:val="21"/>
                    </w:rPr>
                  </w:pPr>
                </w:p>
              </w:tc>
              <w:tc>
                <w:tcPr>
                  <w:tcW w:w="336" w:type="pct"/>
                  <w:noWrap w:val="0"/>
                  <w:vAlign w:val="center"/>
                </w:tcPr>
                <w:p>
                  <w:pPr>
                    <w:jc w:val="center"/>
                    <w:rPr>
                      <w:szCs w:val="21"/>
                    </w:rPr>
                  </w:pPr>
                  <w:r>
                    <w:rPr>
                      <w:szCs w:val="21"/>
                    </w:rPr>
                    <w:t>1</w:t>
                  </w:r>
                </w:p>
              </w:tc>
              <w:tc>
                <w:tcPr>
                  <w:tcW w:w="511" w:type="pct"/>
                  <w:noWrap w:val="0"/>
                  <w:vAlign w:val="center"/>
                </w:tcPr>
                <w:p>
                  <w:pPr>
                    <w:jc w:val="center"/>
                    <w:rPr>
                      <w:szCs w:val="21"/>
                    </w:rPr>
                  </w:pPr>
                  <w:r>
                    <w:rPr>
                      <w:szCs w:val="21"/>
                    </w:rPr>
                    <w:t>钢结构</w:t>
                  </w:r>
                </w:p>
              </w:tc>
              <w:tc>
                <w:tcPr>
                  <w:tcW w:w="861" w:type="pct"/>
                  <w:noWrap w:val="0"/>
                  <w:vAlign w:val="center"/>
                </w:tcPr>
                <w:p>
                  <w:pPr>
                    <w:jc w:val="center"/>
                    <w:rPr>
                      <w:szCs w:val="21"/>
                    </w:rPr>
                  </w:pPr>
                  <w:r>
                    <w:rPr>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83" w:type="pct"/>
                  <w:noWrap w:val="0"/>
                  <w:vAlign w:val="center"/>
                </w:tcPr>
                <w:p>
                  <w:pPr>
                    <w:jc w:val="center"/>
                    <w:rPr>
                      <w:szCs w:val="21"/>
                    </w:rPr>
                  </w:pPr>
                  <w:r>
                    <w:rPr>
                      <w:szCs w:val="21"/>
                    </w:rPr>
                    <w:t>11</w:t>
                  </w:r>
                </w:p>
              </w:tc>
              <w:tc>
                <w:tcPr>
                  <w:tcW w:w="924" w:type="pct"/>
                  <w:noWrap w:val="0"/>
                  <w:vAlign w:val="center"/>
                </w:tcPr>
                <w:p>
                  <w:pPr>
                    <w:jc w:val="center"/>
                    <w:rPr>
                      <w:szCs w:val="21"/>
                    </w:rPr>
                  </w:pPr>
                  <w:r>
                    <w:rPr>
                      <w:szCs w:val="21"/>
                    </w:rPr>
                    <w:t>清水池</w:t>
                  </w:r>
                </w:p>
              </w:tc>
              <w:tc>
                <w:tcPr>
                  <w:tcW w:w="1681" w:type="pct"/>
                  <w:noWrap w:val="0"/>
                  <w:vAlign w:val="center"/>
                </w:tcPr>
                <w:p>
                  <w:pPr>
                    <w:jc w:val="center"/>
                    <w:rPr>
                      <w:szCs w:val="21"/>
                    </w:rPr>
                  </w:pPr>
                  <w:r>
                    <w:rPr>
                      <w:szCs w:val="21"/>
                    </w:rPr>
                    <w:t>4.0×1.7×5.9m</w:t>
                  </w:r>
                </w:p>
              </w:tc>
              <w:tc>
                <w:tcPr>
                  <w:tcW w:w="504" w:type="pct"/>
                  <w:noWrap w:val="0"/>
                  <w:vAlign w:val="center"/>
                </w:tcPr>
                <w:p>
                  <w:pPr>
                    <w:jc w:val="center"/>
                    <w:rPr>
                      <w:szCs w:val="21"/>
                    </w:rPr>
                  </w:pPr>
                </w:p>
              </w:tc>
              <w:tc>
                <w:tcPr>
                  <w:tcW w:w="336" w:type="pct"/>
                  <w:noWrap w:val="0"/>
                  <w:vAlign w:val="center"/>
                </w:tcPr>
                <w:p>
                  <w:pPr>
                    <w:jc w:val="center"/>
                    <w:rPr>
                      <w:szCs w:val="21"/>
                    </w:rPr>
                  </w:pPr>
                  <w:r>
                    <w:rPr>
                      <w:szCs w:val="21"/>
                    </w:rPr>
                    <w:t>1</w:t>
                  </w:r>
                </w:p>
              </w:tc>
              <w:tc>
                <w:tcPr>
                  <w:tcW w:w="511" w:type="pct"/>
                  <w:noWrap w:val="0"/>
                  <w:vAlign w:val="center"/>
                </w:tcPr>
                <w:p>
                  <w:pPr>
                    <w:jc w:val="center"/>
                    <w:rPr>
                      <w:szCs w:val="21"/>
                    </w:rPr>
                  </w:pPr>
                  <w:r>
                    <w:rPr>
                      <w:szCs w:val="21"/>
                    </w:rPr>
                    <w:t>钢混</w:t>
                  </w:r>
                </w:p>
              </w:tc>
              <w:tc>
                <w:tcPr>
                  <w:tcW w:w="861" w:type="pct"/>
                  <w:noWrap w:val="0"/>
                  <w:vAlign w:val="center"/>
                </w:tcPr>
                <w:p>
                  <w:pPr>
                    <w:jc w:val="center"/>
                    <w:rPr>
                      <w:szCs w:val="21"/>
                    </w:rPr>
                  </w:pPr>
                  <w:r>
                    <w:rPr>
                      <w:kern w:val="0"/>
                      <w:szCs w:val="21"/>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83" w:type="pct"/>
                  <w:noWrap w:val="0"/>
                  <w:vAlign w:val="center"/>
                </w:tcPr>
                <w:p>
                  <w:pPr>
                    <w:jc w:val="center"/>
                    <w:rPr>
                      <w:szCs w:val="21"/>
                    </w:rPr>
                  </w:pPr>
                  <w:r>
                    <w:rPr>
                      <w:szCs w:val="21"/>
                    </w:rPr>
                    <w:t>12</w:t>
                  </w:r>
                </w:p>
              </w:tc>
              <w:tc>
                <w:tcPr>
                  <w:tcW w:w="924" w:type="pct"/>
                  <w:noWrap w:val="0"/>
                  <w:vAlign w:val="center"/>
                </w:tcPr>
                <w:p>
                  <w:pPr>
                    <w:jc w:val="center"/>
                    <w:rPr>
                      <w:szCs w:val="21"/>
                    </w:rPr>
                  </w:pPr>
                  <w:r>
                    <w:rPr>
                      <w:szCs w:val="21"/>
                    </w:rPr>
                    <w:t>储泥池</w:t>
                  </w:r>
                </w:p>
              </w:tc>
              <w:tc>
                <w:tcPr>
                  <w:tcW w:w="1681" w:type="pct"/>
                  <w:noWrap w:val="0"/>
                  <w:vAlign w:val="center"/>
                </w:tcPr>
                <w:p>
                  <w:pPr>
                    <w:jc w:val="center"/>
                    <w:rPr>
                      <w:szCs w:val="21"/>
                    </w:rPr>
                  </w:pPr>
                  <w:r>
                    <w:rPr>
                      <w:szCs w:val="21"/>
                    </w:rPr>
                    <w:t>2.0×2×2.3m</w:t>
                  </w:r>
                </w:p>
              </w:tc>
              <w:tc>
                <w:tcPr>
                  <w:tcW w:w="504" w:type="pct"/>
                  <w:noWrap w:val="0"/>
                  <w:vAlign w:val="center"/>
                </w:tcPr>
                <w:p>
                  <w:pPr>
                    <w:jc w:val="center"/>
                    <w:rPr>
                      <w:szCs w:val="21"/>
                    </w:rPr>
                  </w:pPr>
                </w:p>
              </w:tc>
              <w:tc>
                <w:tcPr>
                  <w:tcW w:w="336" w:type="pct"/>
                  <w:noWrap w:val="0"/>
                  <w:vAlign w:val="center"/>
                </w:tcPr>
                <w:p>
                  <w:pPr>
                    <w:jc w:val="center"/>
                    <w:rPr>
                      <w:szCs w:val="21"/>
                    </w:rPr>
                  </w:pPr>
                  <w:r>
                    <w:rPr>
                      <w:szCs w:val="21"/>
                    </w:rPr>
                    <w:t>1</w:t>
                  </w:r>
                </w:p>
              </w:tc>
              <w:tc>
                <w:tcPr>
                  <w:tcW w:w="511" w:type="pct"/>
                  <w:noWrap w:val="0"/>
                  <w:vAlign w:val="center"/>
                </w:tcPr>
                <w:p>
                  <w:pPr>
                    <w:jc w:val="center"/>
                    <w:rPr>
                      <w:szCs w:val="21"/>
                    </w:rPr>
                  </w:pPr>
                  <w:r>
                    <w:rPr>
                      <w:szCs w:val="21"/>
                    </w:rPr>
                    <w:t>钢混</w:t>
                  </w:r>
                </w:p>
              </w:tc>
              <w:tc>
                <w:tcPr>
                  <w:tcW w:w="861" w:type="pct"/>
                  <w:noWrap w:val="0"/>
                  <w:vAlign w:val="center"/>
                </w:tcPr>
                <w:p>
                  <w:pPr>
                    <w:jc w:val="center"/>
                    <w:rPr>
                      <w:szCs w:val="21"/>
                    </w:rPr>
                  </w:pPr>
                  <w:r>
                    <w:rPr>
                      <w:kern w:val="0"/>
                      <w:szCs w:val="21"/>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83" w:type="pct"/>
                  <w:noWrap w:val="0"/>
                  <w:vAlign w:val="center"/>
                </w:tcPr>
                <w:p>
                  <w:pPr>
                    <w:jc w:val="center"/>
                    <w:rPr>
                      <w:szCs w:val="21"/>
                    </w:rPr>
                  </w:pPr>
                  <w:r>
                    <w:rPr>
                      <w:szCs w:val="21"/>
                    </w:rPr>
                    <w:t>13</w:t>
                  </w:r>
                </w:p>
              </w:tc>
              <w:tc>
                <w:tcPr>
                  <w:tcW w:w="924" w:type="pct"/>
                  <w:noWrap w:val="0"/>
                  <w:vAlign w:val="center"/>
                </w:tcPr>
                <w:p>
                  <w:pPr>
                    <w:jc w:val="center"/>
                    <w:rPr>
                      <w:szCs w:val="21"/>
                    </w:rPr>
                  </w:pPr>
                  <w:r>
                    <w:rPr>
                      <w:szCs w:val="21"/>
                    </w:rPr>
                    <w:t>脱水机房</w:t>
                  </w:r>
                </w:p>
              </w:tc>
              <w:tc>
                <w:tcPr>
                  <w:tcW w:w="1681" w:type="pct"/>
                  <w:noWrap w:val="0"/>
                  <w:vAlign w:val="center"/>
                </w:tcPr>
                <w:p>
                  <w:pPr>
                    <w:jc w:val="center"/>
                    <w:rPr>
                      <w:szCs w:val="21"/>
                    </w:rPr>
                  </w:pPr>
                  <w:r>
                    <w:rPr>
                      <w:szCs w:val="21"/>
                    </w:rPr>
                    <w:t>7.3×4.3m</w:t>
                  </w:r>
                </w:p>
              </w:tc>
              <w:tc>
                <w:tcPr>
                  <w:tcW w:w="504" w:type="pct"/>
                  <w:noWrap w:val="0"/>
                  <w:vAlign w:val="center"/>
                </w:tcPr>
                <w:p>
                  <w:pPr>
                    <w:jc w:val="center"/>
                    <w:rPr>
                      <w:szCs w:val="21"/>
                    </w:rPr>
                  </w:pPr>
                </w:p>
              </w:tc>
              <w:tc>
                <w:tcPr>
                  <w:tcW w:w="336" w:type="pct"/>
                  <w:noWrap w:val="0"/>
                  <w:vAlign w:val="center"/>
                </w:tcPr>
                <w:p>
                  <w:pPr>
                    <w:jc w:val="center"/>
                    <w:rPr>
                      <w:szCs w:val="21"/>
                    </w:rPr>
                  </w:pPr>
                  <w:r>
                    <w:rPr>
                      <w:szCs w:val="21"/>
                    </w:rPr>
                    <w:t>1</w:t>
                  </w:r>
                </w:p>
              </w:tc>
              <w:tc>
                <w:tcPr>
                  <w:tcW w:w="511" w:type="pct"/>
                  <w:noWrap w:val="0"/>
                  <w:vAlign w:val="center"/>
                </w:tcPr>
                <w:p>
                  <w:pPr>
                    <w:jc w:val="center"/>
                    <w:rPr>
                      <w:szCs w:val="21"/>
                    </w:rPr>
                  </w:pPr>
                  <w:r>
                    <w:rPr>
                      <w:szCs w:val="21"/>
                    </w:rPr>
                    <w:t>框架</w:t>
                  </w:r>
                </w:p>
                <w:p>
                  <w:pPr>
                    <w:jc w:val="center"/>
                    <w:rPr>
                      <w:szCs w:val="21"/>
                    </w:rPr>
                  </w:pPr>
                  <w:r>
                    <w:rPr>
                      <w:szCs w:val="21"/>
                    </w:rPr>
                    <w:t>结构</w:t>
                  </w:r>
                </w:p>
              </w:tc>
              <w:tc>
                <w:tcPr>
                  <w:tcW w:w="861" w:type="pct"/>
                  <w:noWrap w:val="0"/>
                  <w:vAlign w:val="center"/>
                </w:tcPr>
                <w:p>
                  <w:pPr>
                    <w:jc w:val="center"/>
                    <w:rPr>
                      <w:szCs w:val="21"/>
                    </w:rPr>
                  </w:pPr>
                  <w:r>
                    <w:rPr>
                      <w:kern w:val="0"/>
                      <w:szCs w:val="21"/>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83" w:type="pct"/>
                  <w:noWrap w:val="0"/>
                  <w:vAlign w:val="center"/>
                </w:tcPr>
                <w:p>
                  <w:pPr>
                    <w:jc w:val="center"/>
                    <w:rPr>
                      <w:szCs w:val="21"/>
                    </w:rPr>
                  </w:pPr>
                  <w:r>
                    <w:rPr>
                      <w:szCs w:val="21"/>
                    </w:rPr>
                    <w:t>14</w:t>
                  </w:r>
                </w:p>
              </w:tc>
              <w:tc>
                <w:tcPr>
                  <w:tcW w:w="924" w:type="pct"/>
                  <w:noWrap w:val="0"/>
                  <w:vAlign w:val="center"/>
                </w:tcPr>
                <w:p>
                  <w:pPr>
                    <w:jc w:val="center"/>
                    <w:rPr>
                      <w:szCs w:val="21"/>
                    </w:rPr>
                  </w:pPr>
                  <w:r>
                    <w:rPr>
                      <w:szCs w:val="21"/>
                    </w:rPr>
                    <w:t>污泥料仓</w:t>
                  </w:r>
                </w:p>
              </w:tc>
              <w:tc>
                <w:tcPr>
                  <w:tcW w:w="1681" w:type="pct"/>
                  <w:noWrap w:val="0"/>
                  <w:vAlign w:val="center"/>
                </w:tcPr>
                <w:p>
                  <w:pPr>
                    <w:jc w:val="center"/>
                    <w:rPr>
                      <w:szCs w:val="21"/>
                    </w:rPr>
                  </w:pPr>
                  <w:r>
                    <w:rPr>
                      <w:szCs w:val="21"/>
                    </w:rPr>
                    <w:t>4.00×3.60×1.50m</w:t>
                  </w:r>
                </w:p>
              </w:tc>
              <w:tc>
                <w:tcPr>
                  <w:tcW w:w="504" w:type="pct"/>
                  <w:noWrap w:val="0"/>
                  <w:vAlign w:val="center"/>
                </w:tcPr>
                <w:p>
                  <w:pPr>
                    <w:jc w:val="center"/>
                    <w:rPr>
                      <w:szCs w:val="21"/>
                    </w:rPr>
                  </w:pPr>
                </w:p>
              </w:tc>
              <w:tc>
                <w:tcPr>
                  <w:tcW w:w="336" w:type="pct"/>
                  <w:noWrap w:val="0"/>
                  <w:vAlign w:val="center"/>
                </w:tcPr>
                <w:p>
                  <w:pPr>
                    <w:jc w:val="center"/>
                    <w:rPr>
                      <w:szCs w:val="21"/>
                    </w:rPr>
                  </w:pPr>
                </w:p>
              </w:tc>
              <w:tc>
                <w:tcPr>
                  <w:tcW w:w="511" w:type="pct"/>
                  <w:noWrap w:val="0"/>
                  <w:vAlign w:val="center"/>
                </w:tcPr>
                <w:p>
                  <w:pPr>
                    <w:jc w:val="center"/>
                    <w:rPr>
                      <w:szCs w:val="21"/>
                    </w:rPr>
                  </w:pPr>
                </w:p>
              </w:tc>
              <w:tc>
                <w:tcPr>
                  <w:tcW w:w="861" w:type="pct"/>
                  <w:noWrap w:val="0"/>
                  <w:vAlign w:val="center"/>
                </w:tcPr>
                <w:p>
                  <w:pPr>
                    <w:jc w:val="center"/>
                    <w:rPr>
                      <w:szCs w:val="21"/>
                    </w:rPr>
                  </w:pPr>
                  <w:r>
                    <w:rPr>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83" w:type="pct"/>
                  <w:noWrap w:val="0"/>
                  <w:vAlign w:val="center"/>
                </w:tcPr>
                <w:p>
                  <w:pPr>
                    <w:jc w:val="center"/>
                    <w:rPr>
                      <w:szCs w:val="21"/>
                    </w:rPr>
                  </w:pPr>
                  <w:r>
                    <w:rPr>
                      <w:szCs w:val="21"/>
                    </w:rPr>
                    <w:t>15</w:t>
                  </w:r>
                </w:p>
              </w:tc>
              <w:tc>
                <w:tcPr>
                  <w:tcW w:w="924" w:type="pct"/>
                  <w:noWrap w:val="0"/>
                  <w:vAlign w:val="center"/>
                </w:tcPr>
                <w:p>
                  <w:pPr>
                    <w:jc w:val="center"/>
                    <w:rPr>
                      <w:szCs w:val="21"/>
                    </w:rPr>
                  </w:pPr>
                  <w:r>
                    <w:rPr>
                      <w:szCs w:val="21"/>
                    </w:rPr>
                    <w:t>综合用房</w:t>
                  </w:r>
                </w:p>
              </w:tc>
              <w:tc>
                <w:tcPr>
                  <w:tcW w:w="1681" w:type="pct"/>
                  <w:noWrap w:val="0"/>
                  <w:vAlign w:val="center"/>
                </w:tcPr>
                <w:p>
                  <w:pPr>
                    <w:jc w:val="center"/>
                    <w:rPr>
                      <w:szCs w:val="21"/>
                    </w:rPr>
                  </w:pPr>
                </w:p>
              </w:tc>
              <w:tc>
                <w:tcPr>
                  <w:tcW w:w="504" w:type="pct"/>
                  <w:noWrap w:val="0"/>
                  <w:vAlign w:val="center"/>
                </w:tcPr>
                <w:p>
                  <w:pPr>
                    <w:jc w:val="center"/>
                    <w:rPr>
                      <w:szCs w:val="21"/>
                    </w:rPr>
                  </w:pPr>
                  <w:r>
                    <w:rPr>
                      <w:szCs w:val="21"/>
                    </w:rPr>
                    <w:t>148.95</w:t>
                  </w:r>
                </w:p>
              </w:tc>
              <w:tc>
                <w:tcPr>
                  <w:tcW w:w="336" w:type="pct"/>
                  <w:noWrap w:val="0"/>
                  <w:vAlign w:val="center"/>
                </w:tcPr>
                <w:p>
                  <w:pPr>
                    <w:jc w:val="center"/>
                    <w:rPr>
                      <w:szCs w:val="21"/>
                    </w:rPr>
                  </w:pPr>
                  <w:r>
                    <w:rPr>
                      <w:szCs w:val="21"/>
                    </w:rPr>
                    <w:t>1</w:t>
                  </w:r>
                </w:p>
              </w:tc>
              <w:tc>
                <w:tcPr>
                  <w:tcW w:w="511" w:type="pct"/>
                  <w:noWrap w:val="0"/>
                  <w:vAlign w:val="center"/>
                </w:tcPr>
                <w:p>
                  <w:pPr>
                    <w:jc w:val="center"/>
                    <w:rPr>
                      <w:szCs w:val="21"/>
                    </w:rPr>
                  </w:pPr>
                  <w:r>
                    <w:rPr>
                      <w:szCs w:val="21"/>
                    </w:rPr>
                    <w:t>框架</w:t>
                  </w:r>
                </w:p>
                <w:p>
                  <w:pPr>
                    <w:jc w:val="center"/>
                    <w:rPr>
                      <w:szCs w:val="21"/>
                    </w:rPr>
                  </w:pPr>
                  <w:r>
                    <w:rPr>
                      <w:szCs w:val="21"/>
                    </w:rPr>
                    <w:t>结构</w:t>
                  </w:r>
                </w:p>
              </w:tc>
              <w:tc>
                <w:tcPr>
                  <w:tcW w:w="861" w:type="pct"/>
                  <w:noWrap w:val="0"/>
                  <w:vAlign w:val="center"/>
                </w:tcPr>
                <w:p>
                  <w:pPr>
                    <w:jc w:val="center"/>
                    <w:rPr>
                      <w:szCs w:val="21"/>
                    </w:rPr>
                  </w:pPr>
                  <w:r>
                    <w:rPr>
                      <w:kern w:val="0"/>
                      <w:szCs w:val="21"/>
                    </w:rPr>
                    <w:t>利旧</w:t>
                  </w:r>
                </w:p>
              </w:tc>
            </w:tr>
          </w:tbl>
          <w:p>
            <w:pPr>
              <w:adjustRightInd w:val="0"/>
              <w:snapToGrid w:val="0"/>
              <w:spacing w:line="360" w:lineRule="auto"/>
              <w:rPr>
                <w:b/>
                <w:sz w:val="24"/>
              </w:rPr>
            </w:pPr>
            <w:r>
              <w:rPr>
                <w:b/>
                <w:sz w:val="24"/>
              </w:rPr>
              <w:t>7、主要原辅材料及能源</w:t>
            </w:r>
          </w:p>
          <w:p>
            <w:pPr>
              <w:adjustRightInd w:val="0"/>
              <w:snapToGrid w:val="0"/>
              <w:spacing w:line="360" w:lineRule="auto"/>
              <w:ind w:firstLine="480" w:firstLineChars="200"/>
              <w:rPr>
                <w:bCs/>
                <w:sz w:val="24"/>
              </w:rPr>
            </w:pPr>
            <w:r>
              <w:rPr>
                <w:bCs/>
                <w:sz w:val="24"/>
              </w:rPr>
              <w:t>本项目主要原辅材料及能源见下表。</w:t>
            </w:r>
          </w:p>
          <w:p>
            <w:pPr>
              <w:pStyle w:val="281"/>
              <w:spacing w:before="0"/>
              <w:ind w:left="902" w:hanging="482"/>
              <w:jc w:val="center"/>
              <w:rPr>
                <w:rFonts w:eastAsia="黑体"/>
                <w:color w:val="auto"/>
              </w:rPr>
            </w:pPr>
            <w:r>
              <w:rPr>
                <w:rFonts w:eastAsia="黑体"/>
                <w:color w:val="auto"/>
              </w:rPr>
              <w:t>表2-6  主要原辅材料况表</w:t>
            </w:r>
          </w:p>
          <w:tbl>
            <w:tblPr>
              <w:tblStyle w:val="32"/>
              <w:tblW w:w="8438"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640"/>
              <w:gridCol w:w="926"/>
              <w:gridCol w:w="1699"/>
              <w:gridCol w:w="764"/>
              <w:gridCol w:w="739"/>
              <w:gridCol w:w="1170"/>
              <w:gridCol w:w="751"/>
              <w:gridCol w:w="548"/>
              <w:gridCol w:w="554"/>
              <w:gridCol w:w="64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46" w:hRule="atLeast"/>
                <w:jc w:val="center"/>
              </w:trPr>
              <w:tc>
                <w:tcPr>
                  <w:tcW w:w="379" w:type="pct"/>
                  <w:vMerge w:val="restart"/>
                  <w:shd w:val="clear" w:color="auto" w:fill="CCFFFF"/>
                  <w:noWrap w:val="0"/>
                  <w:vAlign w:val="center"/>
                </w:tcPr>
                <w:p>
                  <w:pPr>
                    <w:pStyle w:val="17"/>
                    <w:snapToGrid w:val="0"/>
                    <w:jc w:val="center"/>
                    <w:rPr>
                      <w:rFonts w:ascii="Times New Roman" w:hAnsi="Times New Roman"/>
                      <w:b/>
                      <w:szCs w:val="21"/>
                    </w:rPr>
                  </w:pPr>
                  <w:r>
                    <w:rPr>
                      <w:rFonts w:ascii="Times New Roman" w:hAnsi="Times New Roman"/>
                      <w:b/>
                      <w:szCs w:val="21"/>
                    </w:rPr>
                    <w:t>类别</w:t>
                  </w:r>
                </w:p>
              </w:tc>
              <w:tc>
                <w:tcPr>
                  <w:tcW w:w="549" w:type="pct"/>
                  <w:vMerge w:val="restart"/>
                  <w:shd w:val="clear" w:color="auto" w:fill="CCFFFF"/>
                  <w:noWrap w:val="0"/>
                  <w:vAlign w:val="center"/>
                </w:tcPr>
                <w:p>
                  <w:pPr>
                    <w:pStyle w:val="17"/>
                    <w:snapToGrid w:val="0"/>
                    <w:jc w:val="center"/>
                    <w:rPr>
                      <w:rFonts w:ascii="Times New Roman" w:hAnsi="Times New Roman"/>
                      <w:b/>
                      <w:szCs w:val="21"/>
                    </w:rPr>
                  </w:pPr>
                  <w:r>
                    <w:rPr>
                      <w:rFonts w:ascii="Times New Roman" w:hAnsi="Times New Roman"/>
                      <w:b/>
                      <w:szCs w:val="21"/>
                    </w:rPr>
                    <w:t>名称</w:t>
                  </w:r>
                </w:p>
              </w:tc>
              <w:tc>
                <w:tcPr>
                  <w:tcW w:w="1007" w:type="pct"/>
                  <w:vMerge w:val="restart"/>
                  <w:shd w:val="clear" w:color="auto" w:fill="CCFFFF"/>
                  <w:noWrap w:val="0"/>
                  <w:vAlign w:val="center"/>
                </w:tcPr>
                <w:p>
                  <w:pPr>
                    <w:pStyle w:val="17"/>
                    <w:snapToGrid w:val="0"/>
                    <w:jc w:val="center"/>
                    <w:rPr>
                      <w:rFonts w:ascii="Times New Roman" w:hAnsi="Times New Roman"/>
                      <w:b/>
                      <w:szCs w:val="21"/>
                    </w:rPr>
                  </w:pPr>
                  <w:r>
                    <w:rPr>
                      <w:rFonts w:ascii="Times New Roman" w:hAnsi="Times New Roman"/>
                      <w:b/>
                      <w:szCs w:val="21"/>
                    </w:rPr>
                    <w:t>主要化学成分</w:t>
                  </w:r>
                </w:p>
              </w:tc>
              <w:tc>
                <w:tcPr>
                  <w:tcW w:w="891" w:type="pct"/>
                  <w:gridSpan w:val="2"/>
                  <w:shd w:val="clear" w:color="auto" w:fill="CCFFFF"/>
                  <w:noWrap w:val="0"/>
                  <w:vAlign w:val="center"/>
                </w:tcPr>
                <w:p>
                  <w:pPr>
                    <w:pStyle w:val="17"/>
                    <w:snapToGrid w:val="0"/>
                    <w:jc w:val="center"/>
                    <w:rPr>
                      <w:rFonts w:ascii="Times New Roman" w:hAnsi="Times New Roman"/>
                      <w:b/>
                      <w:szCs w:val="21"/>
                    </w:rPr>
                  </w:pPr>
                  <w:r>
                    <w:rPr>
                      <w:rFonts w:ascii="Times New Roman" w:hAnsi="Times New Roman"/>
                      <w:b/>
                      <w:szCs w:val="21"/>
                    </w:rPr>
                    <w:t>年耗量（t/a）</w:t>
                  </w:r>
                </w:p>
              </w:tc>
              <w:tc>
                <w:tcPr>
                  <w:tcW w:w="693" w:type="pct"/>
                  <w:vMerge w:val="restart"/>
                  <w:shd w:val="clear" w:color="auto" w:fill="CCFFFF"/>
                  <w:noWrap w:val="0"/>
                  <w:vAlign w:val="center"/>
                </w:tcPr>
                <w:p>
                  <w:pPr>
                    <w:pStyle w:val="17"/>
                    <w:snapToGrid w:val="0"/>
                    <w:jc w:val="center"/>
                    <w:rPr>
                      <w:rFonts w:ascii="Times New Roman" w:hAnsi="Times New Roman"/>
                      <w:b/>
                      <w:szCs w:val="21"/>
                    </w:rPr>
                  </w:pPr>
                  <w:r>
                    <w:rPr>
                      <w:rFonts w:ascii="Times New Roman" w:hAnsi="Times New Roman"/>
                      <w:b/>
                      <w:szCs w:val="21"/>
                    </w:rPr>
                    <w:t>储存</w:t>
                  </w:r>
                </w:p>
                <w:p>
                  <w:pPr>
                    <w:pStyle w:val="17"/>
                    <w:snapToGrid w:val="0"/>
                    <w:jc w:val="center"/>
                    <w:rPr>
                      <w:rFonts w:ascii="Times New Roman" w:hAnsi="Times New Roman"/>
                      <w:b/>
                      <w:szCs w:val="21"/>
                    </w:rPr>
                  </w:pPr>
                  <w:r>
                    <w:rPr>
                      <w:rFonts w:ascii="Times New Roman" w:hAnsi="Times New Roman"/>
                      <w:b/>
                      <w:szCs w:val="21"/>
                    </w:rPr>
                    <w:t>位置</w:t>
                  </w:r>
                </w:p>
              </w:tc>
              <w:tc>
                <w:tcPr>
                  <w:tcW w:w="445" w:type="pct"/>
                  <w:vMerge w:val="restart"/>
                  <w:shd w:val="clear" w:color="auto" w:fill="CCFFFF"/>
                  <w:noWrap w:val="0"/>
                  <w:vAlign w:val="center"/>
                </w:tcPr>
                <w:p>
                  <w:pPr>
                    <w:pStyle w:val="17"/>
                    <w:snapToGrid w:val="0"/>
                    <w:jc w:val="center"/>
                    <w:rPr>
                      <w:rFonts w:ascii="Times New Roman" w:hAnsi="Times New Roman"/>
                      <w:b/>
                      <w:szCs w:val="21"/>
                    </w:rPr>
                  </w:pPr>
                  <w:r>
                    <w:rPr>
                      <w:rFonts w:ascii="Times New Roman" w:hAnsi="Times New Roman"/>
                      <w:b/>
                      <w:szCs w:val="21"/>
                    </w:rPr>
                    <w:t>最大</w:t>
                  </w:r>
                </w:p>
                <w:p>
                  <w:pPr>
                    <w:pStyle w:val="17"/>
                    <w:snapToGrid w:val="0"/>
                    <w:jc w:val="center"/>
                    <w:rPr>
                      <w:rFonts w:ascii="Times New Roman" w:hAnsi="Times New Roman"/>
                      <w:b/>
                      <w:szCs w:val="21"/>
                    </w:rPr>
                  </w:pPr>
                  <w:r>
                    <w:rPr>
                      <w:rFonts w:ascii="Times New Roman" w:hAnsi="Times New Roman"/>
                      <w:b/>
                      <w:szCs w:val="21"/>
                    </w:rPr>
                    <w:t>储存量（t/a）</w:t>
                  </w:r>
                </w:p>
              </w:tc>
              <w:tc>
                <w:tcPr>
                  <w:tcW w:w="325" w:type="pct"/>
                  <w:vMerge w:val="restart"/>
                  <w:shd w:val="clear" w:color="auto" w:fill="CCFFFF"/>
                  <w:noWrap w:val="0"/>
                  <w:vAlign w:val="center"/>
                </w:tcPr>
                <w:p>
                  <w:pPr>
                    <w:pStyle w:val="17"/>
                    <w:snapToGrid w:val="0"/>
                    <w:jc w:val="center"/>
                    <w:rPr>
                      <w:rFonts w:ascii="Times New Roman" w:hAnsi="Times New Roman"/>
                      <w:b/>
                      <w:szCs w:val="21"/>
                    </w:rPr>
                  </w:pPr>
                  <w:r>
                    <w:rPr>
                      <w:rFonts w:ascii="Times New Roman" w:hAnsi="Times New Roman"/>
                      <w:b/>
                      <w:szCs w:val="21"/>
                    </w:rPr>
                    <w:t>物料状态</w:t>
                  </w:r>
                </w:p>
              </w:tc>
              <w:tc>
                <w:tcPr>
                  <w:tcW w:w="328" w:type="pct"/>
                  <w:vMerge w:val="restart"/>
                  <w:shd w:val="clear" w:color="auto" w:fill="CCFFFF"/>
                  <w:noWrap w:val="0"/>
                  <w:vAlign w:val="center"/>
                </w:tcPr>
                <w:p>
                  <w:pPr>
                    <w:pStyle w:val="17"/>
                    <w:snapToGrid w:val="0"/>
                    <w:jc w:val="center"/>
                    <w:rPr>
                      <w:rFonts w:ascii="Times New Roman" w:hAnsi="Times New Roman"/>
                      <w:b/>
                      <w:szCs w:val="21"/>
                    </w:rPr>
                  </w:pPr>
                  <w:r>
                    <w:rPr>
                      <w:rFonts w:ascii="Times New Roman" w:hAnsi="Times New Roman"/>
                      <w:b/>
                      <w:szCs w:val="21"/>
                    </w:rPr>
                    <w:t>来源</w:t>
                  </w:r>
                </w:p>
              </w:tc>
              <w:tc>
                <w:tcPr>
                  <w:tcW w:w="383" w:type="pct"/>
                  <w:vMerge w:val="restart"/>
                  <w:shd w:val="clear" w:color="auto" w:fill="CCFFFF"/>
                  <w:noWrap w:val="0"/>
                  <w:vAlign w:val="center"/>
                </w:tcPr>
                <w:p>
                  <w:pPr>
                    <w:pStyle w:val="17"/>
                    <w:snapToGrid w:val="0"/>
                    <w:jc w:val="center"/>
                    <w:rPr>
                      <w:rFonts w:ascii="Times New Roman" w:hAnsi="Times New Roman"/>
                      <w:b/>
                      <w:szCs w:val="21"/>
                    </w:rPr>
                  </w:pPr>
                  <w:r>
                    <w:rPr>
                      <w:rFonts w:ascii="Times New Roman" w:hAnsi="Times New Roman"/>
                      <w:b/>
                      <w:szCs w:val="21"/>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46" w:hRule="atLeast"/>
                <w:jc w:val="center"/>
              </w:trPr>
              <w:tc>
                <w:tcPr>
                  <w:tcW w:w="379" w:type="pct"/>
                  <w:vMerge w:val="continue"/>
                  <w:shd w:val="clear" w:color="auto" w:fill="CCFFFF"/>
                  <w:noWrap w:val="0"/>
                  <w:vAlign w:val="center"/>
                </w:tcPr>
                <w:p>
                  <w:pPr>
                    <w:pStyle w:val="17"/>
                    <w:snapToGrid w:val="0"/>
                    <w:jc w:val="center"/>
                    <w:rPr>
                      <w:rFonts w:ascii="Times New Roman" w:hAnsi="Times New Roman"/>
                      <w:b/>
                      <w:szCs w:val="21"/>
                    </w:rPr>
                  </w:pPr>
                </w:p>
              </w:tc>
              <w:tc>
                <w:tcPr>
                  <w:tcW w:w="549" w:type="pct"/>
                  <w:vMerge w:val="continue"/>
                  <w:shd w:val="clear" w:color="auto" w:fill="CCFFFF"/>
                  <w:noWrap w:val="0"/>
                  <w:vAlign w:val="center"/>
                </w:tcPr>
                <w:p>
                  <w:pPr>
                    <w:pStyle w:val="17"/>
                    <w:snapToGrid w:val="0"/>
                    <w:jc w:val="center"/>
                    <w:rPr>
                      <w:rFonts w:ascii="Times New Roman" w:hAnsi="Times New Roman"/>
                      <w:b/>
                      <w:szCs w:val="21"/>
                    </w:rPr>
                  </w:pPr>
                </w:p>
              </w:tc>
              <w:tc>
                <w:tcPr>
                  <w:tcW w:w="1007" w:type="pct"/>
                  <w:vMerge w:val="continue"/>
                  <w:shd w:val="clear" w:color="auto" w:fill="CCFFFF"/>
                  <w:noWrap w:val="0"/>
                  <w:vAlign w:val="center"/>
                </w:tcPr>
                <w:p>
                  <w:pPr>
                    <w:pStyle w:val="17"/>
                    <w:snapToGrid w:val="0"/>
                    <w:jc w:val="center"/>
                    <w:rPr>
                      <w:rFonts w:ascii="Times New Roman" w:hAnsi="Times New Roman"/>
                      <w:b/>
                      <w:szCs w:val="21"/>
                    </w:rPr>
                  </w:pPr>
                </w:p>
              </w:tc>
              <w:tc>
                <w:tcPr>
                  <w:tcW w:w="453" w:type="pct"/>
                  <w:shd w:val="clear" w:color="auto" w:fill="CCFFFF"/>
                  <w:noWrap w:val="0"/>
                  <w:vAlign w:val="center"/>
                </w:tcPr>
                <w:p>
                  <w:pPr>
                    <w:pStyle w:val="17"/>
                    <w:snapToGrid w:val="0"/>
                    <w:jc w:val="center"/>
                    <w:rPr>
                      <w:rFonts w:ascii="Times New Roman" w:hAnsi="Times New Roman"/>
                      <w:b/>
                      <w:szCs w:val="21"/>
                    </w:rPr>
                  </w:pPr>
                  <w:r>
                    <w:rPr>
                      <w:rFonts w:ascii="Times New Roman" w:hAnsi="Times New Roman"/>
                      <w:b/>
                      <w:szCs w:val="21"/>
                    </w:rPr>
                    <w:t>扩建前</w:t>
                  </w:r>
                </w:p>
              </w:tc>
              <w:tc>
                <w:tcPr>
                  <w:tcW w:w="437" w:type="pct"/>
                  <w:shd w:val="clear" w:color="auto" w:fill="CCFFFF"/>
                  <w:noWrap w:val="0"/>
                  <w:vAlign w:val="center"/>
                </w:tcPr>
                <w:p>
                  <w:pPr>
                    <w:pStyle w:val="17"/>
                    <w:snapToGrid w:val="0"/>
                    <w:jc w:val="center"/>
                    <w:rPr>
                      <w:rFonts w:ascii="Times New Roman" w:hAnsi="Times New Roman"/>
                      <w:b/>
                      <w:szCs w:val="21"/>
                    </w:rPr>
                  </w:pPr>
                  <w:r>
                    <w:rPr>
                      <w:rFonts w:ascii="Times New Roman" w:hAnsi="Times New Roman"/>
                      <w:b/>
                      <w:szCs w:val="21"/>
                    </w:rPr>
                    <w:t>扩建后</w:t>
                  </w:r>
                </w:p>
              </w:tc>
              <w:tc>
                <w:tcPr>
                  <w:tcW w:w="693" w:type="pct"/>
                  <w:vMerge w:val="continue"/>
                  <w:shd w:val="clear" w:color="auto" w:fill="CCFFFF"/>
                  <w:noWrap w:val="0"/>
                  <w:vAlign w:val="center"/>
                </w:tcPr>
                <w:p>
                  <w:pPr>
                    <w:pStyle w:val="17"/>
                    <w:snapToGrid w:val="0"/>
                    <w:jc w:val="center"/>
                    <w:rPr>
                      <w:rFonts w:ascii="Times New Roman" w:hAnsi="Times New Roman"/>
                      <w:b/>
                      <w:szCs w:val="21"/>
                    </w:rPr>
                  </w:pPr>
                </w:p>
              </w:tc>
              <w:tc>
                <w:tcPr>
                  <w:tcW w:w="445" w:type="pct"/>
                  <w:vMerge w:val="continue"/>
                  <w:shd w:val="clear" w:color="auto" w:fill="CCFFFF"/>
                  <w:noWrap w:val="0"/>
                  <w:vAlign w:val="center"/>
                </w:tcPr>
                <w:p>
                  <w:pPr>
                    <w:pStyle w:val="17"/>
                    <w:snapToGrid w:val="0"/>
                    <w:jc w:val="center"/>
                    <w:rPr>
                      <w:rFonts w:ascii="Times New Roman" w:hAnsi="Times New Roman"/>
                      <w:b/>
                      <w:szCs w:val="21"/>
                    </w:rPr>
                  </w:pPr>
                </w:p>
              </w:tc>
              <w:tc>
                <w:tcPr>
                  <w:tcW w:w="325" w:type="pct"/>
                  <w:vMerge w:val="continue"/>
                  <w:shd w:val="clear" w:color="auto" w:fill="CCFFFF"/>
                  <w:noWrap w:val="0"/>
                  <w:vAlign w:val="center"/>
                </w:tcPr>
                <w:p>
                  <w:pPr>
                    <w:pStyle w:val="17"/>
                    <w:snapToGrid w:val="0"/>
                    <w:jc w:val="center"/>
                    <w:rPr>
                      <w:rFonts w:ascii="Times New Roman" w:hAnsi="Times New Roman"/>
                      <w:b/>
                      <w:szCs w:val="21"/>
                    </w:rPr>
                  </w:pPr>
                </w:p>
              </w:tc>
              <w:tc>
                <w:tcPr>
                  <w:tcW w:w="328" w:type="pct"/>
                  <w:vMerge w:val="continue"/>
                  <w:shd w:val="clear" w:color="auto" w:fill="CCFFFF"/>
                  <w:noWrap w:val="0"/>
                  <w:vAlign w:val="center"/>
                </w:tcPr>
                <w:p>
                  <w:pPr>
                    <w:pStyle w:val="17"/>
                    <w:snapToGrid w:val="0"/>
                    <w:jc w:val="center"/>
                    <w:rPr>
                      <w:rFonts w:ascii="Times New Roman" w:hAnsi="Times New Roman"/>
                      <w:b/>
                      <w:szCs w:val="21"/>
                    </w:rPr>
                  </w:pPr>
                </w:p>
              </w:tc>
              <w:tc>
                <w:tcPr>
                  <w:tcW w:w="383" w:type="pct"/>
                  <w:vMerge w:val="continue"/>
                  <w:shd w:val="clear" w:color="auto" w:fill="CCFFFF"/>
                  <w:noWrap w:val="0"/>
                  <w:vAlign w:val="center"/>
                </w:tcPr>
                <w:p>
                  <w:pPr>
                    <w:pStyle w:val="17"/>
                    <w:snapToGrid w:val="0"/>
                    <w:jc w:val="center"/>
                    <w:rPr>
                      <w:rFonts w:ascii="Times New Roman" w:hAnsi="Times New Roman"/>
                      <w:b/>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79" w:type="pct"/>
                  <w:vMerge w:val="restart"/>
                  <w:noWrap w:val="0"/>
                  <w:vAlign w:val="center"/>
                </w:tcPr>
                <w:p>
                  <w:pPr>
                    <w:pStyle w:val="17"/>
                    <w:snapToGrid w:val="0"/>
                    <w:jc w:val="center"/>
                    <w:rPr>
                      <w:rFonts w:ascii="Times New Roman" w:hAnsi="Times New Roman"/>
                      <w:szCs w:val="21"/>
                    </w:rPr>
                  </w:pPr>
                  <w:r>
                    <w:rPr>
                      <w:rFonts w:ascii="Times New Roman" w:hAnsi="Times New Roman"/>
                      <w:szCs w:val="21"/>
                    </w:rPr>
                    <w:t>主（辅）料</w:t>
                  </w:r>
                </w:p>
              </w:tc>
              <w:tc>
                <w:tcPr>
                  <w:tcW w:w="549" w:type="pct"/>
                  <w:noWrap w:val="0"/>
                  <w:vAlign w:val="center"/>
                </w:tcPr>
                <w:p>
                  <w:pPr>
                    <w:pStyle w:val="17"/>
                    <w:snapToGrid w:val="0"/>
                    <w:jc w:val="center"/>
                    <w:rPr>
                      <w:rFonts w:ascii="Times New Roman" w:hAnsi="Times New Roman"/>
                      <w:szCs w:val="21"/>
                    </w:rPr>
                  </w:pPr>
                  <w:r>
                    <w:rPr>
                      <w:rFonts w:ascii="Times New Roman" w:hAnsi="Times New Roman"/>
                      <w:szCs w:val="21"/>
                    </w:rPr>
                    <w:t>PAM</w:t>
                  </w:r>
                </w:p>
              </w:tc>
              <w:tc>
                <w:tcPr>
                  <w:tcW w:w="1007" w:type="pct"/>
                  <w:noWrap w:val="0"/>
                  <w:vAlign w:val="center"/>
                </w:tcPr>
                <w:p>
                  <w:pPr>
                    <w:pStyle w:val="17"/>
                    <w:snapToGrid w:val="0"/>
                    <w:jc w:val="center"/>
                    <w:rPr>
                      <w:rFonts w:ascii="Times New Roman" w:hAnsi="Times New Roman"/>
                      <w:szCs w:val="21"/>
                    </w:rPr>
                  </w:pPr>
                  <w:r>
                    <w:rPr>
                      <w:rFonts w:ascii="Times New Roman" w:hAnsi="Times New Roman"/>
                      <w:szCs w:val="21"/>
                    </w:rPr>
                    <w:t>聚丙烯酰胺</w:t>
                  </w:r>
                </w:p>
              </w:tc>
              <w:tc>
                <w:tcPr>
                  <w:tcW w:w="453" w:type="pct"/>
                  <w:noWrap w:val="0"/>
                  <w:vAlign w:val="center"/>
                </w:tcPr>
                <w:p>
                  <w:pPr>
                    <w:pStyle w:val="17"/>
                    <w:snapToGrid w:val="0"/>
                    <w:jc w:val="center"/>
                    <w:rPr>
                      <w:rFonts w:ascii="Times New Roman" w:hAnsi="Times New Roman"/>
                      <w:szCs w:val="21"/>
                    </w:rPr>
                  </w:pPr>
                  <w:r>
                    <w:rPr>
                      <w:rFonts w:ascii="Times New Roman" w:hAnsi="Times New Roman"/>
                      <w:szCs w:val="21"/>
                    </w:rPr>
                    <w:t>2.0</w:t>
                  </w:r>
                </w:p>
              </w:tc>
              <w:tc>
                <w:tcPr>
                  <w:tcW w:w="437" w:type="pct"/>
                  <w:noWrap w:val="0"/>
                  <w:vAlign w:val="center"/>
                </w:tcPr>
                <w:p>
                  <w:pPr>
                    <w:pStyle w:val="17"/>
                    <w:snapToGrid w:val="0"/>
                    <w:jc w:val="center"/>
                    <w:rPr>
                      <w:rFonts w:ascii="Times New Roman" w:hAnsi="Times New Roman"/>
                      <w:szCs w:val="21"/>
                    </w:rPr>
                  </w:pPr>
                  <w:r>
                    <w:rPr>
                      <w:rFonts w:ascii="Times New Roman" w:hAnsi="Times New Roman"/>
                      <w:szCs w:val="21"/>
                    </w:rPr>
                    <w:t>3.0</w:t>
                  </w:r>
                </w:p>
              </w:tc>
              <w:tc>
                <w:tcPr>
                  <w:tcW w:w="693" w:type="pct"/>
                  <w:noWrap w:val="0"/>
                  <w:vAlign w:val="center"/>
                </w:tcPr>
                <w:p>
                  <w:pPr>
                    <w:pStyle w:val="17"/>
                    <w:snapToGrid w:val="0"/>
                    <w:jc w:val="center"/>
                    <w:rPr>
                      <w:rFonts w:ascii="Times New Roman" w:hAnsi="Times New Roman"/>
                      <w:szCs w:val="21"/>
                    </w:rPr>
                  </w:pPr>
                  <w:r>
                    <w:rPr>
                      <w:rFonts w:ascii="Times New Roman" w:hAnsi="Times New Roman"/>
                      <w:szCs w:val="21"/>
                    </w:rPr>
                    <w:t>污泥脱水间</w:t>
                  </w:r>
                </w:p>
              </w:tc>
              <w:tc>
                <w:tcPr>
                  <w:tcW w:w="445" w:type="pct"/>
                  <w:noWrap w:val="0"/>
                  <w:vAlign w:val="center"/>
                </w:tcPr>
                <w:p>
                  <w:pPr>
                    <w:pStyle w:val="17"/>
                    <w:snapToGrid w:val="0"/>
                    <w:jc w:val="center"/>
                    <w:rPr>
                      <w:rFonts w:ascii="Times New Roman" w:hAnsi="Times New Roman"/>
                      <w:szCs w:val="21"/>
                    </w:rPr>
                  </w:pPr>
                  <w:r>
                    <w:rPr>
                      <w:rFonts w:ascii="Times New Roman" w:hAnsi="Times New Roman"/>
                      <w:szCs w:val="21"/>
                    </w:rPr>
                    <w:t>0.5</w:t>
                  </w:r>
                </w:p>
              </w:tc>
              <w:tc>
                <w:tcPr>
                  <w:tcW w:w="325" w:type="pct"/>
                  <w:noWrap w:val="0"/>
                  <w:vAlign w:val="center"/>
                </w:tcPr>
                <w:p>
                  <w:pPr>
                    <w:pStyle w:val="17"/>
                    <w:snapToGrid w:val="0"/>
                    <w:jc w:val="center"/>
                    <w:rPr>
                      <w:rFonts w:ascii="Times New Roman" w:hAnsi="Times New Roman"/>
                      <w:szCs w:val="21"/>
                    </w:rPr>
                  </w:pPr>
                  <w:r>
                    <w:rPr>
                      <w:rFonts w:ascii="Times New Roman" w:hAnsi="Times New Roman"/>
                      <w:szCs w:val="21"/>
                    </w:rPr>
                    <w:t>固态</w:t>
                  </w:r>
                </w:p>
              </w:tc>
              <w:tc>
                <w:tcPr>
                  <w:tcW w:w="328" w:type="pct"/>
                  <w:noWrap w:val="0"/>
                  <w:vAlign w:val="center"/>
                </w:tcPr>
                <w:p>
                  <w:pPr>
                    <w:pStyle w:val="17"/>
                    <w:snapToGrid w:val="0"/>
                    <w:jc w:val="center"/>
                    <w:rPr>
                      <w:rFonts w:ascii="Times New Roman" w:hAnsi="Times New Roman"/>
                      <w:szCs w:val="21"/>
                    </w:rPr>
                  </w:pPr>
                  <w:r>
                    <w:rPr>
                      <w:rFonts w:ascii="Times New Roman" w:hAnsi="Times New Roman"/>
                      <w:szCs w:val="21"/>
                    </w:rPr>
                    <w:t>外购</w:t>
                  </w:r>
                </w:p>
              </w:tc>
              <w:tc>
                <w:tcPr>
                  <w:tcW w:w="383" w:type="pct"/>
                  <w:noWrap w:val="0"/>
                  <w:vAlign w:val="center"/>
                </w:tcPr>
                <w:p>
                  <w:pPr>
                    <w:pStyle w:val="17"/>
                    <w:snapToGrid w:val="0"/>
                    <w:jc w:val="center"/>
                    <w:rPr>
                      <w:rFonts w:ascii="Times New Roman" w:hAnsi="Times New Roman"/>
                      <w:szCs w:val="21"/>
                    </w:rPr>
                  </w:pPr>
                  <w:r>
                    <w:rPr>
                      <w:rFonts w:ascii="Times New Roman" w:hAnsi="Times New Roman"/>
                      <w:szCs w:val="21"/>
                    </w:rPr>
                    <w:t>絮凝剂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79" w:type="pct"/>
                  <w:vMerge w:val="continue"/>
                  <w:noWrap w:val="0"/>
                  <w:vAlign w:val="center"/>
                </w:tcPr>
                <w:p>
                  <w:pPr>
                    <w:pStyle w:val="17"/>
                    <w:snapToGrid w:val="0"/>
                    <w:jc w:val="center"/>
                    <w:rPr>
                      <w:rFonts w:ascii="Times New Roman" w:hAnsi="Times New Roman"/>
                      <w:szCs w:val="21"/>
                    </w:rPr>
                  </w:pPr>
                </w:p>
              </w:tc>
              <w:tc>
                <w:tcPr>
                  <w:tcW w:w="549" w:type="pct"/>
                  <w:noWrap w:val="0"/>
                  <w:vAlign w:val="center"/>
                </w:tcPr>
                <w:p>
                  <w:pPr>
                    <w:pStyle w:val="17"/>
                    <w:snapToGrid w:val="0"/>
                    <w:jc w:val="center"/>
                    <w:rPr>
                      <w:rFonts w:ascii="Times New Roman" w:hAnsi="Times New Roman"/>
                      <w:szCs w:val="21"/>
                    </w:rPr>
                  </w:pPr>
                  <w:r>
                    <w:rPr>
                      <w:rFonts w:ascii="Times New Roman" w:hAnsi="Times New Roman"/>
                      <w:szCs w:val="21"/>
                    </w:rPr>
                    <w:t>PAC</w:t>
                  </w:r>
                </w:p>
              </w:tc>
              <w:tc>
                <w:tcPr>
                  <w:tcW w:w="1007" w:type="pct"/>
                  <w:noWrap w:val="0"/>
                  <w:vAlign w:val="center"/>
                </w:tcPr>
                <w:p>
                  <w:pPr>
                    <w:pStyle w:val="17"/>
                    <w:snapToGrid w:val="0"/>
                    <w:jc w:val="center"/>
                    <w:rPr>
                      <w:rFonts w:ascii="Times New Roman" w:hAnsi="Times New Roman"/>
                      <w:szCs w:val="21"/>
                    </w:rPr>
                  </w:pPr>
                  <w:r>
                    <w:rPr>
                      <w:rFonts w:ascii="Times New Roman" w:hAnsi="Times New Roman"/>
                      <w:szCs w:val="21"/>
                    </w:rPr>
                    <w:t>聚合氯化铝</w:t>
                  </w:r>
                </w:p>
              </w:tc>
              <w:tc>
                <w:tcPr>
                  <w:tcW w:w="453" w:type="pct"/>
                  <w:noWrap w:val="0"/>
                  <w:vAlign w:val="center"/>
                </w:tcPr>
                <w:p>
                  <w:pPr>
                    <w:pStyle w:val="17"/>
                    <w:snapToGrid w:val="0"/>
                    <w:jc w:val="center"/>
                    <w:rPr>
                      <w:rFonts w:ascii="Times New Roman" w:hAnsi="Times New Roman"/>
                      <w:szCs w:val="21"/>
                    </w:rPr>
                  </w:pPr>
                  <w:r>
                    <w:rPr>
                      <w:rFonts w:ascii="Times New Roman" w:hAnsi="Times New Roman"/>
                      <w:szCs w:val="21"/>
                    </w:rPr>
                    <w:t>6.0</w:t>
                  </w:r>
                </w:p>
              </w:tc>
              <w:tc>
                <w:tcPr>
                  <w:tcW w:w="437" w:type="pct"/>
                  <w:noWrap w:val="0"/>
                  <w:vAlign w:val="center"/>
                </w:tcPr>
                <w:p>
                  <w:pPr>
                    <w:pStyle w:val="17"/>
                    <w:snapToGrid w:val="0"/>
                    <w:jc w:val="center"/>
                    <w:rPr>
                      <w:rFonts w:ascii="Times New Roman" w:hAnsi="Times New Roman"/>
                      <w:szCs w:val="21"/>
                    </w:rPr>
                  </w:pPr>
                  <w:r>
                    <w:rPr>
                      <w:rFonts w:ascii="Times New Roman" w:hAnsi="Times New Roman"/>
                      <w:szCs w:val="21"/>
                    </w:rPr>
                    <w:t>9.0</w:t>
                  </w:r>
                </w:p>
              </w:tc>
              <w:tc>
                <w:tcPr>
                  <w:tcW w:w="693" w:type="pct"/>
                  <w:vMerge w:val="restart"/>
                  <w:noWrap w:val="0"/>
                  <w:vAlign w:val="center"/>
                </w:tcPr>
                <w:p>
                  <w:pPr>
                    <w:pStyle w:val="17"/>
                    <w:snapToGrid w:val="0"/>
                    <w:jc w:val="center"/>
                    <w:rPr>
                      <w:rFonts w:ascii="Times New Roman" w:hAnsi="Times New Roman"/>
                      <w:szCs w:val="21"/>
                    </w:rPr>
                  </w:pPr>
                  <w:r>
                    <w:rPr>
                      <w:rFonts w:ascii="Times New Roman" w:hAnsi="Times New Roman"/>
                      <w:szCs w:val="21"/>
                    </w:rPr>
                    <w:t>加药间</w:t>
                  </w:r>
                </w:p>
              </w:tc>
              <w:tc>
                <w:tcPr>
                  <w:tcW w:w="445" w:type="pct"/>
                  <w:noWrap w:val="0"/>
                  <w:vAlign w:val="center"/>
                </w:tcPr>
                <w:p>
                  <w:pPr>
                    <w:pStyle w:val="17"/>
                    <w:snapToGrid w:val="0"/>
                    <w:jc w:val="center"/>
                    <w:rPr>
                      <w:rFonts w:ascii="Times New Roman" w:hAnsi="Times New Roman"/>
                      <w:szCs w:val="21"/>
                    </w:rPr>
                  </w:pPr>
                  <w:r>
                    <w:rPr>
                      <w:rFonts w:ascii="Times New Roman" w:hAnsi="Times New Roman"/>
                      <w:szCs w:val="21"/>
                    </w:rPr>
                    <w:t>1.0</w:t>
                  </w:r>
                </w:p>
              </w:tc>
              <w:tc>
                <w:tcPr>
                  <w:tcW w:w="325" w:type="pct"/>
                  <w:noWrap w:val="0"/>
                  <w:vAlign w:val="center"/>
                </w:tcPr>
                <w:p>
                  <w:pPr>
                    <w:pStyle w:val="17"/>
                    <w:snapToGrid w:val="0"/>
                    <w:jc w:val="center"/>
                    <w:rPr>
                      <w:rFonts w:ascii="Times New Roman" w:hAnsi="Times New Roman"/>
                      <w:szCs w:val="21"/>
                    </w:rPr>
                  </w:pPr>
                  <w:r>
                    <w:rPr>
                      <w:rFonts w:ascii="Times New Roman" w:hAnsi="Times New Roman"/>
                      <w:szCs w:val="21"/>
                    </w:rPr>
                    <w:t>固态</w:t>
                  </w:r>
                </w:p>
              </w:tc>
              <w:tc>
                <w:tcPr>
                  <w:tcW w:w="328" w:type="pct"/>
                  <w:noWrap w:val="0"/>
                  <w:vAlign w:val="center"/>
                </w:tcPr>
                <w:p>
                  <w:pPr>
                    <w:pStyle w:val="17"/>
                    <w:snapToGrid w:val="0"/>
                    <w:jc w:val="center"/>
                    <w:rPr>
                      <w:rFonts w:ascii="Times New Roman" w:hAnsi="Times New Roman"/>
                      <w:szCs w:val="21"/>
                    </w:rPr>
                  </w:pPr>
                  <w:r>
                    <w:rPr>
                      <w:rFonts w:ascii="Times New Roman" w:hAnsi="Times New Roman"/>
                      <w:szCs w:val="21"/>
                    </w:rPr>
                    <w:t>外购</w:t>
                  </w:r>
                </w:p>
              </w:tc>
              <w:tc>
                <w:tcPr>
                  <w:tcW w:w="383" w:type="pct"/>
                  <w:noWrap w:val="0"/>
                  <w:vAlign w:val="center"/>
                </w:tcPr>
                <w:p>
                  <w:pPr>
                    <w:pStyle w:val="17"/>
                    <w:snapToGrid w:val="0"/>
                    <w:jc w:val="center"/>
                    <w:rPr>
                      <w:rFonts w:ascii="Times New Roman" w:hAnsi="Times New Roman"/>
                      <w:szCs w:val="21"/>
                    </w:rPr>
                  </w:pPr>
                  <w:r>
                    <w:rPr>
                      <w:rFonts w:ascii="Times New Roman" w:hAnsi="Times New Roman"/>
                      <w:szCs w:val="21"/>
                    </w:rPr>
                    <w:t>混凝剂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79" w:type="pct"/>
                  <w:vMerge w:val="continue"/>
                  <w:noWrap w:val="0"/>
                  <w:vAlign w:val="center"/>
                </w:tcPr>
                <w:p>
                  <w:pPr>
                    <w:pStyle w:val="17"/>
                    <w:snapToGrid w:val="0"/>
                    <w:jc w:val="center"/>
                    <w:rPr>
                      <w:rFonts w:ascii="Times New Roman" w:hAnsi="Times New Roman"/>
                      <w:szCs w:val="21"/>
                    </w:rPr>
                  </w:pPr>
                </w:p>
              </w:tc>
              <w:tc>
                <w:tcPr>
                  <w:tcW w:w="549" w:type="pct"/>
                  <w:noWrap w:val="0"/>
                  <w:vAlign w:val="center"/>
                </w:tcPr>
                <w:p>
                  <w:pPr>
                    <w:pStyle w:val="17"/>
                    <w:snapToGrid w:val="0"/>
                    <w:jc w:val="center"/>
                    <w:rPr>
                      <w:rFonts w:ascii="Times New Roman" w:hAnsi="Times New Roman"/>
                      <w:szCs w:val="21"/>
                    </w:rPr>
                  </w:pPr>
                  <w:r>
                    <w:rPr>
                      <w:rFonts w:ascii="Times New Roman" w:hAnsi="Times New Roman"/>
                      <w:szCs w:val="21"/>
                    </w:rPr>
                    <w:t>乙酸钠</w:t>
                  </w:r>
                </w:p>
              </w:tc>
              <w:tc>
                <w:tcPr>
                  <w:tcW w:w="1007" w:type="pct"/>
                  <w:noWrap w:val="0"/>
                  <w:vAlign w:val="center"/>
                </w:tcPr>
                <w:p>
                  <w:pPr>
                    <w:pStyle w:val="17"/>
                    <w:snapToGrid w:val="0"/>
                    <w:jc w:val="center"/>
                    <w:rPr>
                      <w:rFonts w:ascii="Times New Roman" w:hAnsi="Times New Roman"/>
                      <w:szCs w:val="21"/>
                    </w:rPr>
                  </w:pPr>
                  <w:r>
                    <w:rPr>
                      <w:rFonts w:ascii="Times New Roman" w:hAnsi="Times New Roman"/>
                      <w:szCs w:val="21"/>
                    </w:rPr>
                    <w:t>CH</w:t>
                  </w:r>
                  <w:r>
                    <w:rPr>
                      <w:rFonts w:ascii="Times New Roman" w:hAnsi="Times New Roman"/>
                      <w:szCs w:val="21"/>
                      <w:vertAlign w:val="subscript"/>
                    </w:rPr>
                    <w:t>3</w:t>
                  </w:r>
                  <w:r>
                    <w:rPr>
                      <w:rFonts w:ascii="Times New Roman" w:hAnsi="Times New Roman"/>
                      <w:szCs w:val="21"/>
                    </w:rPr>
                    <w:t>COONa▪3H</w:t>
                  </w:r>
                  <w:r>
                    <w:rPr>
                      <w:rFonts w:ascii="Times New Roman" w:hAnsi="Times New Roman"/>
                      <w:szCs w:val="21"/>
                      <w:vertAlign w:val="subscript"/>
                    </w:rPr>
                    <w:t>2</w:t>
                  </w:r>
                  <w:r>
                    <w:rPr>
                      <w:rFonts w:ascii="Times New Roman" w:hAnsi="Times New Roman"/>
                      <w:szCs w:val="21"/>
                    </w:rPr>
                    <w:t>O</w:t>
                  </w:r>
                </w:p>
              </w:tc>
              <w:tc>
                <w:tcPr>
                  <w:tcW w:w="453" w:type="pct"/>
                  <w:noWrap w:val="0"/>
                  <w:vAlign w:val="center"/>
                </w:tcPr>
                <w:p>
                  <w:pPr>
                    <w:pStyle w:val="17"/>
                    <w:snapToGrid w:val="0"/>
                    <w:jc w:val="center"/>
                    <w:rPr>
                      <w:rFonts w:ascii="Times New Roman" w:hAnsi="Times New Roman"/>
                      <w:szCs w:val="21"/>
                    </w:rPr>
                  </w:pPr>
                  <w:r>
                    <w:rPr>
                      <w:rFonts w:ascii="Times New Roman" w:hAnsi="Times New Roman"/>
                      <w:szCs w:val="21"/>
                    </w:rPr>
                    <w:t>0</w:t>
                  </w:r>
                </w:p>
              </w:tc>
              <w:tc>
                <w:tcPr>
                  <w:tcW w:w="437" w:type="pct"/>
                  <w:noWrap w:val="0"/>
                  <w:vAlign w:val="center"/>
                </w:tcPr>
                <w:p>
                  <w:pPr>
                    <w:pStyle w:val="17"/>
                    <w:snapToGrid w:val="0"/>
                    <w:jc w:val="center"/>
                    <w:rPr>
                      <w:rFonts w:ascii="Times New Roman" w:hAnsi="Times New Roman"/>
                      <w:szCs w:val="21"/>
                    </w:rPr>
                  </w:pPr>
                  <w:r>
                    <w:rPr>
                      <w:rFonts w:ascii="Times New Roman" w:hAnsi="Times New Roman"/>
                      <w:szCs w:val="21"/>
                    </w:rPr>
                    <w:t>3.6</w:t>
                  </w:r>
                </w:p>
              </w:tc>
              <w:tc>
                <w:tcPr>
                  <w:tcW w:w="693" w:type="pct"/>
                  <w:vMerge w:val="continue"/>
                  <w:noWrap w:val="0"/>
                  <w:vAlign w:val="center"/>
                </w:tcPr>
                <w:p>
                  <w:pPr>
                    <w:pStyle w:val="17"/>
                    <w:snapToGrid w:val="0"/>
                    <w:jc w:val="center"/>
                    <w:rPr>
                      <w:rFonts w:ascii="Times New Roman" w:hAnsi="Times New Roman"/>
                      <w:szCs w:val="21"/>
                    </w:rPr>
                  </w:pPr>
                </w:p>
              </w:tc>
              <w:tc>
                <w:tcPr>
                  <w:tcW w:w="445" w:type="pct"/>
                  <w:noWrap w:val="0"/>
                  <w:vAlign w:val="center"/>
                </w:tcPr>
                <w:p>
                  <w:pPr>
                    <w:pStyle w:val="17"/>
                    <w:snapToGrid w:val="0"/>
                    <w:jc w:val="center"/>
                    <w:rPr>
                      <w:rFonts w:ascii="Times New Roman" w:hAnsi="Times New Roman"/>
                      <w:szCs w:val="21"/>
                    </w:rPr>
                  </w:pPr>
                  <w:r>
                    <w:rPr>
                      <w:rFonts w:ascii="Times New Roman" w:hAnsi="Times New Roman"/>
                      <w:szCs w:val="21"/>
                    </w:rPr>
                    <w:t>0.5</w:t>
                  </w:r>
                </w:p>
              </w:tc>
              <w:tc>
                <w:tcPr>
                  <w:tcW w:w="325" w:type="pct"/>
                  <w:noWrap w:val="0"/>
                  <w:vAlign w:val="center"/>
                </w:tcPr>
                <w:p>
                  <w:pPr>
                    <w:pStyle w:val="17"/>
                    <w:snapToGrid w:val="0"/>
                    <w:jc w:val="center"/>
                    <w:rPr>
                      <w:rFonts w:ascii="Times New Roman" w:hAnsi="Times New Roman"/>
                      <w:szCs w:val="21"/>
                    </w:rPr>
                  </w:pPr>
                  <w:r>
                    <w:rPr>
                      <w:rFonts w:ascii="Times New Roman" w:hAnsi="Times New Roman"/>
                      <w:szCs w:val="21"/>
                    </w:rPr>
                    <w:t>固态</w:t>
                  </w:r>
                </w:p>
              </w:tc>
              <w:tc>
                <w:tcPr>
                  <w:tcW w:w="328" w:type="pct"/>
                  <w:noWrap w:val="0"/>
                  <w:vAlign w:val="center"/>
                </w:tcPr>
                <w:p>
                  <w:pPr>
                    <w:pStyle w:val="17"/>
                    <w:snapToGrid w:val="0"/>
                    <w:jc w:val="center"/>
                    <w:rPr>
                      <w:rFonts w:ascii="Times New Roman" w:hAnsi="Times New Roman"/>
                      <w:szCs w:val="21"/>
                    </w:rPr>
                  </w:pPr>
                  <w:r>
                    <w:rPr>
                      <w:rFonts w:ascii="Times New Roman" w:hAnsi="Times New Roman"/>
                      <w:szCs w:val="21"/>
                    </w:rPr>
                    <w:t>外购</w:t>
                  </w:r>
                </w:p>
              </w:tc>
              <w:tc>
                <w:tcPr>
                  <w:tcW w:w="383" w:type="pct"/>
                  <w:noWrap w:val="0"/>
                  <w:vAlign w:val="center"/>
                </w:tcPr>
                <w:p>
                  <w:pPr>
                    <w:pStyle w:val="17"/>
                    <w:snapToGrid w:val="0"/>
                    <w:jc w:val="center"/>
                    <w:rPr>
                      <w:rFonts w:ascii="Times New Roman" w:hAnsi="Times New Roman"/>
                      <w:szCs w:val="21"/>
                    </w:rPr>
                  </w:pPr>
                  <w:r>
                    <w:rPr>
                      <w:rFonts w:ascii="Times New Roman" w:hAnsi="Times New Roman"/>
                      <w:szCs w:val="21"/>
                    </w:rPr>
                    <w:t>碳源</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79" w:type="pct"/>
                  <w:vMerge w:val="continue"/>
                  <w:noWrap w:val="0"/>
                  <w:vAlign w:val="center"/>
                </w:tcPr>
                <w:p>
                  <w:pPr>
                    <w:pStyle w:val="17"/>
                    <w:snapToGrid w:val="0"/>
                    <w:jc w:val="center"/>
                    <w:rPr>
                      <w:rFonts w:ascii="Times New Roman" w:hAnsi="Times New Roman"/>
                      <w:szCs w:val="21"/>
                    </w:rPr>
                  </w:pPr>
                </w:p>
              </w:tc>
              <w:tc>
                <w:tcPr>
                  <w:tcW w:w="549" w:type="pct"/>
                  <w:noWrap w:val="0"/>
                  <w:vAlign w:val="center"/>
                </w:tcPr>
                <w:p>
                  <w:pPr>
                    <w:pStyle w:val="17"/>
                    <w:snapToGrid w:val="0"/>
                    <w:jc w:val="center"/>
                    <w:rPr>
                      <w:rFonts w:ascii="Times New Roman" w:hAnsi="Times New Roman"/>
                      <w:szCs w:val="21"/>
                    </w:rPr>
                  </w:pPr>
                  <w:r>
                    <w:rPr>
                      <w:rFonts w:ascii="Times New Roman" w:hAnsi="Times New Roman"/>
                      <w:szCs w:val="21"/>
                    </w:rPr>
                    <w:t>盐酸</w:t>
                  </w:r>
                </w:p>
              </w:tc>
              <w:tc>
                <w:tcPr>
                  <w:tcW w:w="1007" w:type="pct"/>
                  <w:noWrap w:val="0"/>
                  <w:vAlign w:val="center"/>
                </w:tcPr>
                <w:p>
                  <w:pPr>
                    <w:pStyle w:val="17"/>
                    <w:snapToGrid w:val="0"/>
                    <w:jc w:val="center"/>
                    <w:rPr>
                      <w:rFonts w:ascii="Times New Roman" w:hAnsi="Times New Roman"/>
                      <w:szCs w:val="21"/>
                    </w:rPr>
                  </w:pPr>
                  <w:r>
                    <w:rPr>
                      <w:rFonts w:ascii="Times New Roman" w:hAnsi="Times New Roman"/>
                      <w:szCs w:val="21"/>
                    </w:rPr>
                    <w:t>31%HCl</w:t>
                  </w:r>
                </w:p>
              </w:tc>
              <w:tc>
                <w:tcPr>
                  <w:tcW w:w="453" w:type="pct"/>
                  <w:noWrap w:val="0"/>
                  <w:vAlign w:val="center"/>
                </w:tcPr>
                <w:p>
                  <w:pPr>
                    <w:pStyle w:val="17"/>
                    <w:snapToGrid w:val="0"/>
                    <w:jc w:val="center"/>
                    <w:rPr>
                      <w:rFonts w:ascii="Times New Roman" w:hAnsi="Times New Roman"/>
                      <w:szCs w:val="21"/>
                    </w:rPr>
                  </w:pPr>
                  <w:r>
                    <w:rPr>
                      <w:rFonts w:ascii="Times New Roman" w:hAnsi="Times New Roman"/>
                      <w:szCs w:val="21"/>
                    </w:rPr>
                    <w:t>4.6</w:t>
                  </w:r>
                </w:p>
              </w:tc>
              <w:tc>
                <w:tcPr>
                  <w:tcW w:w="437" w:type="pct"/>
                  <w:noWrap w:val="0"/>
                  <w:vAlign w:val="center"/>
                </w:tcPr>
                <w:p>
                  <w:pPr>
                    <w:pStyle w:val="17"/>
                    <w:snapToGrid w:val="0"/>
                    <w:jc w:val="center"/>
                    <w:rPr>
                      <w:rFonts w:ascii="Times New Roman" w:hAnsi="Times New Roman"/>
                      <w:szCs w:val="21"/>
                    </w:rPr>
                  </w:pPr>
                  <w:r>
                    <w:rPr>
                      <w:rFonts w:ascii="Times New Roman" w:hAnsi="Times New Roman"/>
                      <w:szCs w:val="21"/>
                    </w:rPr>
                    <w:t>2.3</w:t>
                  </w:r>
                </w:p>
              </w:tc>
              <w:tc>
                <w:tcPr>
                  <w:tcW w:w="693" w:type="pct"/>
                  <w:vMerge w:val="continue"/>
                  <w:noWrap w:val="0"/>
                  <w:vAlign w:val="center"/>
                </w:tcPr>
                <w:p>
                  <w:pPr>
                    <w:pStyle w:val="17"/>
                    <w:snapToGrid w:val="0"/>
                    <w:jc w:val="center"/>
                    <w:rPr>
                      <w:rFonts w:ascii="Times New Roman" w:hAnsi="Times New Roman"/>
                      <w:szCs w:val="21"/>
                    </w:rPr>
                  </w:pPr>
                </w:p>
              </w:tc>
              <w:tc>
                <w:tcPr>
                  <w:tcW w:w="445" w:type="pct"/>
                  <w:noWrap w:val="0"/>
                  <w:vAlign w:val="center"/>
                </w:tcPr>
                <w:p>
                  <w:pPr>
                    <w:pStyle w:val="17"/>
                    <w:snapToGrid w:val="0"/>
                    <w:jc w:val="center"/>
                    <w:rPr>
                      <w:rFonts w:ascii="Times New Roman" w:hAnsi="Times New Roman"/>
                      <w:szCs w:val="21"/>
                    </w:rPr>
                  </w:pPr>
                  <w:r>
                    <w:rPr>
                      <w:rFonts w:ascii="Times New Roman" w:hAnsi="Times New Roman"/>
                      <w:szCs w:val="21"/>
                    </w:rPr>
                    <w:t>0.5</w:t>
                  </w:r>
                </w:p>
              </w:tc>
              <w:tc>
                <w:tcPr>
                  <w:tcW w:w="325" w:type="pct"/>
                  <w:noWrap w:val="0"/>
                  <w:vAlign w:val="center"/>
                </w:tcPr>
                <w:p>
                  <w:pPr>
                    <w:pStyle w:val="17"/>
                    <w:snapToGrid w:val="0"/>
                    <w:jc w:val="center"/>
                    <w:rPr>
                      <w:rFonts w:ascii="Times New Roman" w:hAnsi="Times New Roman"/>
                      <w:szCs w:val="21"/>
                    </w:rPr>
                  </w:pPr>
                  <w:r>
                    <w:rPr>
                      <w:rFonts w:ascii="Times New Roman" w:hAnsi="Times New Roman"/>
                      <w:szCs w:val="21"/>
                    </w:rPr>
                    <w:t>液态</w:t>
                  </w:r>
                </w:p>
              </w:tc>
              <w:tc>
                <w:tcPr>
                  <w:tcW w:w="328" w:type="pct"/>
                  <w:noWrap w:val="0"/>
                  <w:vAlign w:val="center"/>
                </w:tcPr>
                <w:p>
                  <w:pPr>
                    <w:pStyle w:val="17"/>
                    <w:snapToGrid w:val="0"/>
                    <w:jc w:val="center"/>
                    <w:rPr>
                      <w:rFonts w:ascii="Times New Roman" w:hAnsi="Times New Roman"/>
                      <w:szCs w:val="21"/>
                    </w:rPr>
                  </w:pPr>
                  <w:r>
                    <w:rPr>
                      <w:rFonts w:ascii="Times New Roman" w:hAnsi="Times New Roman"/>
                      <w:szCs w:val="21"/>
                    </w:rPr>
                    <w:t>外购</w:t>
                  </w:r>
                </w:p>
              </w:tc>
              <w:tc>
                <w:tcPr>
                  <w:tcW w:w="383" w:type="pct"/>
                  <w:vMerge w:val="restart"/>
                  <w:noWrap w:val="0"/>
                  <w:vAlign w:val="center"/>
                </w:tcPr>
                <w:p>
                  <w:pPr>
                    <w:pStyle w:val="17"/>
                    <w:snapToGrid w:val="0"/>
                    <w:jc w:val="center"/>
                    <w:rPr>
                      <w:rFonts w:ascii="Times New Roman" w:hAnsi="Times New Roman"/>
                      <w:szCs w:val="21"/>
                    </w:rPr>
                  </w:pPr>
                  <w:r>
                    <w:rPr>
                      <w:rFonts w:ascii="Times New Roman" w:hAnsi="Times New Roman"/>
                      <w:szCs w:val="21"/>
                    </w:rPr>
                    <w:t>制备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79" w:type="pct"/>
                  <w:vMerge w:val="continue"/>
                  <w:noWrap w:val="0"/>
                  <w:vAlign w:val="center"/>
                </w:tcPr>
                <w:p>
                  <w:pPr>
                    <w:pStyle w:val="17"/>
                    <w:snapToGrid w:val="0"/>
                    <w:jc w:val="center"/>
                    <w:rPr>
                      <w:rFonts w:ascii="Times New Roman" w:hAnsi="Times New Roman"/>
                      <w:szCs w:val="21"/>
                    </w:rPr>
                  </w:pPr>
                </w:p>
              </w:tc>
              <w:tc>
                <w:tcPr>
                  <w:tcW w:w="549" w:type="pct"/>
                  <w:noWrap w:val="0"/>
                  <w:vAlign w:val="center"/>
                </w:tcPr>
                <w:p>
                  <w:pPr>
                    <w:pStyle w:val="17"/>
                    <w:snapToGrid w:val="0"/>
                    <w:jc w:val="center"/>
                    <w:rPr>
                      <w:rFonts w:ascii="Times New Roman" w:hAnsi="Times New Roman"/>
                      <w:szCs w:val="21"/>
                    </w:rPr>
                  </w:pPr>
                  <w:r>
                    <w:rPr>
                      <w:rFonts w:ascii="Times New Roman" w:hAnsi="Times New Roman"/>
                      <w:szCs w:val="21"/>
                    </w:rPr>
                    <w:t>氯酸钠</w:t>
                  </w:r>
                </w:p>
              </w:tc>
              <w:tc>
                <w:tcPr>
                  <w:tcW w:w="1007" w:type="pct"/>
                  <w:noWrap w:val="0"/>
                  <w:vAlign w:val="center"/>
                </w:tcPr>
                <w:p>
                  <w:pPr>
                    <w:pStyle w:val="17"/>
                    <w:snapToGrid w:val="0"/>
                    <w:jc w:val="center"/>
                    <w:rPr>
                      <w:rFonts w:ascii="Times New Roman" w:hAnsi="Times New Roman"/>
                      <w:szCs w:val="21"/>
                    </w:rPr>
                  </w:pPr>
                  <w:r>
                    <w:rPr>
                      <w:rFonts w:ascii="Times New Roman" w:hAnsi="Times New Roman"/>
                      <w:szCs w:val="21"/>
                    </w:rPr>
                    <w:t>25%</w:t>
                  </w:r>
                  <w:r>
                    <w:rPr>
                      <w:rFonts w:ascii="Times New Roman" w:hAnsi="Times New Roman"/>
                    </w:rPr>
                    <w:t>NaClO</w:t>
                  </w:r>
                  <w:r>
                    <w:rPr>
                      <w:rFonts w:ascii="Times New Roman" w:hAnsi="Times New Roman"/>
                      <w:vertAlign w:val="subscript"/>
                    </w:rPr>
                    <w:t>3</w:t>
                  </w:r>
                </w:p>
              </w:tc>
              <w:tc>
                <w:tcPr>
                  <w:tcW w:w="453" w:type="pct"/>
                  <w:noWrap w:val="0"/>
                  <w:vAlign w:val="center"/>
                </w:tcPr>
                <w:p>
                  <w:pPr>
                    <w:pStyle w:val="17"/>
                    <w:snapToGrid w:val="0"/>
                    <w:jc w:val="center"/>
                    <w:rPr>
                      <w:rFonts w:ascii="Times New Roman" w:hAnsi="Times New Roman"/>
                      <w:szCs w:val="21"/>
                    </w:rPr>
                  </w:pPr>
                  <w:r>
                    <w:rPr>
                      <w:rFonts w:ascii="Times New Roman" w:hAnsi="Times New Roman"/>
                      <w:szCs w:val="21"/>
                    </w:rPr>
                    <w:t>2.6</w:t>
                  </w:r>
                </w:p>
              </w:tc>
              <w:tc>
                <w:tcPr>
                  <w:tcW w:w="437" w:type="pct"/>
                  <w:noWrap w:val="0"/>
                  <w:vAlign w:val="center"/>
                </w:tcPr>
                <w:p>
                  <w:pPr>
                    <w:pStyle w:val="17"/>
                    <w:snapToGrid w:val="0"/>
                    <w:jc w:val="center"/>
                    <w:rPr>
                      <w:rFonts w:ascii="Times New Roman" w:hAnsi="Times New Roman"/>
                      <w:szCs w:val="21"/>
                    </w:rPr>
                  </w:pPr>
                  <w:r>
                    <w:rPr>
                      <w:rFonts w:ascii="Times New Roman" w:hAnsi="Times New Roman"/>
                      <w:szCs w:val="21"/>
                    </w:rPr>
                    <w:t>1.3</w:t>
                  </w:r>
                </w:p>
              </w:tc>
              <w:tc>
                <w:tcPr>
                  <w:tcW w:w="693" w:type="pct"/>
                  <w:vMerge w:val="continue"/>
                  <w:noWrap w:val="0"/>
                  <w:vAlign w:val="center"/>
                </w:tcPr>
                <w:p>
                  <w:pPr>
                    <w:pStyle w:val="17"/>
                    <w:snapToGrid w:val="0"/>
                    <w:jc w:val="center"/>
                    <w:rPr>
                      <w:rFonts w:ascii="Times New Roman" w:hAnsi="Times New Roman"/>
                      <w:szCs w:val="21"/>
                    </w:rPr>
                  </w:pPr>
                </w:p>
              </w:tc>
              <w:tc>
                <w:tcPr>
                  <w:tcW w:w="445" w:type="pct"/>
                  <w:noWrap w:val="0"/>
                  <w:vAlign w:val="center"/>
                </w:tcPr>
                <w:p>
                  <w:pPr>
                    <w:pStyle w:val="17"/>
                    <w:snapToGrid w:val="0"/>
                    <w:jc w:val="center"/>
                    <w:rPr>
                      <w:rFonts w:ascii="Times New Roman" w:hAnsi="Times New Roman"/>
                      <w:szCs w:val="21"/>
                    </w:rPr>
                  </w:pPr>
                  <w:r>
                    <w:rPr>
                      <w:rFonts w:ascii="Times New Roman" w:hAnsi="Times New Roman"/>
                      <w:szCs w:val="21"/>
                    </w:rPr>
                    <w:t>0.5</w:t>
                  </w:r>
                </w:p>
              </w:tc>
              <w:tc>
                <w:tcPr>
                  <w:tcW w:w="325" w:type="pct"/>
                  <w:noWrap w:val="0"/>
                  <w:vAlign w:val="center"/>
                </w:tcPr>
                <w:p>
                  <w:pPr>
                    <w:pStyle w:val="17"/>
                    <w:snapToGrid w:val="0"/>
                    <w:jc w:val="center"/>
                    <w:rPr>
                      <w:rFonts w:ascii="Times New Roman" w:hAnsi="Times New Roman"/>
                      <w:szCs w:val="21"/>
                    </w:rPr>
                  </w:pPr>
                  <w:r>
                    <w:rPr>
                      <w:rFonts w:ascii="Times New Roman" w:hAnsi="Times New Roman"/>
                      <w:szCs w:val="21"/>
                    </w:rPr>
                    <w:t>液态</w:t>
                  </w:r>
                </w:p>
              </w:tc>
              <w:tc>
                <w:tcPr>
                  <w:tcW w:w="328" w:type="pct"/>
                  <w:noWrap w:val="0"/>
                  <w:vAlign w:val="center"/>
                </w:tcPr>
                <w:p>
                  <w:pPr>
                    <w:pStyle w:val="17"/>
                    <w:snapToGrid w:val="0"/>
                    <w:jc w:val="center"/>
                    <w:rPr>
                      <w:rFonts w:ascii="Times New Roman" w:hAnsi="Times New Roman"/>
                      <w:szCs w:val="21"/>
                    </w:rPr>
                  </w:pPr>
                  <w:r>
                    <w:rPr>
                      <w:rFonts w:ascii="Times New Roman" w:hAnsi="Times New Roman"/>
                      <w:szCs w:val="21"/>
                    </w:rPr>
                    <w:t>外购</w:t>
                  </w:r>
                </w:p>
              </w:tc>
              <w:tc>
                <w:tcPr>
                  <w:tcW w:w="383" w:type="pct"/>
                  <w:vMerge w:val="continue"/>
                  <w:noWrap w:val="0"/>
                  <w:vAlign w:val="center"/>
                </w:tcPr>
                <w:p>
                  <w:pPr>
                    <w:pStyle w:val="17"/>
                    <w:snapToGrid w:val="0"/>
                    <w:jc w:val="center"/>
                    <w:rPr>
                      <w:rFonts w:ascii="Times New Roman" w:hAnsi="Times New Roman"/>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79" w:type="pct"/>
                  <w:vMerge w:val="restart"/>
                  <w:noWrap w:val="0"/>
                  <w:vAlign w:val="center"/>
                </w:tcPr>
                <w:p>
                  <w:pPr>
                    <w:pStyle w:val="17"/>
                    <w:snapToGrid w:val="0"/>
                    <w:jc w:val="center"/>
                    <w:rPr>
                      <w:rFonts w:ascii="Times New Roman" w:hAnsi="Times New Roman"/>
                      <w:szCs w:val="21"/>
                    </w:rPr>
                  </w:pPr>
                  <w:r>
                    <w:rPr>
                      <w:rFonts w:ascii="Times New Roman" w:hAnsi="Times New Roman"/>
                      <w:szCs w:val="21"/>
                    </w:rPr>
                    <w:t>能源</w:t>
                  </w:r>
                </w:p>
              </w:tc>
              <w:tc>
                <w:tcPr>
                  <w:tcW w:w="549" w:type="pct"/>
                  <w:noWrap w:val="0"/>
                  <w:vAlign w:val="center"/>
                </w:tcPr>
                <w:p>
                  <w:pPr>
                    <w:pStyle w:val="17"/>
                    <w:snapToGrid w:val="0"/>
                    <w:jc w:val="center"/>
                    <w:rPr>
                      <w:rFonts w:ascii="Times New Roman" w:hAnsi="Times New Roman"/>
                      <w:szCs w:val="21"/>
                    </w:rPr>
                  </w:pPr>
                  <w:r>
                    <w:rPr>
                      <w:rFonts w:ascii="Times New Roman" w:hAnsi="Times New Roman"/>
                      <w:szCs w:val="21"/>
                    </w:rPr>
                    <w:t>电</w:t>
                  </w:r>
                </w:p>
              </w:tc>
              <w:tc>
                <w:tcPr>
                  <w:tcW w:w="1007" w:type="pct"/>
                  <w:noWrap w:val="0"/>
                  <w:vAlign w:val="center"/>
                </w:tcPr>
                <w:p>
                  <w:pPr>
                    <w:pStyle w:val="17"/>
                    <w:snapToGrid w:val="0"/>
                    <w:jc w:val="center"/>
                    <w:rPr>
                      <w:rFonts w:ascii="Times New Roman" w:hAnsi="Times New Roman"/>
                      <w:szCs w:val="21"/>
                    </w:rPr>
                  </w:pPr>
                  <w:r>
                    <w:rPr>
                      <w:rFonts w:ascii="Times New Roman" w:hAnsi="Times New Roman"/>
                      <w:szCs w:val="21"/>
                    </w:rPr>
                    <w:t>万kWh/a</w:t>
                  </w:r>
                </w:p>
              </w:tc>
              <w:tc>
                <w:tcPr>
                  <w:tcW w:w="453" w:type="pct"/>
                  <w:noWrap w:val="0"/>
                  <w:vAlign w:val="center"/>
                </w:tcPr>
                <w:p>
                  <w:pPr>
                    <w:pStyle w:val="17"/>
                    <w:snapToGrid w:val="0"/>
                    <w:jc w:val="center"/>
                    <w:rPr>
                      <w:rFonts w:ascii="Times New Roman" w:hAnsi="Times New Roman"/>
                      <w:szCs w:val="21"/>
                    </w:rPr>
                  </w:pPr>
                  <w:r>
                    <w:rPr>
                      <w:rFonts w:ascii="Times New Roman" w:hAnsi="Times New Roman"/>
                      <w:szCs w:val="21"/>
                    </w:rPr>
                    <w:t>13</w:t>
                  </w:r>
                </w:p>
              </w:tc>
              <w:tc>
                <w:tcPr>
                  <w:tcW w:w="437" w:type="pct"/>
                  <w:noWrap w:val="0"/>
                  <w:vAlign w:val="center"/>
                </w:tcPr>
                <w:p>
                  <w:pPr>
                    <w:pStyle w:val="17"/>
                    <w:snapToGrid w:val="0"/>
                    <w:jc w:val="center"/>
                    <w:rPr>
                      <w:rFonts w:ascii="Times New Roman" w:hAnsi="Times New Roman"/>
                      <w:szCs w:val="21"/>
                    </w:rPr>
                  </w:pPr>
                  <w:r>
                    <w:rPr>
                      <w:rFonts w:ascii="Times New Roman" w:hAnsi="Times New Roman"/>
                      <w:szCs w:val="21"/>
                    </w:rPr>
                    <w:t>20</w:t>
                  </w:r>
                </w:p>
              </w:tc>
              <w:tc>
                <w:tcPr>
                  <w:tcW w:w="693" w:type="pct"/>
                  <w:noWrap w:val="0"/>
                  <w:vAlign w:val="center"/>
                </w:tcPr>
                <w:p>
                  <w:pPr>
                    <w:pStyle w:val="17"/>
                    <w:snapToGrid w:val="0"/>
                    <w:jc w:val="center"/>
                    <w:rPr>
                      <w:rFonts w:ascii="Times New Roman" w:hAnsi="Times New Roman"/>
                      <w:szCs w:val="21"/>
                    </w:rPr>
                  </w:pPr>
                  <w:r>
                    <w:rPr>
                      <w:rFonts w:ascii="Times New Roman" w:hAnsi="Times New Roman"/>
                      <w:szCs w:val="21"/>
                    </w:rPr>
                    <w:t>当地电网供应</w:t>
                  </w:r>
                </w:p>
              </w:tc>
              <w:tc>
                <w:tcPr>
                  <w:tcW w:w="1481" w:type="pct"/>
                  <w:gridSpan w:val="4"/>
                  <w:noWrap w:val="0"/>
                  <w:vAlign w:val="center"/>
                </w:tcPr>
                <w:p>
                  <w:pPr>
                    <w:pStyle w:val="17"/>
                    <w:snapToGrid w:val="0"/>
                    <w:jc w:val="center"/>
                    <w:rPr>
                      <w:rFonts w:ascii="Times New Roman" w:hAnsi="Times New Roman"/>
                      <w:szCs w:val="21"/>
                    </w:rPr>
                  </w:pPr>
                  <w:r>
                    <w:rPr>
                      <w:rFonts w:ascii="Times New Roman" w:hAnsi="Times New Roman"/>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79" w:type="pct"/>
                  <w:vMerge w:val="continue"/>
                  <w:noWrap w:val="0"/>
                  <w:vAlign w:val="center"/>
                </w:tcPr>
                <w:p>
                  <w:pPr>
                    <w:pStyle w:val="17"/>
                    <w:snapToGrid w:val="0"/>
                    <w:jc w:val="center"/>
                    <w:rPr>
                      <w:rFonts w:ascii="Times New Roman" w:hAnsi="Times New Roman"/>
                      <w:szCs w:val="21"/>
                    </w:rPr>
                  </w:pPr>
                </w:p>
              </w:tc>
              <w:tc>
                <w:tcPr>
                  <w:tcW w:w="549" w:type="pct"/>
                  <w:noWrap w:val="0"/>
                  <w:vAlign w:val="center"/>
                </w:tcPr>
                <w:p>
                  <w:pPr>
                    <w:pStyle w:val="17"/>
                    <w:snapToGrid w:val="0"/>
                    <w:jc w:val="center"/>
                    <w:rPr>
                      <w:rFonts w:ascii="Times New Roman" w:hAnsi="Times New Roman"/>
                      <w:szCs w:val="21"/>
                    </w:rPr>
                  </w:pPr>
                  <w:r>
                    <w:rPr>
                      <w:rFonts w:ascii="Times New Roman" w:hAnsi="Times New Roman"/>
                      <w:szCs w:val="21"/>
                    </w:rPr>
                    <w:t>自来水</w:t>
                  </w:r>
                </w:p>
              </w:tc>
              <w:tc>
                <w:tcPr>
                  <w:tcW w:w="1007" w:type="pct"/>
                  <w:noWrap w:val="0"/>
                  <w:vAlign w:val="center"/>
                </w:tcPr>
                <w:p>
                  <w:pPr>
                    <w:pStyle w:val="17"/>
                    <w:snapToGrid w:val="0"/>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/a</w:t>
                  </w:r>
                </w:p>
              </w:tc>
              <w:tc>
                <w:tcPr>
                  <w:tcW w:w="453" w:type="pct"/>
                  <w:noWrap w:val="0"/>
                  <w:vAlign w:val="center"/>
                </w:tcPr>
                <w:p>
                  <w:pPr>
                    <w:pStyle w:val="17"/>
                    <w:snapToGrid w:val="0"/>
                    <w:jc w:val="center"/>
                    <w:rPr>
                      <w:rFonts w:ascii="Times New Roman" w:hAnsi="Times New Roman"/>
                      <w:szCs w:val="21"/>
                    </w:rPr>
                  </w:pPr>
                  <w:r>
                    <w:rPr>
                      <w:rFonts w:ascii="Times New Roman" w:hAnsi="Times New Roman"/>
                      <w:szCs w:val="21"/>
                    </w:rPr>
                    <w:t>2007.5</w:t>
                  </w:r>
                </w:p>
              </w:tc>
              <w:tc>
                <w:tcPr>
                  <w:tcW w:w="437" w:type="pct"/>
                  <w:noWrap w:val="0"/>
                  <w:vAlign w:val="center"/>
                </w:tcPr>
                <w:p>
                  <w:pPr>
                    <w:pStyle w:val="17"/>
                    <w:snapToGrid w:val="0"/>
                    <w:jc w:val="center"/>
                    <w:rPr>
                      <w:rFonts w:ascii="Times New Roman" w:hAnsi="Times New Roman"/>
                      <w:szCs w:val="21"/>
                    </w:rPr>
                  </w:pPr>
                  <w:r>
                    <w:rPr>
                      <w:rFonts w:ascii="Times New Roman" w:hAnsi="Times New Roman"/>
                      <w:szCs w:val="21"/>
                    </w:rPr>
                    <w:t>3467.5</w:t>
                  </w:r>
                </w:p>
              </w:tc>
              <w:tc>
                <w:tcPr>
                  <w:tcW w:w="693" w:type="pct"/>
                  <w:noWrap w:val="0"/>
                  <w:vAlign w:val="center"/>
                </w:tcPr>
                <w:p>
                  <w:pPr>
                    <w:pStyle w:val="17"/>
                    <w:snapToGrid w:val="0"/>
                    <w:jc w:val="center"/>
                    <w:rPr>
                      <w:rFonts w:ascii="Times New Roman" w:hAnsi="Times New Roman"/>
                      <w:szCs w:val="21"/>
                    </w:rPr>
                  </w:pPr>
                  <w:r>
                    <w:rPr>
                      <w:rFonts w:ascii="Times New Roman" w:hAnsi="Times New Roman"/>
                      <w:szCs w:val="21"/>
                    </w:rPr>
                    <w:t>自来水</w:t>
                  </w:r>
                </w:p>
              </w:tc>
              <w:tc>
                <w:tcPr>
                  <w:tcW w:w="1481" w:type="pct"/>
                  <w:gridSpan w:val="4"/>
                  <w:noWrap w:val="0"/>
                  <w:vAlign w:val="center"/>
                </w:tcPr>
                <w:p>
                  <w:pPr>
                    <w:pStyle w:val="17"/>
                    <w:snapToGrid w:val="0"/>
                    <w:jc w:val="center"/>
                    <w:rPr>
                      <w:rFonts w:ascii="Times New Roman" w:hAnsi="Times New Roman"/>
                      <w:szCs w:val="21"/>
                    </w:rPr>
                  </w:pPr>
                  <w:r>
                    <w:rPr>
                      <w:rFonts w:ascii="Times New Roman" w:hAnsi="Times New Roman"/>
                      <w:szCs w:val="21"/>
                    </w:rPr>
                    <w:t>生活用水</w:t>
                  </w:r>
                </w:p>
              </w:tc>
            </w:tr>
          </w:tbl>
          <w:p>
            <w:pPr>
              <w:adjustRightInd w:val="0"/>
              <w:snapToGrid w:val="0"/>
              <w:spacing w:before="120" w:beforeLines="50" w:line="360" w:lineRule="auto"/>
              <w:ind w:firstLine="482" w:firstLineChars="200"/>
              <w:rPr>
                <w:bCs/>
                <w:sz w:val="24"/>
              </w:rPr>
            </w:pPr>
            <w:r>
              <w:rPr>
                <w:b/>
                <w:sz w:val="24"/>
              </w:rPr>
              <w:t>聚丙烯酰胺（PAM）：</w:t>
            </w:r>
            <w:r>
              <w:rPr>
                <w:bCs/>
                <w:sz w:val="24"/>
              </w:rPr>
              <w:t>CAS号9003-05-8，分为胶体和粉剂，根据品种又分为非离子型和阴离子型，胶体产品为无色透明、无毒、无腐蚀。粉剂为白色粒状。两者均能溶于水。不溶于有机溶剂。聚丙烯酰胺（PAM）分子量高达（103~107），水溶性好，可调节分子量并可引入各种离子基团以得到特定的性能，是水溶性高分子中用量最大、用途最广泛的一种。</w:t>
            </w:r>
          </w:p>
          <w:p>
            <w:pPr>
              <w:adjustRightInd w:val="0"/>
              <w:snapToGrid w:val="0"/>
              <w:spacing w:line="360" w:lineRule="auto"/>
              <w:ind w:firstLine="482" w:firstLineChars="200"/>
              <w:rPr>
                <w:bCs/>
                <w:sz w:val="24"/>
              </w:rPr>
            </w:pPr>
            <w:r>
              <w:rPr>
                <w:b/>
                <w:sz w:val="24"/>
              </w:rPr>
              <w:t>聚合氯化铝（PAC）：</w:t>
            </w:r>
            <w:r>
              <w:rPr>
                <w:bCs/>
                <w:sz w:val="24"/>
              </w:rPr>
              <w:t>CAS号1327-41-9，固体产品是白色、淡灰色、淡黄色或棕褐色晶粒或粉末。是一种无机高分子混凝剂。主要通过压缩双层，吸附电中和、吸附架桥、沉淀物网捕等机理作用，使水中细微悬浮粒子和胶体离子脱稳，聚集、絮凝、混凝、沉淀，达到净化处理效果。</w:t>
            </w:r>
          </w:p>
          <w:p>
            <w:pPr>
              <w:adjustRightInd w:val="0"/>
              <w:snapToGrid w:val="0"/>
              <w:spacing w:line="360" w:lineRule="auto"/>
              <w:ind w:firstLine="480" w:firstLineChars="200"/>
              <w:rPr>
                <w:bCs/>
                <w:sz w:val="24"/>
              </w:rPr>
            </w:pPr>
            <w:r>
              <w:rPr>
                <w:bCs/>
                <w:sz w:val="24"/>
              </w:rPr>
              <w:t>聚合氯化铝与其它混凝剂相比，具有以下优点：应用范围广，适应水性广泛。易快速形成大的矾花，沉淀性能好。适宜的pH值范围较宽（5~9间），且处理后水的pH值和碱度下降小。水温低时，仍可保持稳定的沉淀效果。碱化度比其它铝盐、铁盐高，对设备侵蚀作用小。</w:t>
            </w:r>
          </w:p>
          <w:p>
            <w:pPr>
              <w:adjustRightInd w:val="0"/>
              <w:snapToGrid w:val="0"/>
              <w:spacing w:line="360" w:lineRule="auto"/>
              <w:ind w:firstLine="480" w:firstLineChars="200"/>
              <w:rPr>
                <w:bCs/>
                <w:sz w:val="24"/>
              </w:rPr>
            </w:pPr>
            <w:r>
              <w:rPr>
                <w:bCs/>
                <w:sz w:val="24"/>
              </w:rPr>
              <w:t>无毒，但是里面含铝离子对人体有害，过多摄入会导致缺钙，对大脑造成损伤，积聚在肝、脾、肾等部位，妨碍人体的消化吸收功能。</w:t>
            </w:r>
          </w:p>
          <w:p>
            <w:pPr>
              <w:adjustRightInd w:val="0"/>
              <w:snapToGrid w:val="0"/>
              <w:spacing w:line="360" w:lineRule="auto"/>
              <w:ind w:firstLine="482" w:firstLineChars="200"/>
              <w:rPr>
                <w:b/>
                <w:sz w:val="24"/>
              </w:rPr>
            </w:pPr>
            <w:r>
              <w:rPr>
                <w:b/>
                <w:sz w:val="24"/>
              </w:rPr>
              <w:t>乙酸钠：</w:t>
            </w:r>
            <w:r>
              <w:rPr>
                <w:bCs/>
                <w:sz w:val="24"/>
              </w:rPr>
              <w:t>又称醋酸钠，是一种有机物，分子式为CH</w:t>
            </w:r>
            <w:r>
              <w:rPr>
                <w:bCs/>
                <w:sz w:val="24"/>
                <w:vertAlign w:val="subscript"/>
              </w:rPr>
              <w:t>3</w:t>
            </w:r>
            <w:r>
              <w:rPr>
                <w:bCs/>
                <w:sz w:val="24"/>
              </w:rPr>
              <w:t>COONa，分子量为82.03。三水合物乙酸钠性状为白色结晶体，相对密度1.45，熔点为58℃，在干燥空气中风化，在120℃时失去结晶水，温度再高时分解；无水乙酸钠为无色透明结晶体，熔点324℃。皮肤/眼睛刺激：兔子皮肤标准德雷兹染眼实验：500mg/24H对皮肤有轻微的刺激作用。兔子眼睛标准德雷兹染眼实验：50μg/24H对眼睛有轻微的刺激作用。急性毒性：大鼠经口LD</w:t>
            </w:r>
            <w:r>
              <w:rPr>
                <w:bCs/>
                <w:sz w:val="24"/>
                <w:vertAlign w:val="subscript"/>
              </w:rPr>
              <w:t>50</w:t>
            </w:r>
            <w:r>
              <w:rPr>
                <w:bCs/>
                <w:sz w:val="24"/>
              </w:rPr>
              <w:t>：3530mg/kg 大鼠吸入LC</w:t>
            </w:r>
            <w:r>
              <w:rPr>
                <w:bCs/>
                <w:sz w:val="24"/>
                <w:vertAlign w:val="subscript"/>
              </w:rPr>
              <w:t>50</w:t>
            </w:r>
            <w:r>
              <w:rPr>
                <w:bCs/>
                <w:sz w:val="24"/>
              </w:rPr>
              <w:t>：&gt;30gm/m</w:t>
            </w:r>
            <w:r>
              <w:rPr>
                <w:bCs/>
                <w:sz w:val="24"/>
                <w:vertAlign w:val="superscript"/>
              </w:rPr>
              <w:t>3</w:t>
            </w:r>
            <w:r>
              <w:rPr>
                <w:bCs/>
                <w:sz w:val="24"/>
              </w:rPr>
              <w:t>/1H 小鼠经口LD</w:t>
            </w:r>
            <w:r>
              <w:rPr>
                <w:bCs/>
                <w:sz w:val="24"/>
                <w:vertAlign w:val="subscript"/>
              </w:rPr>
              <w:t>50</w:t>
            </w:r>
            <w:r>
              <w:rPr>
                <w:bCs/>
                <w:sz w:val="24"/>
              </w:rPr>
              <w:t>：6891mg/kg 小鼠皮下LD</w:t>
            </w:r>
            <w:r>
              <w:rPr>
                <w:bCs/>
                <w:sz w:val="24"/>
                <w:vertAlign w:val="subscript"/>
              </w:rPr>
              <w:t>50</w:t>
            </w:r>
            <w:r>
              <w:rPr>
                <w:bCs/>
                <w:sz w:val="24"/>
              </w:rPr>
              <w:t>：3200mg/kg 小鼠静脉注射LDLo：1195mg/kg 兔子皮肤LD</w:t>
            </w:r>
            <w:r>
              <w:rPr>
                <w:bCs/>
                <w:sz w:val="24"/>
                <w:vertAlign w:val="subscript"/>
              </w:rPr>
              <w:t>50</w:t>
            </w:r>
            <w:r>
              <w:rPr>
                <w:bCs/>
                <w:sz w:val="24"/>
              </w:rPr>
              <w:t>：&gt;10mg/kg 兔子经静脉注射LDLo：1300mg/kg。</w:t>
            </w:r>
          </w:p>
          <w:p>
            <w:pPr>
              <w:adjustRightInd w:val="0"/>
              <w:snapToGrid w:val="0"/>
              <w:spacing w:line="360" w:lineRule="auto"/>
              <w:ind w:firstLine="482" w:firstLineChars="200"/>
              <w:rPr>
                <w:b/>
                <w:sz w:val="24"/>
              </w:rPr>
            </w:pPr>
            <w:r>
              <w:rPr>
                <w:b/>
                <w:sz w:val="24"/>
              </w:rPr>
              <w:t>氯酸钠：</w:t>
            </w:r>
            <w:r>
              <w:rPr>
                <w:bCs/>
                <w:sz w:val="24"/>
              </w:rPr>
              <w:t>是一种无机化合物，化学式为NaClO</w:t>
            </w:r>
            <w:r>
              <w:rPr>
                <w:bCs/>
                <w:sz w:val="24"/>
                <w:vertAlign w:val="subscript"/>
              </w:rPr>
              <w:t>3</w:t>
            </w:r>
            <w:r>
              <w:rPr>
                <w:bCs/>
                <w:sz w:val="24"/>
              </w:rPr>
              <w:t>，通常为白色或微黄色等轴晶体，味咸而凉，易溶于水、微溶于乙醇。在酸性溶液中有强氧化作用，300℃以上分解产生氧气。氯酸钠不稳定。与磷、硫及有机物混合受撞击时易发生燃烧和爆炸，易吸潮结块。急性毒性：LD</w:t>
            </w:r>
            <w:r>
              <w:rPr>
                <w:bCs/>
                <w:sz w:val="24"/>
                <w:vertAlign w:val="subscript"/>
              </w:rPr>
              <w:t>50</w:t>
            </w:r>
            <w:r>
              <w:rPr>
                <w:bCs/>
                <w:sz w:val="24"/>
              </w:rPr>
              <w:t>：1200mg/kg（大鼠经口）；＞10g/kg（兔经皮）LC</w:t>
            </w:r>
            <w:r>
              <w:rPr>
                <w:bCs/>
                <w:sz w:val="24"/>
                <w:vertAlign w:val="subscript"/>
              </w:rPr>
              <w:t>50</w:t>
            </w:r>
            <w:r>
              <w:rPr>
                <w:bCs/>
                <w:sz w:val="24"/>
              </w:rPr>
              <w:t>：＞28g/m</w:t>
            </w:r>
            <w:r>
              <w:rPr>
                <w:bCs/>
                <w:sz w:val="24"/>
                <w:vertAlign w:val="superscript"/>
              </w:rPr>
              <w:t>3</w:t>
            </w:r>
            <w:r>
              <w:rPr>
                <w:bCs/>
                <w:sz w:val="24"/>
              </w:rPr>
              <w:t>（大鼠吸入，1h）；刺激性：家兔经皮：500mg（24h），轻度刺激。家兔经眼：10mg，轻度刺激。微生物致突变：鼠伤寒沙门菌40μmol/皿。性染色体缺失和不分离：黑腹果蝇250mmol/L。DNA抑制：大鼠经口84mg/kg（12周）。</w:t>
            </w:r>
          </w:p>
          <w:p>
            <w:pPr>
              <w:adjustRightInd w:val="0"/>
              <w:snapToGrid w:val="0"/>
              <w:spacing w:line="360" w:lineRule="auto"/>
              <w:ind w:firstLine="482" w:firstLineChars="200"/>
              <w:rPr>
                <w:b/>
                <w:sz w:val="24"/>
              </w:rPr>
            </w:pPr>
            <w:r>
              <w:rPr>
                <w:b/>
                <w:sz w:val="24"/>
              </w:rPr>
              <w:t>盐酸：</w:t>
            </w:r>
            <w:r>
              <w:rPr>
                <w:bCs/>
                <w:sz w:val="24"/>
              </w:rPr>
              <w:t>是无色液体（工业用盐酸会因有杂质三价铁盐而略显黄色），为氯化氢的水溶液，具有刺激性气味。由于浓盐酸具有挥发性，挥发出的氯化氢气体与空气中的水蒸气作用形成盐酸小液滴，所以会看到白雾。盐酸与水、乙醇任意混溶，氯化氢能溶于许多有机溶剂。浓盐酸稀释有热量放出。浓盐酸（发烟盐酸）会挥发出酸雾。盐酸本身和酸雾都会腐蚀人体组织，可能会不可逆地损伤呼吸器官、眼部、皮肤和胃肠等。在将盐酸与氧化剂（例如漂白剂次氯酸钠或高锰酸钾等）混合时，会产生有毒气体氯气。</w:t>
            </w:r>
          </w:p>
          <w:p>
            <w:pPr>
              <w:adjustRightInd w:val="0"/>
              <w:snapToGrid w:val="0"/>
              <w:spacing w:line="360" w:lineRule="auto"/>
              <w:rPr>
                <w:bCs/>
                <w:sz w:val="24"/>
              </w:rPr>
            </w:pPr>
            <w:r>
              <w:rPr>
                <w:b/>
                <w:sz w:val="24"/>
              </w:rPr>
              <w:t>8、主要设备一览表</w:t>
            </w:r>
          </w:p>
          <w:p>
            <w:pPr>
              <w:adjustRightInd w:val="0"/>
              <w:snapToGrid w:val="0"/>
              <w:spacing w:line="360" w:lineRule="auto"/>
              <w:ind w:firstLine="480" w:firstLineChars="200"/>
              <w:rPr>
                <w:bCs/>
                <w:sz w:val="24"/>
              </w:rPr>
            </w:pPr>
            <w:r>
              <w:rPr>
                <w:bCs/>
                <w:sz w:val="24"/>
              </w:rPr>
              <w:t>本项目主要生产设备见下表。</w:t>
            </w:r>
          </w:p>
          <w:p>
            <w:pPr>
              <w:adjustRightInd w:val="0"/>
              <w:snapToGrid w:val="0"/>
              <w:spacing w:line="276" w:lineRule="auto"/>
              <w:jc w:val="center"/>
              <w:rPr>
                <w:rFonts w:eastAsia="黑体"/>
                <w:bCs/>
                <w:sz w:val="24"/>
              </w:rPr>
            </w:pPr>
            <w:r>
              <w:rPr>
                <w:rFonts w:eastAsia="黑体"/>
                <w:bCs/>
                <w:sz w:val="24"/>
              </w:rPr>
              <w:t>表2-7  改扩建后本项目主要设备一览表</w:t>
            </w:r>
          </w:p>
          <w:tbl>
            <w:tblPr>
              <w:tblStyle w:val="3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85" w:type="dxa"/>
                <w:bottom w:w="0" w:type="dxa"/>
                <w:right w:w="85" w:type="dxa"/>
              </w:tblCellMar>
            </w:tblPr>
            <w:tblGrid>
              <w:gridCol w:w="422"/>
              <w:gridCol w:w="1984"/>
              <w:gridCol w:w="3424"/>
              <w:gridCol w:w="590"/>
              <w:gridCol w:w="400"/>
              <w:gridCol w:w="15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2" w:type="dxa"/>
                  <w:shd w:val="clear" w:color="auto" w:fill="CCFFFF"/>
                  <w:noWrap w:val="0"/>
                  <w:vAlign w:val="center"/>
                </w:tcPr>
                <w:p>
                  <w:pPr>
                    <w:jc w:val="center"/>
                    <w:rPr>
                      <w:b/>
                      <w:bCs/>
                      <w:szCs w:val="21"/>
                    </w:rPr>
                  </w:pPr>
                  <w:r>
                    <w:rPr>
                      <w:b/>
                      <w:bCs/>
                      <w:szCs w:val="21"/>
                    </w:rPr>
                    <w:t>序号</w:t>
                  </w:r>
                </w:p>
              </w:tc>
              <w:tc>
                <w:tcPr>
                  <w:tcW w:w="1994" w:type="dxa"/>
                  <w:shd w:val="clear" w:color="auto" w:fill="CCFFFF"/>
                  <w:noWrap w:val="0"/>
                  <w:vAlign w:val="center"/>
                </w:tcPr>
                <w:p>
                  <w:pPr>
                    <w:jc w:val="center"/>
                    <w:rPr>
                      <w:b/>
                      <w:bCs/>
                      <w:szCs w:val="21"/>
                    </w:rPr>
                  </w:pPr>
                  <w:r>
                    <w:rPr>
                      <w:b/>
                      <w:bCs/>
                      <w:szCs w:val="21"/>
                    </w:rPr>
                    <w:t>名称</w:t>
                  </w:r>
                </w:p>
              </w:tc>
              <w:tc>
                <w:tcPr>
                  <w:tcW w:w="3438" w:type="dxa"/>
                  <w:shd w:val="clear" w:color="auto" w:fill="CCFFFF"/>
                  <w:noWrap w:val="0"/>
                  <w:vAlign w:val="center"/>
                </w:tcPr>
                <w:p>
                  <w:pPr>
                    <w:jc w:val="center"/>
                    <w:rPr>
                      <w:b/>
                      <w:bCs/>
                      <w:szCs w:val="21"/>
                    </w:rPr>
                  </w:pPr>
                  <w:r>
                    <w:rPr>
                      <w:b/>
                      <w:bCs/>
                      <w:szCs w:val="21"/>
                    </w:rPr>
                    <w:t>规格或型号</w:t>
                  </w:r>
                </w:p>
              </w:tc>
              <w:tc>
                <w:tcPr>
                  <w:tcW w:w="590" w:type="dxa"/>
                  <w:shd w:val="clear" w:color="auto" w:fill="CCFFFF"/>
                  <w:noWrap w:val="0"/>
                  <w:vAlign w:val="center"/>
                </w:tcPr>
                <w:p>
                  <w:pPr>
                    <w:jc w:val="center"/>
                    <w:rPr>
                      <w:b/>
                      <w:bCs/>
                      <w:szCs w:val="21"/>
                    </w:rPr>
                  </w:pPr>
                  <w:r>
                    <w:rPr>
                      <w:b/>
                      <w:bCs/>
                      <w:szCs w:val="21"/>
                    </w:rPr>
                    <w:t>单位</w:t>
                  </w:r>
                </w:p>
              </w:tc>
              <w:tc>
                <w:tcPr>
                  <w:tcW w:w="386" w:type="dxa"/>
                  <w:shd w:val="clear" w:color="auto" w:fill="CCFFFF"/>
                  <w:noWrap w:val="0"/>
                  <w:vAlign w:val="center"/>
                </w:tcPr>
                <w:p>
                  <w:pPr>
                    <w:jc w:val="center"/>
                    <w:rPr>
                      <w:b/>
                      <w:bCs/>
                      <w:szCs w:val="21"/>
                    </w:rPr>
                  </w:pPr>
                  <w:r>
                    <w:rPr>
                      <w:b/>
                      <w:bCs/>
                      <w:szCs w:val="21"/>
                    </w:rPr>
                    <w:t>数量</w:t>
                  </w:r>
                </w:p>
              </w:tc>
              <w:tc>
                <w:tcPr>
                  <w:tcW w:w="1606" w:type="dxa"/>
                  <w:shd w:val="clear" w:color="auto" w:fill="CCFFFF"/>
                  <w:noWrap w:val="0"/>
                  <w:vAlign w:val="center"/>
                </w:tcPr>
                <w:p>
                  <w:pPr>
                    <w:jc w:val="center"/>
                    <w:rPr>
                      <w:b/>
                      <w:bCs/>
                      <w:szCs w:val="21"/>
                    </w:rPr>
                  </w:pPr>
                  <w:r>
                    <w:rPr>
                      <w:b/>
                      <w:bCs/>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2" w:type="dxa"/>
                  <w:noWrap w:val="0"/>
                  <w:vAlign w:val="center"/>
                </w:tcPr>
                <w:p>
                  <w:pPr>
                    <w:jc w:val="center"/>
                    <w:rPr>
                      <w:szCs w:val="21"/>
                    </w:rPr>
                  </w:pPr>
                  <w:r>
                    <w:rPr>
                      <w:szCs w:val="21"/>
                    </w:rPr>
                    <w:t>1</w:t>
                  </w:r>
                </w:p>
              </w:tc>
              <w:tc>
                <w:tcPr>
                  <w:tcW w:w="1994" w:type="dxa"/>
                  <w:noWrap w:val="0"/>
                  <w:vAlign w:val="center"/>
                </w:tcPr>
                <w:p>
                  <w:pPr>
                    <w:jc w:val="center"/>
                    <w:rPr>
                      <w:szCs w:val="21"/>
                    </w:rPr>
                  </w:pPr>
                  <w:r>
                    <w:rPr>
                      <w:szCs w:val="21"/>
                      <w:lang w:val="zh-CN"/>
                    </w:rPr>
                    <w:t>集水池提升泵</w:t>
                  </w:r>
                </w:p>
              </w:tc>
              <w:tc>
                <w:tcPr>
                  <w:tcW w:w="3438" w:type="dxa"/>
                  <w:noWrap w:val="0"/>
                  <w:vAlign w:val="center"/>
                </w:tcPr>
                <w:p>
                  <w:pPr>
                    <w:jc w:val="center"/>
                    <w:rPr>
                      <w:szCs w:val="21"/>
                    </w:rPr>
                  </w:pPr>
                  <w:r>
                    <w:rPr>
                      <w:szCs w:val="21"/>
                      <w:lang w:val="zh-CN"/>
                    </w:rPr>
                    <w:t>Q=75m</w:t>
                  </w:r>
                  <w:r>
                    <w:rPr>
                      <w:szCs w:val="21"/>
                      <w:vertAlign w:val="superscript"/>
                      <w:lang w:val="zh-CN"/>
                    </w:rPr>
                    <w:t>3</w:t>
                  </w:r>
                  <w:r>
                    <w:rPr>
                      <w:szCs w:val="21"/>
                      <w:lang w:val="zh-CN"/>
                    </w:rPr>
                    <w:t>/h，H=12m，N=4kW，变频，软连接安装</w:t>
                  </w:r>
                </w:p>
              </w:tc>
              <w:tc>
                <w:tcPr>
                  <w:tcW w:w="590" w:type="dxa"/>
                  <w:noWrap w:val="0"/>
                  <w:vAlign w:val="center"/>
                </w:tcPr>
                <w:p>
                  <w:pPr>
                    <w:jc w:val="center"/>
                    <w:rPr>
                      <w:szCs w:val="21"/>
                    </w:rPr>
                  </w:pPr>
                  <w:r>
                    <w:rPr>
                      <w:szCs w:val="21"/>
                    </w:rPr>
                    <w:t>台</w:t>
                  </w:r>
                </w:p>
              </w:tc>
              <w:tc>
                <w:tcPr>
                  <w:tcW w:w="386" w:type="dxa"/>
                  <w:noWrap w:val="0"/>
                  <w:vAlign w:val="center"/>
                </w:tcPr>
                <w:p>
                  <w:pPr>
                    <w:jc w:val="center"/>
                    <w:rPr>
                      <w:szCs w:val="21"/>
                    </w:rPr>
                  </w:pPr>
                  <w:r>
                    <w:rPr>
                      <w:szCs w:val="21"/>
                    </w:rPr>
                    <w:t>1</w:t>
                  </w:r>
                </w:p>
              </w:tc>
              <w:tc>
                <w:tcPr>
                  <w:tcW w:w="1606" w:type="dxa"/>
                  <w:noWrap w:val="0"/>
                  <w:vAlign w:val="center"/>
                </w:tcPr>
                <w:p>
                  <w:pPr>
                    <w:pStyle w:val="23"/>
                    <w:jc w:val="center"/>
                    <w:rPr>
                      <w:szCs w:val="21"/>
                    </w:rPr>
                  </w:pPr>
                  <w:r>
                    <w:rPr>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2" w:type="dxa"/>
                  <w:noWrap w:val="0"/>
                  <w:vAlign w:val="center"/>
                </w:tcPr>
                <w:p>
                  <w:pPr>
                    <w:jc w:val="center"/>
                    <w:rPr>
                      <w:szCs w:val="21"/>
                    </w:rPr>
                  </w:pPr>
                  <w:r>
                    <w:rPr>
                      <w:szCs w:val="21"/>
                    </w:rPr>
                    <w:t>2</w:t>
                  </w:r>
                </w:p>
              </w:tc>
              <w:tc>
                <w:tcPr>
                  <w:tcW w:w="1994" w:type="dxa"/>
                  <w:noWrap w:val="0"/>
                  <w:vAlign w:val="center"/>
                </w:tcPr>
                <w:p>
                  <w:pPr>
                    <w:jc w:val="center"/>
                    <w:rPr>
                      <w:szCs w:val="21"/>
                    </w:rPr>
                  </w:pPr>
                  <w:r>
                    <w:rPr>
                      <w:szCs w:val="21"/>
                      <w:lang w:val="zh-CN"/>
                    </w:rPr>
                    <w:t>液位计</w:t>
                  </w:r>
                </w:p>
              </w:tc>
              <w:tc>
                <w:tcPr>
                  <w:tcW w:w="3438" w:type="dxa"/>
                  <w:noWrap w:val="0"/>
                  <w:vAlign w:val="center"/>
                </w:tcPr>
                <w:p>
                  <w:pPr>
                    <w:jc w:val="center"/>
                    <w:rPr>
                      <w:szCs w:val="21"/>
                    </w:rPr>
                  </w:pPr>
                  <w:r>
                    <w:rPr>
                      <w:szCs w:val="21"/>
                      <w:lang w:val="zh-CN"/>
                    </w:rPr>
                    <w:t>浮球液位计</w:t>
                  </w:r>
                </w:p>
              </w:tc>
              <w:tc>
                <w:tcPr>
                  <w:tcW w:w="590" w:type="dxa"/>
                  <w:noWrap w:val="0"/>
                  <w:vAlign w:val="center"/>
                </w:tcPr>
                <w:p>
                  <w:pPr>
                    <w:jc w:val="center"/>
                    <w:rPr>
                      <w:szCs w:val="21"/>
                    </w:rPr>
                  </w:pPr>
                  <w:r>
                    <w:rPr>
                      <w:szCs w:val="21"/>
                    </w:rPr>
                    <w:t>套</w:t>
                  </w:r>
                </w:p>
              </w:tc>
              <w:tc>
                <w:tcPr>
                  <w:tcW w:w="386" w:type="dxa"/>
                  <w:noWrap w:val="0"/>
                  <w:vAlign w:val="center"/>
                </w:tcPr>
                <w:p>
                  <w:pPr>
                    <w:jc w:val="center"/>
                    <w:rPr>
                      <w:szCs w:val="21"/>
                    </w:rPr>
                  </w:pPr>
                  <w:r>
                    <w:rPr>
                      <w:szCs w:val="21"/>
                    </w:rPr>
                    <w:t>1</w:t>
                  </w:r>
                </w:p>
              </w:tc>
              <w:tc>
                <w:tcPr>
                  <w:tcW w:w="1606" w:type="dxa"/>
                  <w:noWrap w:val="0"/>
                  <w:vAlign w:val="center"/>
                </w:tcPr>
                <w:p>
                  <w:pPr>
                    <w:jc w:val="center"/>
                    <w:rPr>
                      <w:szCs w:val="21"/>
                    </w:rPr>
                  </w:pPr>
                  <w:r>
                    <w:rPr>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2" w:type="dxa"/>
                  <w:noWrap w:val="0"/>
                  <w:vAlign w:val="center"/>
                </w:tcPr>
                <w:p>
                  <w:pPr>
                    <w:jc w:val="center"/>
                    <w:rPr>
                      <w:szCs w:val="21"/>
                    </w:rPr>
                  </w:pPr>
                  <w:r>
                    <w:rPr>
                      <w:szCs w:val="21"/>
                    </w:rPr>
                    <w:t>3</w:t>
                  </w:r>
                </w:p>
              </w:tc>
              <w:tc>
                <w:tcPr>
                  <w:tcW w:w="1994" w:type="dxa"/>
                  <w:noWrap w:val="0"/>
                  <w:vAlign w:val="center"/>
                </w:tcPr>
                <w:p>
                  <w:pPr>
                    <w:jc w:val="center"/>
                    <w:rPr>
                      <w:szCs w:val="21"/>
                    </w:rPr>
                  </w:pPr>
                  <w:r>
                    <w:rPr>
                      <w:szCs w:val="21"/>
                      <w:lang w:val="zh-CN"/>
                    </w:rPr>
                    <w:t>泵吊架</w:t>
                  </w:r>
                </w:p>
              </w:tc>
              <w:tc>
                <w:tcPr>
                  <w:tcW w:w="3438" w:type="dxa"/>
                  <w:noWrap w:val="0"/>
                  <w:vAlign w:val="center"/>
                </w:tcPr>
                <w:p>
                  <w:pPr>
                    <w:jc w:val="center"/>
                    <w:rPr>
                      <w:szCs w:val="21"/>
                    </w:rPr>
                  </w:pPr>
                  <w:r>
                    <w:rPr>
                      <w:szCs w:val="21"/>
                    </w:rPr>
                    <w:t>详初设图纸</w:t>
                  </w:r>
                </w:p>
              </w:tc>
              <w:tc>
                <w:tcPr>
                  <w:tcW w:w="590" w:type="dxa"/>
                  <w:noWrap w:val="0"/>
                  <w:vAlign w:val="center"/>
                </w:tcPr>
                <w:p>
                  <w:pPr>
                    <w:jc w:val="center"/>
                    <w:rPr>
                      <w:szCs w:val="21"/>
                    </w:rPr>
                  </w:pPr>
                  <w:r>
                    <w:rPr>
                      <w:szCs w:val="21"/>
                    </w:rPr>
                    <w:t>套</w:t>
                  </w:r>
                </w:p>
              </w:tc>
              <w:tc>
                <w:tcPr>
                  <w:tcW w:w="386" w:type="dxa"/>
                  <w:noWrap w:val="0"/>
                  <w:vAlign w:val="center"/>
                </w:tcPr>
                <w:p>
                  <w:pPr>
                    <w:jc w:val="center"/>
                    <w:rPr>
                      <w:szCs w:val="21"/>
                    </w:rPr>
                  </w:pPr>
                  <w:r>
                    <w:rPr>
                      <w:szCs w:val="21"/>
                    </w:rPr>
                    <w:t>1</w:t>
                  </w:r>
                </w:p>
              </w:tc>
              <w:tc>
                <w:tcPr>
                  <w:tcW w:w="1606" w:type="dxa"/>
                  <w:noWrap w:val="0"/>
                  <w:vAlign w:val="center"/>
                </w:tcPr>
                <w:p>
                  <w:pPr>
                    <w:jc w:val="center"/>
                    <w:rPr>
                      <w:szCs w:val="21"/>
                    </w:rPr>
                  </w:pPr>
                  <w:r>
                    <w:rPr>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2" w:type="dxa"/>
                  <w:noWrap w:val="0"/>
                  <w:vAlign w:val="center"/>
                </w:tcPr>
                <w:p>
                  <w:pPr>
                    <w:jc w:val="center"/>
                    <w:rPr>
                      <w:szCs w:val="21"/>
                    </w:rPr>
                  </w:pPr>
                  <w:r>
                    <w:rPr>
                      <w:szCs w:val="21"/>
                    </w:rPr>
                    <w:t>4</w:t>
                  </w:r>
                </w:p>
              </w:tc>
              <w:tc>
                <w:tcPr>
                  <w:tcW w:w="1994" w:type="dxa"/>
                  <w:noWrap w:val="0"/>
                  <w:vAlign w:val="center"/>
                </w:tcPr>
                <w:p>
                  <w:pPr>
                    <w:jc w:val="center"/>
                    <w:rPr>
                      <w:szCs w:val="21"/>
                    </w:rPr>
                  </w:pPr>
                  <w:r>
                    <w:rPr>
                      <w:szCs w:val="21"/>
                      <w:lang w:val="zh-CN"/>
                    </w:rPr>
                    <w:t>电磁流量计</w:t>
                  </w:r>
                </w:p>
              </w:tc>
              <w:tc>
                <w:tcPr>
                  <w:tcW w:w="3438" w:type="dxa"/>
                  <w:noWrap w:val="0"/>
                  <w:vAlign w:val="center"/>
                </w:tcPr>
                <w:p>
                  <w:pPr>
                    <w:jc w:val="center"/>
                    <w:rPr>
                      <w:szCs w:val="21"/>
                    </w:rPr>
                  </w:pPr>
                  <w:r>
                    <w:rPr>
                      <w:szCs w:val="21"/>
                      <w:lang w:val="zh-CN"/>
                    </w:rPr>
                    <w:t>DN100</w:t>
                  </w:r>
                </w:p>
              </w:tc>
              <w:tc>
                <w:tcPr>
                  <w:tcW w:w="590" w:type="dxa"/>
                  <w:noWrap w:val="0"/>
                  <w:vAlign w:val="center"/>
                </w:tcPr>
                <w:p>
                  <w:pPr>
                    <w:jc w:val="center"/>
                    <w:rPr>
                      <w:szCs w:val="21"/>
                    </w:rPr>
                  </w:pPr>
                  <w:r>
                    <w:rPr>
                      <w:szCs w:val="21"/>
                    </w:rPr>
                    <w:t>台</w:t>
                  </w:r>
                </w:p>
              </w:tc>
              <w:tc>
                <w:tcPr>
                  <w:tcW w:w="386" w:type="dxa"/>
                  <w:noWrap w:val="0"/>
                  <w:vAlign w:val="center"/>
                </w:tcPr>
                <w:p>
                  <w:pPr>
                    <w:jc w:val="center"/>
                    <w:rPr>
                      <w:szCs w:val="21"/>
                    </w:rPr>
                  </w:pPr>
                  <w:r>
                    <w:rPr>
                      <w:szCs w:val="21"/>
                    </w:rPr>
                    <w:t>1</w:t>
                  </w:r>
                </w:p>
              </w:tc>
              <w:tc>
                <w:tcPr>
                  <w:tcW w:w="1606" w:type="dxa"/>
                  <w:noWrap w:val="0"/>
                  <w:vAlign w:val="center"/>
                </w:tcPr>
                <w:p>
                  <w:pPr>
                    <w:jc w:val="center"/>
                    <w:rPr>
                      <w:szCs w:val="21"/>
                    </w:rPr>
                  </w:pPr>
                  <w:r>
                    <w:rPr>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2" w:type="dxa"/>
                  <w:noWrap w:val="0"/>
                  <w:vAlign w:val="center"/>
                </w:tcPr>
                <w:p>
                  <w:pPr>
                    <w:jc w:val="center"/>
                    <w:rPr>
                      <w:szCs w:val="21"/>
                    </w:rPr>
                  </w:pPr>
                  <w:r>
                    <w:rPr>
                      <w:szCs w:val="21"/>
                    </w:rPr>
                    <w:t>5</w:t>
                  </w:r>
                </w:p>
              </w:tc>
              <w:tc>
                <w:tcPr>
                  <w:tcW w:w="1994" w:type="dxa"/>
                  <w:noWrap w:val="0"/>
                  <w:vAlign w:val="center"/>
                </w:tcPr>
                <w:p>
                  <w:pPr>
                    <w:jc w:val="center"/>
                    <w:rPr>
                      <w:szCs w:val="21"/>
                      <w:lang w:val="zh-CN"/>
                    </w:rPr>
                  </w:pPr>
                  <w:r>
                    <w:rPr>
                      <w:szCs w:val="21"/>
                      <w:lang w:val="zh-CN"/>
                    </w:rPr>
                    <w:t>调节池提升泵</w:t>
                  </w:r>
                </w:p>
              </w:tc>
              <w:tc>
                <w:tcPr>
                  <w:tcW w:w="3438" w:type="dxa"/>
                  <w:noWrap w:val="0"/>
                  <w:vAlign w:val="center"/>
                </w:tcPr>
                <w:p>
                  <w:pPr>
                    <w:jc w:val="center"/>
                    <w:rPr>
                      <w:szCs w:val="21"/>
                      <w:lang w:val="zh-CN"/>
                    </w:rPr>
                  </w:pPr>
                  <w:r>
                    <w:rPr>
                      <w:szCs w:val="21"/>
                      <w:lang w:val="zh-CN"/>
                    </w:rPr>
                    <w:t>Q=45m</w:t>
                  </w:r>
                  <w:r>
                    <w:rPr>
                      <w:szCs w:val="21"/>
                      <w:vertAlign w:val="superscript"/>
                      <w:lang w:val="zh-CN"/>
                    </w:rPr>
                    <w:t>3</w:t>
                  </w:r>
                  <w:r>
                    <w:rPr>
                      <w:szCs w:val="21"/>
                      <w:lang w:val="zh-CN"/>
                    </w:rPr>
                    <w:t>/h，H=15m，N=4kW，含耦合架、导杆</w:t>
                  </w:r>
                </w:p>
              </w:tc>
              <w:tc>
                <w:tcPr>
                  <w:tcW w:w="590" w:type="dxa"/>
                  <w:noWrap w:val="0"/>
                  <w:vAlign w:val="center"/>
                </w:tcPr>
                <w:p>
                  <w:pPr>
                    <w:jc w:val="center"/>
                    <w:rPr>
                      <w:szCs w:val="21"/>
                    </w:rPr>
                  </w:pPr>
                  <w:r>
                    <w:rPr>
                      <w:szCs w:val="21"/>
                    </w:rPr>
                    <w:t>2</w:t>
                  </w:r>
                </w:p>
              </w:tc>
              <w:tc>
                <w:tcPr>
                  <w:tcW w:w="386" w:type="dxa"/>
                  <w:noWrap w:val="0"/>
                  <w:vAlign w:val="center"/>
                </w:tcPr>
                <w:p>
                  <w:pPr>
                    <w:jc w:val="center"/>
                    <w:rPr>
                      <w:szCs w:val="21"/>
                    </w:rPr>
                  </w:pPr>
                  <w:r>
                    <w:rPr>
                      <w:szCs w:val="21"/>
                    </w:rPr>
                    <w:t>台</w:t>
                  </w:r>
                </w:p>
              </w:tc>
              <w:tc>
                <w:tcPr>
                  <w:tcW w:w="1606" w:type="dxa"/>
                  <w:noWrap w:val="0"/>
                  <w:vAlign w:val="center"/>
                </w:tcPr>
                <w:p>
                  <w:pPr>
                    <w:jc w:val="center"/>
                    <w:rPr>
                      <w:szCs w:val="21"/>
                    </w:rPr>
                  </w:pPr>
                  <w:r>
                    <w:rPr>
                      <w:szCs w:val="21"/>
                    </w:rPr>
                    <w:t>新增，1用1备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2" w:type="dxa"/>
                  <w:noWrap w:val="0"/>
                  <w:vAlign w:val="center"/>
                </w:tcPr>
                <w:p>
                  <w:pPr>
                    <w:jc w:val="center"/>
                    <w:rPr>
                      <w:szCs w:val="21"/>
                    </w:rPr>
                  </w:pPr>
                  <w:r>
                    <w:rPr>
                      <w:szCs w:val="21"/>
                    </w:rPr>
                    <w:t>6</w:t>
                  </w:r>
                </w:p>
              </w:tc>
              <w:tc>
                <w:tcPr>
                  <w:tcW w:w="1994" w:type="dxa"/>
                  <w:noWrap w:val="0"/>
                  <w:vAlign w:val="center"/>
                </w:tcPr>
                <w:p>
                  <w:pPr>
                    <w:jc w:val="center"/>
                    <w:rPr>
                      <w:szCs w:val="21"/>
                    </w:rPr>
                  </w:pPr>
                  <w:r>
                    <w:rPr>
                      <w:szCs w:val="21"/>
                      <w:lang w:val="zh-CN"/>
                    </w:rPr>
                    <w:t>液位计</w:t>
                  </w:r>
                </w:p>
              </w:tc>
              <w:tc>
                <w:tcPr>
                  <w:tcW w:w="3438" w:type="dxa"/>
                  <w:noWrap w:val="0"/>
                  <w:vAlign w:val="center"/>
                </w:tcPr>
                <w:p>
                  <w:pPr>
                    <w:jc w:val="center"/>
                    <w:rPr>
                      <w:szCs w:val="21"/>
                    </w:rPr>
                  </w:pPr>
                  <w:r>
                    <w:rPr>
                      <w:szCs w:val="21"/>
                      <w:lang w:val="zh-CN"/>
                    </w:rPr>
                    <w:t>浮球液位计</w:t>
                  </w:r>
                </w:p>
              </w:tc>
              <w:tc>
                <w:tcPr>
                  <w:tcW w:w="590" w:type="dxa"/>
                  <w:noWrap w:val="0"/>
                  <w:vAlign w:val="center"/>
                </w:tcPr>
                <w:p>
                  <w:pPr>
                    <w:jc w:val="center"/>
                    <w:rPr>
                      <w:szCs w:val="21"/>
                    </w:rPr>
                  </w:pPr>
                  <w:r>
                    <w:rPr>
                      <w:szCs w:val="21"/>
                    </w:rPr>
                    <w:t>套</w:t>
                  </w:r>
                </w:p>
              </w:tc>
              <w:tc>
                <w:tcPr>
                  <w:tcW w:w="386" w:type="dxa"/>
                  <w:noWrap w:val="0"/>
                  <w:vAlign w:val="center"/>
                </w:tcPr>
                <w:p>
                  <w:pPr>
                    <w:jc w:val="center"/>
                    <w:rPr>
                      <w:szCs w:val="21"/>
                    </w:rPr>
                  </w:pPr>
                  <w:r>
                    <w:rPr>
                      <w:szCs w:val="21"/>
                    </w:rPr>
                    <w:t>1</w:t>
                  </w:r>
                </w:p>
              </w:tc>
              <w:tc>
                <w:tcPr>
                  <w:tcW w:w="1606" w:type="dxa"/>
                  <w:noWrap w:val="0"/>
                  <w:vAlign w:val="center"/>
                </w:tcPr>
                <w:p>
                  <w:pPr>
                    <w:jc w:val="center"/>
                    <w:rPr>
                      <w:szCs w:val="21"/>
                    </w:rPr>
                  </w:pPr>
                  <w:r>
                    <w:rPr>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2" w:type="dxa"/>
                  <w:noWrap w:val="0"/>
                  <w:vAlign w:val="center"/>
                </w:tcPr>
                <w:p>
                  <w:pPr>
                    <w:jc w:val="center"/>
                    <w:rPr>
                      <w:szCs w:val="21"/>
                    </w:rPr>
                  </w:pPr>
                  <w:r>
                    <w:rPr>
                      <w:szCs w:val="21"/>
                    </w:rPr>
                    <w:t>7</w:t>
                  </w:r>
                </w:p>
              </w:tc>
              <w:tc>
                <w:tcPr>
                  <w:tcW w:w="1994" w:type="dxa"/>
                  <w:noWrap w:val="0"/>
                  <w:vAlign w:val="center"/>
                </w:tcPr>
                <w:p>
                  <w:pPr>
                    <w:jc w:val="center"/>
                    <w:rPr>
                      <w:szCs w:val="21"/>
                      <w:lang w:val="zh-CN"/>
                    </w:rPr>
                  </w:pPr>
                  <w:r>
                    <w:rPr>
                      <w:szCs w:val="21"/>
                      <w:lang w:val="zh-CN"/>
                    </w:rPr>
                    <w:t>链条</w:t>
                  </w:r>
                </w:p>
              </w:tc>
              <w:tc>
                <w:tcPr>
                  <w:tcW w:w="3438" w:type="dxa"/>
                  <w:noWrap w:val="0"/>
                  <w:vAlign w:val="center"/>
                </w:tcPr>
                <w:p>
                  <w:pPr>
                    <w:jc w:val="center"/>
                    <w:rPr>
                      <w:szCs w:val="21"/>
                    </w:rPr>
                  </w:pPr>
                  <w:r>
                    <w:rPr>
                      <w:szCs w:val="21"/>
                    </w:rPr>
                    <w:t>6m,SUS304，</w:t>
                  </w:r>
                  <w:r>
                    <w:rPr>
                      <w:szCs w:val="21"/>
                      <w:lang w:val="zh-CN"/>
                    </w:rPr>
                    <w:t>承重不低于</w:t>
                  </w:r>
                  <w:r>
                    <w:rPr>
                      <w:szCs w:val="21"/>
                    </w:rPr>
                    <w:t>1T</w:t>
                  </w:r>
                </w:p>
              </w:tc>
              <w:tc>
                <w:tcPr>
                  <w:tcW w:w="590" w:type="dxa"/>
                  <w:noWrap w:val="0"/>
                  <w:vAlign w:val="center"/>
                </w:tcPr>
                <w:p>
                  <w:pPr>
                    <w:jc w:val="center"/>
                    <w:rPr>
                      <w:szCs w:val="21"/>
                    </w:rPr>
                  </w:pPr>
                  <w:r>
                    <w:rPr>
                      <w:szCs w:val="21"/>
                    </w:rPr>
                    <w:t>套</w:t>
                  </w:r>
                </w:p>
              </w:tc>
              <w:tc>
                <w:tcPr>
                  <w:tcW w:w="386" w:type="dxa"/>
                  <w:noWrap w:val="0"/>
                  <w:vAlign w:val="center"/>
                </w:tcPr>
                <w:p>
                  <w:pPr>
                    <w:jc w:val="center"/>
                    <w:rPr>
                      <w:szCs w:val="21"/>
                    </w:rPr>
                  </w:pPr>
                  <w:r>
                    <w:rPr>
                      <w:szCs w:val="21"/>
                    </w:rPr>
                    <w:t>1</w:t>
                  </w:r>
                </w:p>
              </w:tc>
              <w:tc>
                <w:tcPr>
                  <w:tcW w:w="1606" w:type="dxa"/>
                  <w:noWrap w:val="0"/>
                  <w:vAlign w:val="center"/>
                </w:tcPr>
                <w:p>
                  <w:pPr>
                    <w:jc w:val="center"/>
                    <w:rPr>
                      <w:szCs w:val="21"/>
                    </w:rPr>
                  </w:pPr>
                  <w:r>
                    <w:rPr>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2" w:type="dxa"/>
                  <w:noWrap w:val="0"/>
                  <w:vAlign w:val="center"/>
                </w:tcPr>
                <w:p>
                  <w:pPr>
                    <w:jc w:val="center"/>
                    <w:rPr>
                      <w:szCs w:val="21"/>
                    </w:rPr>
                  </w:pPr>
                  <w:r>
                    <w:rPr>
                      <w:szCs w:val="21"/>
                    </w:rPr>
                    <w:t>8</w:t>
                  </w:r>
                </w:p>
              </w:tc>
              <w:tc>
                <w:tcPr>
                  <w:tcW w:w="1994" w:type="dxa"/>
                  <w:noWrap w:val="0"/>
                  <w:vAlign w:val="center"/>
                </w:tcPr>
                <w:p>
                  <w:pPr>
                    <w:jc w:val="center"/>
                    <w:rPr>
                      <w:szCs w:val="21"/>
                    </w:rPr>
                  </w:pPr>
                  <w:r>
                    <w:rPr>
                      <w:szCs w:val="21"/>
                      <w:lang w:val="zh-CN"/>
                    </w:rPr>
                    <w:t>电磁流量计</w:t>
                  </w:r>
                </w:p>
              </w:tc>
              <w:tc>
                <w:tcPr>
                  <w:tcW w:w="3438" w:type="dxa"/>
                  <w:noWrap w:val="0"/>
                  <w:vAlign w:val="center"/>
                </w:tcPr>
                <w:p>
                  <w:pPr>
                    <w:jc w:val="center"/>
                    <w:rPr>
                      <w:szCs w:val="21"/>
                    </w:rPr>
                  </w:pPr>
                  <w:r>
                    <w:rPr>
                      <w:szCs w:val="21"/>
                      <w:lang w:val="zh-CN"/>
                    </w:rPr>
                    <w:t>DN100</w:t>
                  </w:r>
                </w:p>
              </w:tc>
              <w:tc>
                <w:tcPr>
                  <w:tcW w:w="590" w:type="dxa"/>
                  <w:noWrap w:val="0"/>
                  <w:vAlign w:val="center"/>
                </w:tcPr>
                <w:p>
                  <w:pPr>
                    <w:jc w:val="center"/>
                    <w:rPr>
                      <w:szCs w:val="21"/>
                    </w:rPr>
                  </w:pPr>
                  <w:r>
                    <w:rPr>
                      <w:szCs w:val="21"/>
                    </w:rPr>
                    <w:t>台</w:t>
                  </w:r>
                </w:p>
              </w:tc>
              <w:tc>
                <w:tcPr>
                  <w:tcW w:w="386" w:type="dxa"/>
                  <w:noWrap w:val="0"/>
                  <w:vAlign w:val="center"/>
                </w:tcPr>
                <w:p>
                  <w:pPr>
                    <w:jc w:val="center"/>
                    <w:rPr>
                      <w:szCs w:val="21"/>
                    </w:rPr>
                  </w:pPr>
                  <w:r>
                    <w:rPr>
                      <w:szCs w:val="21"/>
                    </w:rPr>
                    <w:t>1</w:t>
                  </w:r>
                </w:p>
              </w:tc>
              <w:tc>
                <w:tcPr>
                  <w:tcW w:w="1606" w:type="dxa"/>
                  <w:noWrap w:val="0"/>
                  <w:vAlign w:val="center"/>
                </w:tcPr>
                <w:p>
                  <w:pPr>
                    <w:jc w:val="center"/>
                    <w:rPr>
                      <w:szCs w:val="21"/>
                    </w:rPr>
                  </w:pPr>
                  <w:r>
                    <w:rPr>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2" w:type="dxa"/>
                  <w:noWrap w:val="0"/>
                  <w:vAlign w:val="center"/>
                </w:tcPr>
                <w:p>
                  <w:pPr>
                    <w:jc w:val="center"/>
                    <w:rPr>
                      <w:szCs w:val="21"/>
                    </w:rPr>
                  </w:pPr>
                  <w:r>
                    <w:rPr>
                      <w:szCs w:val="21"/>
                    </w:rPr>
                    <w:t>9</w:t>
                  </w:r>
                </w:p>
              </w:tc>
              <w:tc>
                <w:tcPr>
                  <w:tcW w:w="1994" w:type="dxa"/>
                  <w:noWrap w:val="0"/>
                  <w:vAlign w:val="center"/>
                </w:tcPr>
                <w:p>
                  <w:pPr>
                    <w:jc w:val="center"/>
                    <w:rPr>
                      <w:szCs w:val="21"/>
                      <w:lang w:val="zh-CN"/>
                    </w:rPr>
                  </w:pPr>
                  <w:r>
                    <w:rPr>
                      <w:szCs w:val="21"/>
                      <w:lang w:val="zh-CN"/>
                    </w:rPr>
                    <w:t>潜水搅拌机</w:t>
                  </w:r>
                </w:p>
              </w:tc>
              <w:tc>
                <w:tcPr>
                  <w:tcW w:w="3438" w:type="dxa"/>
                  <w:noWrap w:val="0"/>
                  <w:vAlign w:val="center"/>
                </w:tcPr>
                <w:p>
                  <w:pPr>
                    <w:jc w:val="center"/>
                    <w:rPr>
                      <w:szCs w:val="21"/>
                      <w:lang w:val="zh-CN"/>
                    </w:rPr>
                  </w:pPr>
                  <w:r>
                    <w:rPr>
                      <w:szCs w:val="21"/>
                      <w:lang w:val="zh-CN"/>
                    </w:rPr>
                    <w:t>2.5kw</w:t>
                  </w:r>
                </w:p>
              </w:tc>
              <w:tc>
                <w:tcPr>
                  <w:tcW w:w="590" w:type="dxa"/>
                  <w:noWrap w:val="0"/>
                  <w:vAlign w:val="center"/>
                </w:tcPr>
                <w:p>
                  <w:pPr>
                    <w:jc w:val="center"/>
                    <w:rPr>
                      <w:szCs w:val="21"/>
                    </w:rPr>
                  </w:pPr>
                  <w:r>
                    <w:rPr>
                      <w:szCs w:val="21"/>
                    </w:rPr>
                    <w:t>台</w:t>
                  </w:r>
                </w:p>
              </w:tc>
              <w:tc>
                <w:tcPr>
                  <w:tcW w:w="386" w:type="dxa"/>
                  <w:noWrap w:val="0"/>
                  <w:vAlign w:val="center"/>
                </w:tcPr>
                <w:p>
                  <w:pPr>
                    <w:jc w:val="center"/>
                    <w:rPr>
                      <w:szCs w:val="21"/>
                    </w:rPr>
                  </w:pPr>
                  <w:r>
                    <w:rPr>
                      <w:szCs w:val="21"/>
                    </w:rPr>
                    <w:t>1</w:t>
                  </w:r>
                </w:p>
              </w:tc>
              <w:tc>
                <w:tcPr>
                  <w:tcW w:w="1606" w:type="dxa"/>
                  <w:noWrap w:val="0"/>
                  <w:vAlign w:val="center"/>
                </w:tcPr>
                <w:p>
                  <w:pPr>
                    <w:jc w:val="center"/>
                    <w:rPr>
                      <w:szCs w:val="21"/>
                    </w:rPr>
                  </w:pPr>
                  <w:r>
                    <w:rPr>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2" w:type="dxa"/>
                  <w:noWrap w:val="0"/>
                  <w:vAlign w:val="center"/>
                </w:tcPr>
                <w:p>
                  <w:pPr>
                    <w:jc w:val="center"/>
                    <w:rPr>
                      <w:szCs w:val="21"/>
                    </w:rPr>
                  </w:pPr>
                  <w:r>
                    <w:rPr>
                      <w:szCs w:val="21"/>
                    </w:rPr>
                    <w:t>10</w:t>
                  </w:r>
                </w:p>
              </w:tc>
              <w:tc>
                <w:tcPr>
                  <w:tcW w:w="1994" w:type="dxa"/>
                  <w:noWrap w:val="0"/>
                  <w:vAlign w:val="center"/>
                </w:tcPr>
                <w:p>
                  <w:pPr>
                    <w:jc w:val="center"/>
                    <w:rPr>
                      <w:szCs w:val="21"/>
                      <w:lang w:val="zh-CN"/>
                    </w:rPr>
                  </w:pPr>
                  <w:r>
                    <w:rPr>
                      <w:szCs w:val="21"/>
                      <w:lang w:val="zh-CN"/>
                    </w:rPr>
                    <w:t>框式搅拌机</w:t>
                  </w:r>
                </w:p>
              </w:tc>
              <w:tc>
                <w:tcPr>
                  <w:tcW w:w="3438" w:type="dxa"/>
                  <w:noWrap w:val="0"/>
                  <w:vAlign w:val="center"/>
                </w:tcPr>
                <w:p>
                  <w:pPr>
                    <w:jc w:val="center"/>
                    <w:rPr>
                      <w:szCs w:val="21"/>
                      <w:lang w:val="zh-CN"/>
                    </w:rPr>
                  </w:pPr>
                  <w:r>
                    <w:rPr>
                      <w:szCs w:val="21"/>
                      <w:lang w:val="zh-CN"/>
                    </w:rPr>
                    <w:t>4kw,转速8-10r/min</w:t>
                  </w:r>
                </w:p>
              </w:tc>
              <w:tc>
                <w:tcPr>
                  <w:tcW w:w="590" w:type="dxa"/>
                  <w:noWrap w:val="0"/>
                  <w:vAlign w:val="center"/>
                </w:tcPr>
                <w:p>
                  <w:pPr>
                    <w:jc w:val="center"/>
                    <w:rPr>
                      <w:szCs w:val="21"/>
                    </w:rPr>
                  </w:pPr>
                  <w:r>
                    <w:rPr>
                      <w:szCs w:val="21"/>
                    </w:rPr>
                    <w:t>台</w:t>
                  </w:r>
                </w:p>
              </w:tc>
              <w:tc>
                <w:tcPr>
                  <w:tcW w:w="386" w:type="dxa"/>
                  <w:noWrap w:val="0"/>
                  <w:vAlign w:val="center"/>
                </w:tcPr>
                <w:p>
                  <w:pPr>
                    <w:jc w:val="center"/>
                    <w:rPr>
                      <w:szCs w:val="21"/>
                    </w:rPr>
                  </w:pPr>
                  <w:r>
                    <w:rPr>
                      <w:szCs w:val="21"/>
                    </w:rPr>
                    <w:t>1</w:t>
                  </w:r>
                </w:p>
              </w:tc>
              <w:tc>
                <w:tcPr>
                  <w:tcW w:w="1606" w:type="dxa"/>
                  <w:noWrap w:val="0"/>
                  <w:vAlign w:val="center"/>
                </w:tcPr>
                <w:p>
                  <w:pPr>
                    <w:jc w:val="center"/>
                    <w:rPr>
                      <w:szCs w:val="21"/>
                    </w:rPr>
                  </w:pPr>
                  <w:r>
                    <w:rPr>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2" w:type="dxa"/>
                  <w:noWrap w:val="0"/>
                  <w:vAlign w:val="center"/>
                </w:tcPr>
                <w:p>
                  <w:pPr>
                    <w:jc w:val="center"/>
                    <w:rPr>
                      <w:szCs w:val="21"/>
                    </w:rPr>
                  </w:pPr>
                  <w:r>
                    <w:rPr>
                      <w:szCs w:val="21"/>
                    </w:rPr>
                    <w:t>11</w:t>
                  </w:r>
                </w:p>
              </w:tc>
              <w:tc>
                <w:tcPr>
                  <w:tcW w:w="1994" w:type="dxa"/>
                  <w:noWrap w:val="0"/>
                  <w:vAlign w:val="center"/>
                </w:tcPr>
                <w:p>
                  <w:pPr>
                    <w:jc w:val="center"/>
                    <w:rPr>
                      <w:szCs w:val="21"/>
                      <w:lang w:val="zh-CN"/>
                    </w:rPr>
                  </w:pPr>
                  <w:r>
                    <w:rPr>
                      <w:szCs w:val="21"/>
                      <w:lang w:val="zh-CN"/>
                    </w:rPr>
                    <w:t>一体化处理设备</w:t>
                  </w:r>
                </w:p>
              </w:tc>
              <w:tc>
                <w:tcPr>
                  <w:tcW w:w="3438" w:type="dxa"/>
                  <w:noWrap w:val="0"/>
                  <w:vAlign w:val="center"/>
                </w:tcPr>
                <w:p>
                  <w:pPr>
                    <w:jc w:val="center"/>
                    <w:rPr>
                      <w:szCs w:val="21"/>
                      <w:lang w:val="zh-CN"/>
                    </w:rPr>
                  </w:pPr>
                  <w:r>
                    <w:rPr>
                      <w:szCs w:val="21"/>
                      <w:lang w:val="zh-CN"/>
                    </w:rPr>
                    <w:t>处理水量：1000m</w:t>
                  </w:r>
                  <w:r>
                    <w:rPr>
                      <w:szCs w:val="21"/>
                      <w:vertAlign w:val="superscript"/>
                      <w:lang w:val="zh-CN"/>
                    </w:rPr>
                    <w:t>3</w:t>
                  </w:r>
                  <w:r>
                    <w:rPr>
                      <w:szCs w:val="21"/>
                      <w:lang w:val="zh-CN"/>
                    </w:rPr>
                    <w:t>/d（2组，每组500m</w:t>
                  </w:r>
                  <w:r>
                    <w:rPr>
                      <w:szCs w:val="21"/>
                      <w:vertAlign w:val="superscript"/>
                      <w:lang w:val="zh-CN"/>
                    </w:rPr>
                    <w:t>3</w:t>
                  </w:r>
                  <w:r>
                    <w:rPr>
                      <w:szCs w:val="21"/>
                      <w:lang w:val="zh-CN"/>
                    </w:rPr>
                    <w:t>/d），设备工艺为AAO(MBBR)+沉淀池、成套设备包括风机、设备房、控制系统、MBBR填料、消毒系统等</w:t>
                  </w:r>
                </w:p>
              </w:tc>
              <w:tc>
                <w:tcPr>
                  <w:tcW w:w="590" w:type="dxa"/>
                  <w:noWrap w:val="0"/>
                  <w:vAlign w:val="center"/>
                </w:tcPr>
                <w:p>
                  <w:pPr>
                    <w:jc w:val="center"/>
                    <w:rPr>
                      <w:szCs w:val="21"/>
                    </w:rPr>
                  </w:pPr>
                  <w:r>
                    <w:rPr>
                      <w:szCs w:val="21"/>
                    </w:rPr>
                    <w:t>套</w:t>
                  </w:r>
                </w:p>
              </w:tc>
              <w:tc>
                <w:tcPr>
                  <w:tcW w:w="386" w:type="dxa"/>
                  <w:noWrap w:val="0"/>
                  <w:vAlign w:val="center"/>
                </w:tcPr>
                <w:p>
                  <w:pPr>
                    <w:jc w:val="center"/>
                    <w:rPr>
                      <w:szCs w:val="21"/>
                    </w:rPr>
                  </w:pPr>
                  <w:r>
                    <w:rPr>
                      <w:szCs w:val="21"/>
                    </w:rPr>
                    <w:t>1</w:t>
                  </w:r>
                </w:p>
              </w:tc>
              <w:tc>
                <w:tcPr>
                  <w:tcW w:w="1606" w:type="dxa"/>
                  <w:noWrap w:val="0"/>
                  <w:vAlign w:val="center"/>
                </w:tcPr>
                <w:p>
                  <w:pPr>
                    <w:jc w:val="center"/>
                    <w:rPr>
                      <w:szCs w:val="21"/>
                    </w:rPr>
                  </w:pPr>
                  <w:r>
                    <w:rPr>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2" w:type="dxa"/>
                  <w:noWrap w:val="0"/>
                  <w:vAlign w:val="center"/>
                </w:tcPr>
                <w:p>
                  <w:pPr>
                    <w:jc w:val="center"/>
                    <w:rPr>
                      <w:szCs w:val="21"/>
                    </w:rPr>
                  </w:pPr>
                  <w:r>
                    <w:rPr>
                      <w:szCs w:val="21"/>
                    </w:rPr>
                    <w:t>12</w:t>
                  </w:r>
                </w:p>
              </w:tc>
              <w:tc>
                <w:tcPr>
                  <w:tcW w:w="1994" w:type="dxa"/>
                  <w:noWrap w:val="0"/>
                  <w:vAlign w:val="center"/>
                </w:tcPr>
                <w:p>
                  <w:pPr>
                    <w:jc w:val="center"/>
                    <w:rPr>
                      <w:szCs w:val="21"/>
                      <w:lang w:val="zh-CN"/>
                    </w:rPr>
                  </w:pPr>
                  <w:r>
                    <w:rPr>
                      <w:szCs w:val="21"/>
                      <w:lang w:val="zh-CN"/>
                    </w:rPr>
                    <w:t>电磁流量计</w:t>
                  </w:r>
                </w:p>
              </w:tc>
              <w:tc>
                <w:tcPr>
                  <w:tcW w:w="3438" w:type="dxa"/>
                  <w:noWrap w:val="0"/>
                  <w:vAlign w:val="center"/>
                </w:tcPr>
                <w:p>
                  <w:pPr>
                    <w:jc w:val="center"/>
                    <w:rPr>
                      <w:szCs w:val="21"/>
                      <w:lang w:val="zh-CN"/>
                    </w:rPr>
                  </w:pPr>
                  <w:r>
                    <w:rPr>
                      <w:szCs w:val="21"/>
                      <w:lang w:val="zh-CN"/>
                    </w:rPr>
                    <w:t>DN80,安装在每组一体化设备进水口</w:t>
                  </w:r>
                </w:p>
              </w:tc>
              <w:tc>
                <w:tcPr>
                  <w:tcW w:w="590" w:type="dxa"/>
                  <w:noWrap w:val="0"/>
                  <w:vAlign w:val="center"/>
                </w:tcPr>
                <w:p>
                  <w:pPr>
                    <w:jc w:val="center"/>
                    <w:rPr>
                      <w:szCs w:val="21"/>
                    </w:rPr>
                  </w:pPr>
                  <w:r>
                    <w:rPr>
                      <w:szCs w:val="21"/>
                    </w:rPr>
                    <w:t>套</w:t>
                  </w:r>
                </w:p>
              </w:tc>
              <w:tc>
                <w:tcPr>
                  <w:tcW w:w="386" w:type="dxa"/>
                  <w:noWrap w:val="0"/>
                  <w:vAlign w:val="center"/>
                </w:tcPr>
                <w:p>
                  <w:pPr>
                    <w:jc w:val="center"/>
                    <w:rPr>
                      <w:szCs w:val="21"/>
                    </w:rPr>
                  </w:pPr>
                  <w:r>
                    <w:rPr>
                      <w:szCs w:val="21"/>
                    </w:rPr>
                    <w:t>2</w:t>
                  </w:r>
                </w:p>
              </w:tc>
              <w:tc>
                <w:tcPr>
                  <w:tcW w:w="1606" w:type="dxa"/>
                  <w:noWrap w:val="0"/>
                  <w:vAlign w:val="center"/>
                </w:tcPr>
                <w:p>
                  <w:pPr>
                    <w:jc w:val="center"/>
                    <w:rPr>
                      <w:szCs w:val="21"/>
                    </w:rPr>
                  </w:pPr>
                  <w:r>
                    <w:rPr>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2" w:type="dxa"/>
                  <w:noWrap w:val="0"/>
                  <w:vAlign w:val="center"/>
                </w:tcPr>
                <w:p>
                  <w:pPr>
                    <w:jc w:val="center"/>
                    <w:rPr>
                      <w:szCs w:val="21"/>
                    </w:rPr>
                  </w:pPr>
                  <w:r>
                    <w:rPr>
                      <w:szCs w:val="21"/>
                    </w:rPr>
                    <w:t>13</w:t>
                  </w:r>
                </w:p>
              </w:tc>
              <w:tc>
                <w:tcPr>
                  <w:tcW w:w="1994" w:type="dxa"/>
                  <w:noWrap w:val="0"/>
                  <w:vAlign w:val="center"/>
                </w:tcPr>
                <w:p>
                  <w:pPr>
                    <w:jc w:val="center"/>
                    <w:rPr>
                      <w:szCs w:val="21"/>
                      <w:lang w:val="zh-CN"/>
                    </w:rPr>
                  </w:pPr>
                  <w:r>
                    <w:rPr>
                      <w:szCs w:val="21"/>
                      <w:lang w:val="zh-CN"/>
                    </w:rPr>
                    <w:t>叠螺压滤机</w:t>
                  </w:r>
                </w:p>
              </w:tc>
              <w:tc>
                <w:tcPr>
                  <w:tcW w:w="3438" w:type="dxa"/>
                  <w:noWrap w:val="0"/>
                  <w:vAlign w:val="center"/>
                </w:tcPr>
                <w:p>
                  <w:pPr>
                    <w:jc w:val="center"/>
                    <w:rPr>
                      <w:szCs w:val="21"/>
                      <w:lang w:val="zh-CN"/>
                    </w:rPr>
                  </w:pPr>
                  <w:r>
                    <w:rPr>
                      <w:szCs w:val="21"/>
                      <w:lang w:val="zh-CN"/>
                    </w:rPr>
                    <w:t>型号：301，材质：SUS304</w:t>
                  </w:r>
                </w:p>
              </w:tc>
              <w:tc>
                <w:tcPr>
                  <w:tcW w:w="590" w:type="dxa"/>
                  <w:noWrap w:val="0"/>
                  <w:vAlign w:val="center"/>
                </w:tcPr>
                <w:p>
                  <w:pPr>
                    <w:jc w:val="center"/>
                    <w:rPr>
                      <w:szCs w:val="21"/>
                    </w:rPr>
                  </w:pPr>
                  <w:r>
                    <w:rPr>
                      <w:szCs w:val="21"/>
                    </w:rPr>
                    <w:t>台</w:t>
                  </w:r>
                </w:p>
              </w:tc>
              <w:tc>
                <w:tcPr>
                  <w:tcW w:w="386" w:type="dxa"/>
                  <w:noWrap w:val="0"/>
                  <w:vAlign w:val="center"/>
                </w:tcPr>
                <w:p>
                  <w:pPr>
                    <w:jc w:val="center"/>
                    <w:rPr>
                      <w:szCs w:val="21"/>
                    </w:rPr>
                  </w:pPr>
                  <w:r>
                    <w:rPr>
                      <w:szCs w:val="21"/>
                    </w:rPr>
                    <w:t>1</w:t>
                  </w:r>
                </w:p>
              </w:tc>
              <w:tc>
                <w:tcPr>
                  <w:tcW w:w="1606" w:type="dxa"/>
                  <w:noWrap w:val="0"/>
                  <w:vAlign w:val="center"/>
                </w:tcPr>
                <w:p>
                  <w:pPr>
                    <w:jc w:val="center"/>
                    <w:rPr>
                      <w:szCs w:val="21"/>
                    </w:rPr>
                  </w:pPr>
                  <w:r>
                    <w:rPr>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2" w:type="dxa"/>
                  <w:noWrap w:val="0"/>
                  <w:vAlign w:val="center"/>
                </w:tcPr>
                <w:p>
                  <w:pPr>
                    <w:jc w:val="center"/>
                    <w:rPr>
                      <w:szCs w:val="21"/>
                    </w:rPr>
                  </w:pPr>
                  <w:r>
                    <w:rPr>
                      <w:szCs w:val="21"/>
                    </w:rPr>
                    <w:t>14</w:t>
                  </w:r>
                </w:p>
              </w:tc>
              <w:tc>
                <w:tcPr>
                  <w:tcW w:w="1994" w:type="dxa"/>
                  <w:noWrap w:val="0"/>
                  <w:vAlign w:val="center"/>
                </w:tcPr>
                <w:p>
                  <w:pPr>
                    <w:jc w:val="center"/>
                    <w:rPr>
                      <w:szCs w:val="21"/>
                      <w:lang w:val="zh-CN"/>
                    </w:rPr>
                  </w:pPr>
                  <w:r>
                    <w:rPr>
                      <w:szCs w:val="21"/>
                      <w:lang w:val="zh-CN"/>
                    </w:rPr>
                    <w:t>污泥泵</w:t>
                  </w:r>
                </w:p>
              </w:tc>
              <w:tc>
                <w:tcPr>
                  <w:tcW w:w="3438" w:type="dxa"/>
                  <w:noWrap w:val="0"/>
                  <w:vAlign w:val="center"/>
                </w:tcPr>
                <w:p>
                  <w:pPr>
                    <w:jc w:val="center"/>
                    <w:rPr>
                      <w:szCs w:val="21"/>
                      <w:lang w:val="zh-CN"/>
                    </w:rPr>
                  </w:pPr>
                  <w:r>
                    <w:rPr>
                      <w:szCs w:val="21"/>
                      <w:lang w:val="zh-CN"/>
                    </w:rPr>
                    <w:t>型号G30-1，功率2.2kw，额定流量5m</w:t>
                  </w:r>
                  <w:r>
                    <w:rPr>
                      <w:szCs w:val="21"/>
                      <w:vertAlign w:val="superscript"/>
                      <w:lang w:val="zh-CN"/>
                    </w:rPr>
                    <w:t>3</w:t>
                  </w:r>
                  <w:r>
                    <w:rPr>
                      <w:szCs w:val="21"/>
                      <w:lang w:val="zh-CN"/>
                    </w:rPr>
                    <w:t>/h，压力60m，变频电机</w:t>
                  </w:r>
                </w:p>
              </w:tc>
              <w:tc>
                <w:tcPr>
                  <w:tcW w:w="590" w:type="dxa"/>
                  <w:noWrap w:val="0"/>
                  <w:vAlign w:val="center"/>
                </w:tcPr>
                <w:p>
                  <w:pPr>
                    <w:jc w:val="center"/>
                    <w:rPr>
                      <w:szCs w:val="21"/>
                    </w:rPr>
                  </w:pPr>
                  <w:r>
                    <w:rPr>
                      <w:szCs w:val="21"/>
                    </w:rPr>
                    <w:t>台</w:t>
                  </w:r>
                </w:p>
              </w:tc>
              <w:tc>
                <w:tcPr>
                  <w:tcW w:w="386" w:type="dxa"/>
                  <w:noWrap w:val="0"/>
                  <w:vAlign w:val="center"/>
                </w:tcPr>
                <w:p>
                  <w:pPr>
                    <w:jc w:val="center"/>
                    <w:rPr>
                      <w:szCs w:val="21"/>
                    </w:rPr>
                  </w:pPr>
                  <w:r>
                    <w:rPr>
                      <w:szCs w:val="21"/>
                    </w:rPr>
                    <w:t>1</w:t>
                  </w:r>
                </w:p>
              </w:tc>
              <w:tc>
                <w:tcPr>
                  <w:tcW w:w="1606" w:type="dxa"/>
                  <w:noWrap w:val="0"/>
                  <w:vAlign w:val="center"/>
                </w:tcPr>
                <w:p>
                  <w:pPr>
                    <w:jc w:val="center"/>
                    <w:rPr>
                      <w:szCs w:val="21"/>
                    </w:rPr>
                  </w:pPr>
                  <w:r>
                    <w:rPr>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2" w:type="dxa"/>
                  <w:noWrap w:val="0"/>
                  <w:vAlign w:val="center"/>
                </w:tcPr>
                <w:p>
                  <w:pPr>
                    <w:jc w:val="center"/>
                    <w:rPr>
                      <w:szCs w:val="21"/>
                    </w:rPr>
                  </w:pPr>
                  <w:r>
                    <w:rPr>
                      <w:szCs w:val="21"/>
                    </w:rPr>
                    <w:t>15</w:t>
                  </w:r>
                </w:p>
              </w:tc>
              <w:tc>
                <w:tcPr>
                  <w:tcW w:w="1994" w:type="dxa"/>
                  <w:noWrap w:val="0"/>
                  <w:vAlign w:val="center"/>
                </w:tcPr>
                <w:p>
                  <w:pPr>
                    <w:jc w:val="center"/>
                    <w:rPr>
                      <w:szCs w:val="21"/>
                      <w:lang w:val="zh-CN"/>
                    </w:rPr>
                  </w:pPr>
                  <w:r>
                    <w:rPr>
                      <w:szCs w:val="21"/>
                      <w:lang w:val="zh-CN"/>
                    </w:rPr>
                    <w:t>加药泵</w:t>
                  </w:r>
                </w:p>
              </w:tc>
              <w:tc>
                <w:tcPr>
                  <w:tcW w:w="3438" w:type="dxa"/>
                  <w:noWrap w:val="0"/>
                  <w:vAlign w:val="center"/>
                </w:tcPr>
                <w:p>
                  <w:pPr>
                    <w:jc w:val="center"/>
                    <w:rPr>
                      <w:szCs w:val="21"/>
                      <w:lang w:val="zh-CN"/>
                    </w:rPr>
                  </w:pPr>
                  <w:r>
                    <w:rPr>
                      <w:szCs w:val="21"/>
                      <w:lang w:val="zh-CN"/>
                    </w:rPr>
                    <w:t>G20-1，功率0.75kw，额定流量0.8m</w:t>
                  </w:r>
                  <w:r>
                    <w:rPr>
                      <w:szCs w:val="21"/>
                      <w:vertAlign w:val="superscript"/>
                      <w:lang w:val="zh-CN"/>
                    </w:rPr>
                    <w:t>3</w:t>
                  </w:r>
                  <w:r>
                    <w:rPr>
                      <w:szCs w:val="21"/>
                      <w:lang w:val="zh-CN"/>
                    </w:rPr>
                    <w:t>/h，压力60m，变频电机</w:t>
                  </w:r>
                </w:p>
              </w:tc>
              <w:tc>
                <w:tcPr>
                  <w:tcW w:w="590" w:type="dxa"/>
                  <w:noWrap w:val="0"/>
                  <w:vAlign w:val="center"/>
                </w:tcPr>
                <w:p>
                  <w:pPr>
                    <w:jc w:val="center"/>
                    <w:rPr>
                      <w:szCs w:val="21"/>
                    </w:rPr>
                  </w:pPr>
                  <w:r>
                    <w:rPr>
                      <w:szCs w:val="21"/>
                    </w:rPr>
                    <w:t>台</w:t>
                  </w:r>
                </w:p>
              </w:tc>
              <w:tc>
                <w:tcPr>
                  <w:tcW w:w="386" w:type="dxa"/>
                  <w:noWrap w:val="0"/>
                  <w:vAlign w:val="center"/>
                </w:tcPr>
                <w:p>
                  <w:pPr>
                    <w:jc w:val="center"/>
                    <w:rPr>
                      <w:szCs w:val="21"/>
                    </w:rPr>
                  </w:pPr>
                  <w:r>
                    <w:rPr>
                      <w:szCs w:val="21"/>
                    </w:rPr>
                    <w:t>1</w:t>
                  </w:r>
                </w:p>
              </w:tc>
              <w:tc>
                <w:tcPr>
                  <w:tcW w:w="1606" w:type="dxa"/>
                  <w:noWrap w:val="0"/>
                  <w:vAlign w:val="center"/>
                </w:tcPr>
                <w:p>
                  <w:pPr>
                    <w:jc w:val="center"/>
                    <w:rPr>
                      <w:szCs w:val="21"/>
                    </w:rPr>
                  </w:pPr>
                  <w:r>
                    <w:rPr>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2" w:type="dxa"/>
                  <w:noWrap w:val="0"/>
                  <w:vAlign w:val="center"/>
                </w:tcPr>
                <w:p>
                  <w:pPr>
                    <w:jc w:val="center"/>
                    <w:rPr>
                      <w:szCs w:val="21"/>
                    </w:rPr>
                  </w:pPr>
                  <w:r>
                    <w:rPr>
                      <w:szCs w:val="21"/>
                    </w:rPr>
                    <w:t>16</w:t>
                  </w:r>
                </w:p>
              </w:tc>
              <w:tc>
                <w:tcPr>
                  <w:tcW w:w="1994" w:type="dxa"/>
                  <w:noWrap w:val="0"/>
                  <w:vAlign w:val="center"/>
                </w:tcPr>
                <w:p>
                  <w:pPr>
                    <w:jc w:val="center"/>
                    <w:rPr>
                      <w:szCs w:val="21"/>
                      <w:lang w:val="zh-CN"/>
                    </w:rPr>
                  </w:pPr>
                  <w:r>
                    <w:rPr>
                      <w:szCs w:val="21"/>
                      <w:lang w:val="zh-CN"/>
                    </w:rPr>
                    <w:t>料仓</w:t>
                  </w:r>
                </w:p>
              </w:tc>
              <w:tc>
                <w:tcPr>
                  <w:tcW w:w="3438" w:type="dxa"/>
                  <w:noWrap w:val="0"/>
                  <w:vAlign w:val="center"/>
                </w:tcPr>
                <w:p>
                  <w:pPr>
                    <w:jc w:val="center"/>
                    <w:rPr>
                      <w:szCs w:val="21"/>
                      <w:lang w:val="zh-CN"/>
                    </w:rPr>
                  </w:pPr>
                  <w:r>
                    <w:rPr>
                      <w:szCs w:val="21"/>
                      <w:lang w:val="zh-CN"/>
                    </w:rPr>
                    <w:t>有效容积10m</w:t>
                  </w:r>
                  <w:r>
                    <w:rPr>
                      <w:szCs w:val="21"/>
                      <w:vertAlign w:val="superscript"/>
                      <w:lang w:val="zh-CN"/>
                    </w:rPr>
                    <w:t>3</w:t>
                  </w:r>
                  <w:r>
                    <w:rPr>
                      <w:szCs w:val="21"/>
                      <w:lang w:val="zh-CN"/>
                    </w:rPr>
                    <w:t>，含输料螺杆泵；雨棚将顶部封闭</w:t>
                  </w:r>
                </w:p>
              </w:tc>
              <w:tc>
                <w:tcPr>
                  <w:tcW w:w="590" w:type="dxa"/>
                  <w:noWrap w:val="0"/>
                  <w:vAlign w:val="center"/>
                </w:tcPr>
                <w:p>
                  <w:pPr>
                    <w:jc w:val="center"/>
                    <w:rPr>
                      <w:szCs w:val="21"/>
                    </w:rPr>
                  </w:pPr>
                </w:p>
              </w:tc>
              <w:tc>
                <w:tcPr>
                  <w:tcW w:w="386" w:type="dxa"/>
                  <w:noWrap w:val="0"/>
                  <w:vAlign w:val="center"/>
                </w:tcPr>
                <w:p>
                  <w:pPr>
                    <w:jc w:val="center"/>
                    <w:rPr>
                      <w:szCs w:val="21"/>
                    </w:rPr>
                  </w:pPr>
                </w:p>
              </w:tc>
              <w:tc>
                <w:tcPr>
                  <w:tcW w:w="1606" w:type="dxa"/>
                  <w:noWrap w:val="0"/>
                  <w:vAlign w:val="center"/>
                </w:tcPr>
                <w:p>
                  <w:pPr>
                    <w:jc w:val="center"/>
                    <w:rPr>
                      <w:szCs w:val="21"/>
                    </w:rPr>
                  </w:pPr>
                  <w:r>
                    <w:rPr>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2" w:type="dxa"/>
                  <w:noWrap w:val="0"/>
                  <w:vAlign w:val="center"/>
                </w:tcPr>
                <w:p>
                  <w:pPr>
                    <w:jc w:val="center"/>
                    <w:rPr>
                      <w:szCs w:val="21"/>
                    </w:rPr>
                  </w:pPr>
                  <w:r>
                    <w:rPr>
                      <w:szCs w:val="21"/>
                    </w:rPr>
                    <w:t>17</w:t>
                  </w:r>
                </w:p>
              </w:tc>
              <w:tc>
                <w:tcPr>
                  <w:tcW w:w="1994" w:type="dxa"/>
                  <w:noWrap w:val="0"/>
                  <w:vAlign w:val="center"/>
                </w:tcPr>
                <w:p>
                  <w:pPr>
                    <w:jc w:val="center"/>
                    <w:rPr>
                      <w:szCs w:val="21"/>
                      <w:lang w:val="zh-CN"/>
                    </w:rPr>
                  </w:pPr>
                  <w:r>
                    <w:rPr>
                      <w:szCs w:val="21"/>
                      <w:lang w:val="zh-CN"/>
                    </w:rPr>
                    <w:t>PAM溶药储药一体</w:t>
                  </w:r>
                </w:p>
              </w:tc>
              <w:tc>
                <w:tcPr>
                  <w:tcW w:w="3438" w:type="dxa"/>
                  <w:noWrap w:val="0"/>
                  <w:vAlign w:val="center"/>
                </w:tcPr>
                <w:p>
                  <w:pPr>
                    <w:jc w:val="center"/>
                    <w:rPr>
                      <w:szCs w:val="21"/>
                      <w:lang w:val="zh-CN"/>
                    </w:rPr>
                  </w:pPr>
                  <w:r>
                    <w:rPr>
                      <w:szCs w:val="21"/>
                      <w:lang w:val="zh-CN"/>
                    </w:rPr>
                    <w:t>尺寸按图,溶药搅拌机1.1kw，转速55-70r/min，储药搅拌机0.75kw，30-40r/min；</w:t>
                  </w:r>
                </w:p>
              </w:tc>
              <w:tc>
                <w:tcPr>
                  <w:tcW w:w="590" w:type="dxa"/>
                  <w:noWrap w:val="0"/>
                  <w:vAlign w:val="center"/>
                </w:tcPr>
                <w:p>
                  <w:pPr>
                    <w:jc w:val="center"/>
                    <w:rPr>
                      <w:szCs w:val="21"/>
                    </w:rPr>
                  </w:pPr>
                  <w:r>
                    <w:rPr>
                      <w:szCs w:val="21"/>
                    </w:rPr>
                    <w:t>1</w:t>
                  </w:r>
                </w:p>
              </w:tc>
              <w:tc>
                <w:tcPr>
                  <w:tcW w:w="386" w:type="dxa"/>
                  <w:noWrap w:val="0"/>
                  <w:vAlign w:val="center"/>
                </w:tcPr>
                <w:p>
                  <w:pPr>
                    <w:jc w:val="center"/>
                    <w:rPr>
                      <w:szCs w:val="21"/>
                    </w:rPr>
                  </w:pPr>
                  <w:r>
                    <w:rPr>
                      <w:szCs w:val="21"/>
                    </w:rPr>
                    <w:t>台</w:t>
                  </w:r>
                </w:p>
              </w:tc>
              <w:tc>
                <w:tcPr>
                  <w:tcW w:w="1606" w:type="dxa"/>
                  <w:noWrap w:val="0"/>
                  <w:vAlign w:val="center"/>
                </w:tcPr>
                <w:p>
                  <w:pPr>
                    <w:jc w:val="center"/>
                    <w:rPr>
                      <w:szCs w:val="21"/>
                    </w:rPr>
                  </w:pPr>
                  <w:r>
                    <w:rPr>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2" w:type="dxa"/>
                  <w:noWrap w:val="0"/>
                  <w:vAlign w:val="center"/>
                </w:tcPr>
                <w:p>
                  <w:pPr>
                    <w:jc w:val="center"/>
                    <w:rPr>
                      <w:szCs w:val="21"/>
                    </w:rPr>
                  </w:pPr>
                  <w:r>
                    <w:rPr>
                      <w:szCs w:val="21"/>
                    </w:rPr>
                    <w:t>18</w:t>
                  </w:r>
                </w:p>
              </w:tc>
              <w:tc>
                <w:tcPr>
                  <w:tcW w:w="1994" w:type="dxa"/>
                  <w:noWrap w:val="0"/>
                  <w:vAlign w:val="center"/>
                </w:tcPr>
                <w:p>
                  <w:pPr>
                    <w:jc w:val="center"/>
                    <w:rPr>
                      <w:szCs w:val="21"/>
                      <w:lang w:val="zh-CN"/>
                    </w:rPr>
                  </w:pPr>
                  <w:r>
                    <w:rPr>
                      <w:szCs w:val="21"/>
                      <w:lang w:val="zh-CN"/>
                    </w:rPr>
                    <w:t>喷淋塔</w:t>
                  </w:r>
                </w:p>
              </w:tc>
              <w:tc>
                <w:tcPr>
                  <w:tcW w:w="3438" w:type="dxa"/>
                  <w:noWrap w:val="0"/>
                  <w:vAlign w:val="center"/>
                </w:tcPr>
                <w:p>
                  <w:pPr>
                    <w:jc w:val="center"/>
                    <w:rPr>
                      <w:szCs w:val="21"/>
                      <w:lang w:val="zh-CN"/>
                    </w:rPr>
                  </w:pPr>
                  <w:r>
                    <w:rPr>
                      <w:rFonts w:eastAsia="MS Gothic"/>
                      <w:szCs w:val="21"/>
                      <w:lang w:val="zh-CN"/>
                    </w:rPr>
                    <w:t>∅</w:t>
                  </w:r>
                  <w:r>
                    <w:rPr>
                      <w:szCs w:val="21"/>
                      <w:lang w:val="zh-CN"/>
                    </w:rPr>
                    <w:t>1000，臭气处理量2000m</w:t>
                  </w:r>
                  <w:r>
                    <w:rPr>
                      <w:szCs w:val="21"/>
                      <w:vertAlign w:val="superscript"/>
                      <w:lang w:val="zh-CN"/>
                    </w:rPr>
                    <w:t>3</w:t>
                  </w:r>
                  <w:r>
                    <w:rPr>
                      <w:szCs w:val="21"/>
                      <w:lang w:val="zh-CN"/>
                    </w:rPr>
                    <w:t>/h，含水箱，循环泵</w:t>
                  </w:r>
                </w:p>
              </w:tc>
              <w:tc>
                <w:tcPr>
                  <w:tcW w:w="590" w:type="dxa"/>
                  <w:noWrap w:val="0"/>
                  <w:vAlign w:val="center"/>
                </w:tcPr>
                <w:p>
                  <w:pPr>
                    <w:jc w:val="center"/>
                    <w:rPr>
                      <w:szCs w:val="21"/>
                    </w:rPr>
                  </w:pPr>
                  <w:r>
                    <w:rPr>
                      <w:szCs w:val="21"/>
                    </w:rPr>
                    <w:t>1</w:t>
                  </w:r>
                </w:p>
              </w:tc>
              <w:tc>
                <w:tcPr>
                  <w:tcW w:w="386" w:type="dxa"/>
                  <w:noWrap w:val="0"/>
                  <w:vAlign w:val="center"/>
                </w:tcPr>
                <w:p>
                  <w:pPr>
                    <w:jc w:val="center"/>
                    <w:rPr>
                      <w:szCs w:val="21"/>
                    </w:rPr>
                  </w:pPr>
                  <w:r>
                    <w:rPr>
                      <w:szCs w:val="21"/>
                    </w:rPr>
                    <w:t>台</w:t>
                  </w:r>
                </w:p>
              </w:tc>
              <w:tc>
                <w:tcPr>
                  <w:tcW w:w="1606" w:type="dxa"/>
                  <w:noWrap w:val="0"/>
                  <w:vAlign w:val="center"/>
                </w:tcPr>
                <w:p>
                  <w:pPr>
                    <w:jc w:val="center"/>
                    <w:rPr>
                      <w:szCs w:val="21"/>
                    </w:rPr>
                  </w:pPr>
                  <w:r>
                    <w:rPr>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2" w:type="dxa"/>
                  <w:noWrap w:val="0"/>
                  <w:vAlign w:val="center"/>
                </w:tcPr>
                <w:p>
                  <w:pPr>
                    <w:jc w:val="center"/>
                    <w:rPr>
                      <w:szCs w:val="21"/>
                    </w:rPr>
                  </w:pPr>
                  <w:r>
                    <w:rPr>
                      <w:szCs w:val="21"/>
                    </w:rPr>
                    <w:t>19</w:t>
                  </w:r>
                </w:p>
              </w:tc>
              <w:tc>
                <w:tcPr>
                  <w:tcW w:w="1994" w:type="dxa"/>
                  <w:noWrap w:val="0"/>
                  <w:vAlign w:val="center"/>
                </w:tcPr>
                <w:p>
                  <w:pPr>
                    <w:jc w:val="center"/>
                    <w:rPr>
                      <w:szCs w:val="21"/>
                      <w:lang w:val="zh-CN"/>
                    </w:rPr>
                  </w:pPr>
                  <w:r>
                    <w:rPr>
                      <w:szCs w:val="21"/>
                      <w:lang w:val="zh-CN"/>
                    </w:rPr>
                    <w:t>除臭风机</w:t>
                  </w:r>
                </w:p>
              </w:tc>
              <w:tc>
                <w:tcPr>
                  <w:tcW w:w="3438" w:type="dxa"/>
                  <w:noWrap w:val="0"/>
                  <w:vAlign w:val="center"/>
                </w:tcPr>
                <w:p>
                  <w:pPr>
                    <w:jc w:val="center"/>
                    <w:rPr>
                      <w:szCs w:val="21"/>
                      <w:lang w:val="zh-CN"/>
                    </w:rPr>
                  </w:pPr>
                  <w:r>
                    <w:rPr>
                      <w:szCs w:val="21"/>
                      <w:lang w:val="zh-CN"/>
                    </w:rPr>
                    <w:t>2.2kw，压力不低于1kpa，风量不低于2000m</w:t>
                  </w:r>
                  <w:r>
                    <w:rPr>
                      <w:szCs w:val="21"/>
                      <w:vertAlign w:val="superscript"/>
                      <w:lang w:val="zh-CN"/>
                    </w:rPr>
                    <w:t>3</w:t>
                  </w:r>
                  <w:r>
                    <w:rPr>
                      <w:szCs w:val="21"/>
                      <w:lang w:val="zh-CN"/>
                    </w:rPr>
                    <w:t>/h，配套隔音罩</w:t>
                  </w:r>
                </w:p>
              </w:tc>
              <w:tc>
                <w:tcPr>
                  <w:tcW w:w="590" w:type="dxa"/>
                  <w:noWrap w:val="0"/>
                  <w:vAlign w:val="center"/>
                </w:tcPr>
                <w:p>
                  <w:pPr>
                    <w:jc w:val="center"/>
                    <w:rPr>
                      <w:szCs w:val="21"/>
                    </w:rPr>
                  </w:pPr>
                  <w:r>
                    <w:rPr>
                      <w:szCs w:val="21"/>
                    </w:rPr>
                    <w:t>1</w:t>
                  </w:r>
                </w:p>
              </w:tc>
              <w:tc>
                <w:tcPr>
                  <w:tcW w:w="386" w:type="dxa"/>
                  <w:noWrap w:val="0"/>
                  <w:vAlign w:val="center"/>
                </w:tcPr>
                <w:p>
                  <w:pPr>
                    <w:jc w:val="center"/>
                    <w:rPr>
                      <w:szCs w:val="21"/>
                    </w:rPr>
                  </w:pPr>
                  <w:r>
                    <w:rPr>
                      <w:szCs w:val="21"/>
                    </w:rPr>
                    <w:t>台</w:t>
                  </w:r>
                </w:p>
              </w:tc>
              <w:tc>
                <w:tcPr>
                  <w:tcW w:w="1606" w:type="dxa"/>
                  <w:noWrap w:val="0"/>
                  <w:vAlign w:val="center"/>
                </w:tcPr>
                <w:p>
                  <w:pPr>
                    <w:jc w:val="center"/>
                    <w:rPr>
                      <w:szCs w:val="21"/>
                    </w:rPr>
                  </w:pPr>
                  <w:r>
                    <w:rPr>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2" w:type="dxa"/>
                  <w:noWrap w:val="0"/>
                  <w:vAlign w:val="center"/>
                </w:tcPr>
                <w:p>
                  <w:pPr>
                    <w:jc w:val="center"/>
                    <w:rPr>
                      <w:szCs w:val="21"/>
                    </w:rPr>
                  </w:pPr>
                  <w:r>
                    <w:rPr>
                      <w:szCs w:val="21"/>
                    </w:rPr>
                    <w:t>20</w:t>
                  </w:r>
                </w:p>
              </w:tc>
              <w:tc>
                <w:tcPr>
                  <w:tcW w:w="1994" w:type="dxa"/>
                  <w:noWrap w:val="0"/>
                  <w:vAlign w:val="center"/>
                </w:tcPr>
                <w:p>
                  <w:pPr>
                    <w:jc w:val="center"/>
                    <w:rPr>
                      <w:szCs w:val="21"/>
                      <w:lang w:val="zh-CN"/>
                    </w:rPr>
                  </w:pPr>
                  <w:r>
                    <w:rPr>
                      <w:szCs w:val="21"/>
                      <w:lang w:val="zh-CN"/>
                    </w:rPr>
                    <w:t>排气管</w:t>
                  </w:r>
                </w:p>
              </w:tc>
              <w:tc>
                <w:tcPr>
                  <w:tcW w:w="3438" w:type="dxa"/>
                  <w:noWrap w:val="0"/>
                  <w:vAlign w:val="center"/>
                </w:tcPr>
                <w:p>
                  <w:pPr>
                    <w:jc w:val="center"/>
                    <w:rPr>
                      <w:szCs w:val="21"/>
                      <w:lang w:val="zh-CN"/>
                    </w:rPr>
                  </w:pPr>
                  <w:r>
                    <w:rPr>
                      <w:szCs w:val="21"/>
                      <w:lang w:val="zh-CN"/>
                    </w:rPr>
                    <w:t>DN300，含取样平台、排气管支架，高度不低于15m</w:t>
                  </w:r>
                </w:p>
              </w:tc>
              <w:tc>
                <w:tcPr>
                  <w:tcW w:w="590" w:type="dxa"/>
                  <w:noWrap w:val="0"/>
                  <w:vAlign w:val="center"/>
                </w:tcPr>
                <w:p>
                  <w:pPr>
                    <w:jc w:val="center"/>
                    <w:rPr>
                      <w:szCs w:val="21"/>
                    </w:rPr>
                  </w:pPr>
                  <w:r>
                    <w:rPr>
                      <w:szCs w:val="21"/>
                    </w:rPr>
                    <w:t>1</w:t>
                  </w:r>
                </w:p>
              </w:tc>
              <w:tc>
                <w:tcPr>
                  <w:tcW w:w="386" w:type="dxa"/>
                  <w:noWrap w:val="0"/>
                  <w:vAlign w:val="center"/>
                </w:tcPr>
                <w:p>
                  <w:pPr>
                    <w:jc w:val="center"/>
                    <w:rPr>
                      <w:szCs w:val="21"/>
                    </w:rPr>
                  </w:pPr>
                  <w:r>
                    <w:rPr>
                      <w:szCs w:val="21"/>
                    </w:rPr>
                    <w:t>套</w:t>
                  </w:r>
                </w:p>
              </w:tc>
              <w:tc>
                <w:tcPr>
                  <w:tcW w:w="1606" w:type="dxa"/>
                  <w:noWrap w:val="0"/>
                  <w:vAlign w:val="center"/>
                </w:tcPr>
                <w:p>
                  <w:pPr>
                    <w:jc w:val="center"/>
                    <w:rPr>
                      <w:szCs w:val="21"/>
                    </w:rPr>
                  </w:pPr>
                  <w:r>
                    <w:rPr>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2" w:type="dxa"/>
                  <w:noWrap w:val="0"/>
                  <w:vAlign w:val="center"/>
                </w:tcPr>
                <w:p>
                  <w:pPr>
                    <w:jc w:val="center"/>
                    <w:rPr>
                      <w:szCs w:val="21"/>
                    </w:rPr>
                  </w:pPr>
                  <w:r>
                    <w:rPr>
                      <w:szCs w:val="21"/>
                    </w:rPr>
                    <w:t>21</w:t>
                  </w:r>
                </w:p>
              </w:tc>
              <w:tc>
                <w:tcPr>
                  <w:tcW w:w="1994" w:type="dxa"/>
                  <w:noWrap w:val="0"/>
                  <w:vAlign w:val="center"/>
                </w:tcPr>
                <w:p>
                  <w:pPr>
                    <w:jc w:val="center"/>
                    <w:rPr>
                      <w:szCs w:val="21"/>
                      <w:lang w:val="zh-CN"/>
                    </w:rPr>
                  </w:pPr>
                  <w:r>
                    <w:rPr>
                      <w:szCs w:val="21"/>
                      <w:lang w:val="zh-CN"/>
                    </w:rPr>
                    <w:t>箱式变压器</w:t>
                  </w:r>
                </w:p>
              </w:tc>
              <w:tc>
                <w:tcPr>
                  <w:tcW w:w="3438" w:type="dxa"/>
                  <w:noWrap w:val="0"/>
                  <w:vAlign w:val="center"/>
                </w:tcPr>
                <w:p>
                  <w:pPr>
                    <w:jc w:val="center"/>
                    <w:rPr>
                      <w:szCs w:val="21"/>
                      <w:lang w:val="zh-CN"/>
                    </w:rPr>
                  </w:pPr>
                  <w:r>
                    <w:rPr>
                      <w:szCs w:val="21"/>
                    </w:rPr>
                    <w:t>200</w:t>
                  </w:r>
                  <w:r>
                    <w:rPr>
                      <w:szCs w:val="21"/>
                      <w:lang w:val="zh-CN"/>
                    </w:rPr>
                    <w:t>kva；以当地电业局提供为准</w:t>
                  </w:r>
                </w:p>
              </w:tc>
              <w:tc>
                <w:tcPr>
                  <w:tcW w:w="590" w:type="dxa"/>
                  <w:noWrap w:val="0"/>
                  <w:vAlign w:val="center"/>
                </w:tcPr>
                <w:p>
                  <w:pPr>
                    <w:jc w:val="center"/>
                    <w:rPr>
                      <w:szCs w:val="21"/>
                    </w:rPr>
                  </w:pPr>
                  <w:r>
                    <w:rPr>
                      <w:szCs w:val="21"/>
                    </w:rPr>
                    <w:t>1</w:t>
                  </w:r>
                </w:p>
              </w:tc>
              <w:tc>
                <w:tcPr>
                  <w:tcW w:w="386" w:type="dxa"/>
                  <w:noWrap w:val="0"/>
                  <w:vAlign w:val="center"/>
                </w:tcPr>
                <w:p>
                  <w:pPr>
                    <w:jc w:val="center"/>
                    <w:rPr>
                      <w:szCs w:val="21"/>
                    </w:rPr>
                  </w:pPr>
                  <w:r>
                    <w:rPr>
                      <w:szCs w:val="21"/>
                    </w:rPr>
                    <w:t>套</w:t>
                  </w:r>
                </w:p>
              </w:tc>
              <w:tc>
                <w:tcPr>
                  <w:tcW w:w="1606" w:type="dxa"/>
                  <w:noWrap w:val="0"/>
                  <w:vAlign w:val="center"/>
                </w:tcPr>
                <w:p>
                  <w:pPr>
                    <w:jc w:val="center"/>
                    <w:rPr>
                      <w:szCs w:val="21"/>
                    </w:rPr>
                  </w:pPr>
                  <w:r>
                    <w:rPr>
                      <w:szCs w:val="21"/>
                    </w:rPr>
                    <w:t>更换扩容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2" w:type="dxa"/>
                  <w:noWrap w:val="0"/>
                  <w:vAlign w:val="center"/>
                </w:tcPr>
                <w:p>
                  <w:pPr>
                    <w:jc w:val="center"/>
                    <w:rPr>
                      <w:szCs w:val="21"/>
                    </w:rPr>
                  </w:pPr>
                  <w:r>
                    <w:rPr>
                      <w:szCs w:val="21"/>
                    </w:rPr>
                    <w:t>22</w:t>
                  </w:r>
                </w:p>
              </w:tc>
              <w:tc>
                <w:tcPr>
                  <w:tcW w:w="1994" w:type="dxa"/>
                  <w:noWrap w:val="0"/>
                  <w:vAlign w:val="center"/>
                </w:tcPr>
                <w:p>
                  <w:pPr>
                    <w:jc w:val="center"/>
                    <w:rPr>
                      <w:szCs w:val="21"/>
                      <w:lang w:val="zh-CN"/>
                    </w:rPr>
                  </w:pPr>
                  <w:r>
                    <w:rPr>
                      <w:szCs w:val="21"/>
                      <w:lang w:val="zh-CN"/>
                    </w:rPr>
                    <w:t>发电机</w:t>
                  </w:r>
                </w:p>
              </w:tc>
              <w:tc>
                <w:tcPr>
                  <w:tcW w:w="3438" w:type="dxa"/>
                  <w:noWrap w:val="0"/>
                  <w:vAlign w:val="center"/>
                </w:tcPr>
                <w:p>
                  <w:pPr>
                    <w:jc w:val="center"/>
                    <w:rPr>
                      <w:szCs w:val="21"/>
                      <w:lang w:val="zh-CN"/>
                    </w:rPr>
                  </w:pPr>
                  <w:r>
                    <w:rPr>
                      <w:szCs w:val="21"/>
                      <w:lang w:val="zh-CN"/>
                    </w:rPr>
                    <w:t>100kw</w:t>
                  </w:r>
                </w:p>
              </w:tc>
              <w:tc>
                <w:tcPr>
                  <w:tcW w:w="590" w:type="dxa"/>
                  <w:noWrap w:val="0"/>
                  <w:vAlign w:val="center"/>
                </w:tcPr>
                <w:p>
                  <w:pPr>
                    <w:jc w:val="center"/>
                    <w:rPr>
                      <w:szCs w:val="21"/>
                    </w:rPr>
                  </w:pPr>
                  <w:r>
                    <w:rPr>
                      <w:szCs w:val="21"/>
                    </w:rPr>
                    <w:t>1</w:t>
                  </w:r>
                </w:p>
              </w:tc>
              <w:tc>
                <w:tcPr>
                  <w:tcW w:w="386" w:type="dxa"/>
                  <w:noWrap w:val="0"/>
                  <w:vAlign w:val="center"/>
                </w:tcPr>
                <w:p>
                  <w:pPr>
                    <w:jc w:val="center"/>
                    <w:rPr>
                      <w:szCs w:val="21"/>
                    </w:rPr>
                  </w:pPr>
                  <w:r>
                    <w:rPr>
                      <w:szCs w:val="21"/>
                    </w:rPr>
                    <w:t>台</w:t>
                  </w:r>
                </w:p>
              </w:tc>
              <w:tc>
                <w:tcPr>
                  <w:tcW w:w="1606" w:type="dxa"/>
                  <w:noWrap w:val="0"/>
                  <w:vAlign w:val="center"/>
                </w:tcPr>
                <w:p>
                  <w:pPr>
                    <w:jc w:val="center"/>
                    <w:rPr>
                      <w:szCs w:val="21"/>
                    </w:rPr>
                  </w:pPr>
                  <w:r>
                    <w:rPr>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2" w:type="dxa"/>
                  <w:noWrap w:val="0"/>
                  <w:vAlign w:val="center"/>
                </w:tcPr>
                <w:p>
                  <w:pPr>
                    <w:jc w:val="center"/>
                    <w:rPr>
                      <w:szCs w:val="21"/>
                    </w:rPr>
                  </w:pPr>
                  <w:r>
                    <w:rPr>
                      <w:szCs w:val="21"/>
                    </w:rPr>
                    <w:t>23</w:t>
                  </w:r>
                </w:p>
              </w:tc>
              <w:tc>
                <w:tcPr>
                  <w:tcW w:w="1994" w:type="dxa"/>
                  <w:noWrap w:val="0"/>
                  <w:vAlign w:val="center"/>
                </w:tcPr>
                <w:p>
                  <w:pPr>
                    <w:jc w:val="center"/>
                    <w:rPr>
                      <w:szCs w:val="21"/>
                      <w:lang w:val="zh-CN"/>
                    </w:rPr>
                  </w:pPr>
                  <w:r>
                    <w:rPr>
                      <w:szCs w:val="21"/>
                      <w:lang w:val="zh-CN"/>
                    </w:rPr>
                    <w:t>格栅</w:t>
                  </w:r>
                </w:p>
              </w:tc>
              <w:tc>
                <w:tcPr>
                  <w:tcW w:w="3438" w:type="dxa"/>
                  <w:noWrap w:val="0"/>
                  <w:vAlign w:val="center"/>
                </w:tcPr>
                <w:p>
                  <w:pPr>
                    <w:jc w:val="center"/>
                    <w:rPr>
                      <w:szCs w:val="21"/>
                      <w:lang w:val="zh-CN"/>
                    </w:rPr>
                  </w:pPr>
                  <w:r>
                    <w:rPr>
                      <w:szCs w:val="21"/>
                      <w:lang w:val="zh-CN"/>
                    </w:rPr>
                    <w:t>--</w:t>
                  </w:r>
                </w:p>
              </w:tc>
              <w:tc>
                <w:tcPr>
                  <w:tcW w:w="590" w:type="dxa"/>
                  <w:noWrap w:val="0"/>
                  <w:vAlign w:val="center"/>
                </w:tcPr>
                <w:p>
                  <w:pPr>
                    <w:jc w:val="center"/>
                    <w:rPr>
                      <w:szCs w:val="21"/>
                    </w:rPr>
                  </w:pPr>
                  <w:r>
                    <w:rPr>
                      <w:szCs w:val="21"/>
                    </w:rPr>
                    <w:t>1</w:t>
                  </w:r>
                </w:p>
              </w:tc>
              <w:tc>
                <w:tcPr>
                  <w:tcW w:w="386" w:type="dxa"/>
                  <w:noWrap w:val="0"/>
                  <w:vAlign w:val="center"/>
                </w:tcPr>
                <w:p>
                  <w:pPr>
                    <w:jc w:val="center"/>
                    <w:rPr>
                      <w:szCs w:val="21"/>
                    </w:rPr>
                  </w:pPr>
                  <w:r>
                    <w:rPr>
                      <w:szCs w:val="21"/>
                    </w:rPr>
                    <w:t>台</w:t>
                  </w:r>
                </w:p>
              </w:tc>
              <w:tc>
                <w:tcPr>
                  <w:tcW w:w="1606" w:type="dxa"/>
                  <w:noWrap w:val="0"/>
                  <w:vAlign w:val="center"/>
                </w:tcPr>
                <w:p>
                  <w:pPr>
                    <w:jc w:val="center"/>
                    <w:rPr>
                      <w:szCs w:val="21"/>
                    </w:rPr>
                  </w:pPr>
                  <w:r>
                    <w:rPr>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2" w:type="dxa"/>
                  <w:noWrap w:val="0"/>
                  <w:vAlign w:val="center"/>
                </w:tcPr>
                <w:p>
                  <w:pPr>
                    <w:jc w:val="center"/>
                    <w:rPr>
                      <w:szCs w:val="21"/>
                    </w:rPr>
                  </w:pPr>
                  <w:r>
                    <w:rPr>
                      <w:szCs w:val="21"/>
                    </w:rPr>
                    <w:t>24</w:t>
                  </w:r>
                </w:p>
              </w:tc>
              <w:tc>
                <w:tcPr>
                  <w:tcW w:w="1994" w:type="dxa"/>
                  <w:noWrap w:val="0"/>
                  <w:vAlign w:val="center"/>
                </w:tcPr>
                <w:p>
                  <w:pPr>
                    <w:jc w:val="center"/>
                    <w:rPr>
                      <w:szCs w:val="21"/>
                      <w:lang w:val="zh-CN"/>
                    </w:rPr>
                  </w:pPr>
                  <w:r>
                    <w:rPr>
                      <w:szCs w:val="21"/>
                    </w:rPr>
                    <w:t>隔渣板</w:t>
                  </w:r>
                </w:p>
              </w:tc>
              <w:tc>
                <w:tcPr>
                  <w:tcW w:w="3438" w:type="dxa"/>
                  <w:noWrap w:val="0"/>
                  <w:vAlign w:val="center"/>
                </w:tcPr>
                <w:p>
                  <w:pPr>
                    <w:jc w:val="center"/>
                    <w:rPr>
                      <w:szCs w:val="21"/>
                      <w:lang w:val="zh-CN"/>
                    </w:rPr>
                  </w:pPr>
                  <w:r>
                    <w:rPr>
                      <w:rFonts w:eastAsia="Times New Roman"/>
                      <w:spacing w:val="-1"/>
                      <w:szCs w:val="21"/>
                    </w:rPr>
                    <w:t>2000×1000×2mm</w:t>
                  </w:r>
                </w:p>
              </w:tc>
              <w:tc>
                <w:tcPr>
                  <w:tcW w:w="590" w:type="dxa"/>
                  <w:noWrap w:val="0"/>
                  <w:vAlign w:val="center"/>
                </w:tcPr>
                <w:p>
                  <w:pPr>
                    <w:jc w:val="center"/>
                    <w:rPr>
                      <w:szCs w:val="21"/>
                    </w:rPr>
                  </w:pPr>
                  <w:r>
                    <w:rPr>
                      <w:rFonts w:eastAsia="Times New Roman"/>
                      <w:szCs w:val="21"/>
                    </w:rPr>
                    <w:t xml:space="preserve">2 </w:t>
                  </w:r>
                </w:p>
              </w:tc>
              <w:tc>
                <w:tcPr>
                  <w:tcW w:w="386" w:type="dxa"/>
                  <w:noWrap w:val="0"/>
                  <w:vAlign w:val="center"/>
                </w:tcPr>
                <w:p>
                  <w:pPr>
                    <w:jc w:val="center"/>
                    <w:rPr>
                      <w:szCs w:val="21"/>
                    </w:rPr>
                  </w:pPr>
                  <w:r>
                    <w:rPr>
                      <w:szCs w:val="21"/>
                    </w:rPr>
                    <w:t>张</w:t>
                  </w:r>
                </w:p>
              </w:tc>
              <w:tc>
                <w:tcPr>
                  <w:tcW w:w="1606" w:type="dxa"/>
                  <w:noWrap w:val="0"/>
                  <w:vAlign w:val="center"/>
                </w:tcPr>
                <w:p>
                  <w:pPr>
                    <w:jc w:val="center"/>
                    <w:rPr>
                      <w:szCs w:val="21"/>
                    </w:rPr>
                  </w:pPr>
                  <w:r>
                    <w:rPr>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2" w:type="dxa"/>
                  <w:noWrap w:val="0"/>
                  <w:vAlign w:val="center"/>
                </w:tcPr>
                <w:p>
                  <w:pPr>
                    <w:jc w:val="center"/>
                    <w:rPr>
                      <w:szCs w:val="21"/>
                    </w:rPr>
                  </w:pPr>
                  <w:r>
                    <w:rPr>
                      <w:szCs w:val="21"/>
                    </w:rPr>
                    <w:t>25</w:t>
                  </w:r>
                </w:p>
              </w:tc>
              <w:tc>
                <w:tcPr>
                  <w:tcW w:w="1994" w:type="dxa"/>
                  <w:noWrap w:val="0"/>
                  <w:vAlign w:val="center"/>
                </w:tcPr>
                <w:p>
                  <w:pPr>
                    <w:jc w:val="center"/>
                    <w:rPr>
                      <w:szCs w:val="21"/>
                      <w:lang w:val="zh-CN"/>
                    </w:rPr>
                  </w:pPr>
                  <w:r>
                    <w:rPr>
                      <w:spacing w:val="-1"/>
                      <w:szCs w:val="21"/>
                    </w:rPr>
                    <w:t>污水提升泵</w:t>
                  </w:r>
                </w:p>
              </w:tc>
              <w:tc>
                <w:tcPr>
                  <w:tcW w:w="3438" w:type="dxa"/>
                  <w:noWrap w:val="0"/>
                  <w:vAlign w:val="center"/>
                </w:tcPr>
                <w:p>
                  <w:pPr>
                    <w:jc w:val="center"/>
                    <w:rPr>
                      <w:szCs w:val="21"/>
                      <w:lang w:val="zh-CN"/>
                    </w:rPr>
                  </w:pPr>
                  <w:r>
                    <w:rPr>
                      <w:spacing w:val="-1"/>
                      <w:szCs w:val="21"/>
                    </w:rPr>
                    <w:t>Q=65m</w:t>
                  </w:r>
                  <w:r>
                    <w:rPr>
                      <w:spacing w:val="-1"/>
                      <w:szCs w:val="21"/>
                      <w:vertAlign w:val="superscript"/>
                    </w:rPr>
                    <w:t>3</w:t>
                  </w:r>
                  <w:r>
                    <w:rPr>
                      <w:spacing w:val="-1"/>
                      <w:szCs w:val="21"/>
                    </w:rPr>
                    <w:t>/h H=15m</w:t>
                  </w:r>
                  <w:r>
                    <w:rPr>
                      <w:spacing w:val="-4"/>
                      <w:szCs w:val="21"/>
                    </w:rPr>
                    <w:t xml:space="preserve"> </w:t>
                  </w:r>
                  <w:r>
                    <w:rPr>
                      <w:szCs w:val="21"/>
                    </w:rPr>
                    <w:t>P=5.5kw</w:t>
                  </w:r>
                </w:p>
              </w:tc>
              <w:tc>
                <w:tcPr>
                  <w:tcW w:w="590" w:type="dxa"/>
                  <w:noWrap w:val="0"/>
                  <w:vAlign w:val="center"/>
                </w:tcPr>
                <w:p>
                  <w:pPr>
                    <w:jc w:val="center"/>
                    <w:rPr>
                      <w:szCs w:val="21"/>
                    </w:rPr>
                  </w:pPr>
                  <w:r>
                    <w:rPr>
                      <w:rFonts w:eastAsia="Times New Roman"/>
                      <w:szCs w:val="21"/>
                    </w:rPr>
                    <w:t xml:space="preserve">2 </w:t>
                  </w:r>
                </w:p>
              </w:tc>
              <w:tc>
                <w:tcPr>
                  <w:tcW w:w="386" w:type="dxa"/>
                  <w:noWrap w:val="0"/>
                  <w:vAlign w:val="center"/>
                </w:tcPr>
                <w:p>
                  <w:pPr>
                    <w:jc w:val="center"/>
                    <w:rPr>
                      <w:szCs w:val="21"/>
                    </w:rPr>
                  </w:pPr>
                  <w:r>
                    <w:rPr>
                      <w:szCs w:val="21"/>
                    </w:rPr>
                    <w:t>台</w:t>
                  </w:r>
                </w:p>
              </w:tc>
              <w:tc>
                <w:tcPr>
                  <w:tcW w:w="1606" w:type="dxa"/>
                  <w:noWrap w:val="0"/>
                  <w:vAlign w:val="center"/>
                </w:tcPr>
                <w:p>
                  <w:pPr>
                    <w:jc w:val="center"/>
                    <w:rPr>
                      <w:szCs w:val="21"/>
                    </w:rPr>
                  </w:pPr>
                  <w:r>
                    <w:rPr>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2" w:type="dxa"/>
                  <w:noWrap w:val="0"/>
                  <w:vAlign w:val="center"/>
                </w:tcPr>
                <w:p>
                  <w:pPr>
                    <w:jc w:val="center"/>
                    <w:rPr>
                      <w:szCs w:val="21"/>
                    </w:rPr>
                  </w:pPr>
                  <w:r>
                    <w:rPr>
                      <w:szCs w:val="21"/>
                    </w:rPr>
                    <w:t>26</w:t>
                  </w:r>
                </w:p>
              </w:tc>
              <w:tc>
                <w:tcPr>
                  <w:tcW w:w="1994" w:type="dxa"/>
                  <w:noWrap w:val="0"/>
                  <w:vAlign w:val="center"/>
                </w:tcPr>
                <w:p>
                  <w:pPr>
                    <w:jc w:val="center"/>
                    <w:rPr>
                      <w:szCs w:val="21"/>
                      <w:lang w:val="zh-CN"/>
                    </w:rPr>
                  </w:pPr>
                  <w:r>
                    <w:rPr>
                      <w:szCs w:val="21"/>
                    </w:rPr>
                    <w:t>污泥泵</w:t>
                  </w:r>
                </w:p>
              </w:tc>
              <w:tc>
                <w:tcPr>
                  <w:tcW w:w="3438" w:type="dxa"/>
                  <w:noWrap w:val="0"/>
                  <w:vAlign w:val="center"/>
                </w:tcPr>
                <w:p>
                  <w:pPr>
                    <w:jc w:val="center"/>
                    <w:rPr>
                      <w:szCs w:val="21"/>
                    </w:rPr>
                  </w:pPr>
                  <w:r>
                    <w:rPr>
                      <w:rFonts w:eastAsia="Times New Roman"/>
                      <w:spacing w:val="-1"/>
                      <w:szCs w:val="21"/>
                    </w:rPr>
                    <w:t>Q=15m</w:t>
                  </w:r>
                  <w:r>
                    <w:rPr>
                      <w:spacing w:val="-1"/>
                      <w:szCs w:val="21"/>
                      <w:vertAlign w:val="superscript"/>
                    </w:rPr>
                    <w:t>3</w:t>
                  </w:r>
                  <w:r>
                    <w:rPr>
                      <w:rFonts w:eastAsia="Times New Roman"/>
                      <w:spacing w:val="-1"/>
                      <w:szCs w:val="21"/>
                    </w:rPr>
                    <w:t>/h</w:t>
                  </w:r>
                  <w:r>
                    <w:rPr>
                      <w:spacing w:val="-1"/>
                      <w:szCs w:val="21"/>
                    </w:rPr>
                    <w:t>，</w:t>
                  </w:r>
                  <w:r>
                    <w:rPr>
                      <w:rFonts w:eastAsia="Times New Roman"/>
                      <w:spacing w:val="-1"/>
                      <w:szCs w:val="21"/>
                    </w:rPr>
                    <w:t>H=20m</w:t>
                  </w:r>
                  <w:r>
                    <w:rPr>
                      <w:spacing w:val="-1"/>
                      <w:szCs w:val="21"/>
                    </w:rPr>
                    <w:t>，</w:t>
                  </w:r>
                  <w:r>
                    <w:rPr>
                      <w:rFonts w:eastAsia="Times New Roman"/>
                      <w:spacing w:val="-1"/>
                      <w:szCs w:val="21"/>
                    </w:rPr>
                    <w:t>P=2.2kw</w:t>
                  </w:r>
                </w:p>
              </w:tc>
              <w:tc>
                <w:tcPr>
                  <w:tcW w:w="590" w:type="dxa"/>
                  <w:noWrap w:val="0"/>
                  <w:vAlign w:val="center"/>
                </w:tcPr>
                <w:p>
                  <w:pPr>
                    <w:jc w:val="center"/>
                    <w:rPr>
                      <w:szCs w:val="21"/>
                    </w:rPr>
                  </w:pPr>
                  <w:r>
                    <w:rPr>
                      <w:rFonts w:eastAsia="Times New Roman"/>
                      <w:szCs w:val="21"/>
                    </w:rPr>
                    <w:t xml:space="preserve">1 </w:t>
                  </w:r>
                </w:p>
              </w:tc>
              <w:tc>
                <w:tcPr>
                  <w:tcW w:w="386" w:type="dxa"/>
                  <w:noWrap w:val="0"/>
                  <w:vAlign w:val="center"/>
                </w:tcPr>
                <w:p>
                  <w:pPr>
                    <w:jc w:val="center"/>
                    <w:rPr>
                      <w:szCs w:val="21"/>
                    </w:rPr>
                  </w:pPr>
                  <w:r>
                    <w:rPr>
                      <w:szCs w:val="21"/>
                    </w:rPr>
                    <w:t>台</w:t>
                  </w:r>
                </w:p>
              </w:tc>
              <w:tc>
                <w:tcPr>
                  <w:tcW w:w="1606" w:type="dxa"/>
                  <w:noWrap w:val="0"/>
                  <w:vAlign w:val="center"/>
                </w:tcPr>
                <w:p>
                  <w:pPr>
                    <w:jc w:val="center"/>
                    <w:rPr>
                      <w:szCs w:val="21"/>
                    </w:rPr>
                  </w:pPr>
                  <w:r>
                    <w:rPr>
                      <w:szCs w:val="21"/>
                    </w:rPr>
                    <w:t>现有，1用1备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2" w:type="dxa"/>
                  <w:noWrap w:val="0"/>
                  <w:vAlign w:val="center"/>
                </w:tcPr>
                <w:p>
                  <w:pPr>
                    <w:jc w:val="center"/>
                    <w:rPr>
                      <w:szCs w:val="21"/>
                    </w:rPr>
                  </w:pPr>
                  <w:r>
                    <w:rPr>
                      <w:szCs w:val="21"/>
                    </w:rPr>
                    <w:t>27</w:t>
                  </w:r>
                </w:p>
              </w:tc>
              <w:tc>
                <w:tcPr>
                  <w:tcW w:w="1994" w:type="dxa"/>
                  <w:noWrap w:val="0"/>
                  <w:vAlign w:val="center"/>
                </w:tcPr>
                <w:p>
                  <w:pPr>
                    <w:jc w:val="center"/>
                    <w:rPr>
                      <w:szCs w:val="21"/>
                      <w:lang w:val="zh-CN"/>
                    </w:rPr>
                  </w:pPr>
                  <w:r>
                    <w:rPr>
                      <w:spacing w:val="-1"/>
                      <w:szCs w:val="21"/>
                    </w:rPr>
                    <w:t>工艺控制泵</w:t>
                  </w:r>
                </w:p>
              </w:tc>
              <w:tc>
                <w:tcPr>
                  <w:tcW w:w="3438" w:type="dxa"/>
                  <w:noWrap w:val="0"/>
                  <w:vAlign w:val="center"/>
                </w:tcPr>
                <w:p>
                  <w:pPr>
                    <w:jc w:val="center"/>
                    <w:rPr>
                      <w:szCs w:val="21"/>
                      <w:lang w:val="zh-CN"/>
                    </w:rPr>
                  </w:pPr>
                  <w:r>
                    <w:rPr>
                      <w:spacing w:val="-1"/>
                      <w:szCs w:val="21"/>
                    </w:rPr>
                    <w:t>Q=65m</w:t>
                  </w:r>
                  <w:r>
                    <w:rPr>
                      <w:spacing w:val="-1"/>
                      <w:szCs w:val="21"/>
                      <w:vertAlign w:val="superscript"/>
                    </w:rPr>
                    <w:t>3</w:t>
                  </w:r>
                  <w:r>
                    <w:rPr>
                      <w:spacing w:val="-1"/>
                      <w:szCs w:val="21"/>
                    </w:rPr>
                    <w:t>/h H=15m</w:t>
                  </w:r>
                  <w:r>
                    <w:rPr>
                      <w:spacing w:val="-4"/>
                      <w:szCs w:val="21"/>
                    </w:rPr>
                    <w:t xml:space="preserve"> </w:t>
                  </w:r>
                  <w:r>
                    <w:rPr>
                      <w:szCs w:val="21"/>
                    </w:rPr>
                    <w:t>P=5.5KW</w:t>
                  </w:r>
                </w:p>
              </w:tc>
              <w:tc>
                <w:tcPr>
                  <w:tcW w:w="590" w:type="dxa"/>
                  <w:noWrap w:val="0"/>
                  <w:vAlign w:val="center"/>
                </w:tcPr>
                <w:p>
                  <w:pPr>
                    <w:jc w:val="center"/>
                    <w:rPr>
                      <w:szCs w:val="21"/>
                    </w:rPr>
                  </w:pPr>
                  <w:r>
                    <w:rPr>
                      <w:rFonts w:eastAsia="Times New Roman"/>
                      <w:szCs w:val="21"/>
                    </w:rPr>
                    <w:t xml:space="preserve">3 </w:t>
                  </w:r>
                </w:p>
              </w:tc>
              <w:tc>
                <w:tcPr>
                  <w:tcW w:w="386" w:type="dxa"/>
                  <w:noWrap w:val="0"/>
                  <w:vAlign w:val="center"/>
                </w:tcPr>
                <w:p>
                  <w:pPr>
                    <w:jc w:val="center"/>
                    <w:rPr>
                      <w:szCs w:val="21"/>
                    </w:rPr>
                  </w:pPr>
                  <w:r>
                    <w:rPr>
                      <w:szCs w:val="21"/>
                    </w:rPr>
                    <w:t>台</w:t>
                  </w:r>
                </w:p>
              </w:tc>
              <w:tc>
                <w:tcPr>
                  <w:tcW w:w="1606" w:type="dxa"/>
                  <w:noWrap w:val="0"/>
                  <w:vAlign w:val="center"/>
                </w:tcPr>
                <w:p>
                  <w:pPr>
                    <w:jc w:val="center"/>
                    <w:rPr>
                      <w:szCs w:val="21"/>
                    </w:rPr>
                  </w:pPr>
                  <w:r>
                    <w:rPr>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2" w:type="dxa"/>
                  <w:noWrap w:val="0"/>
                  <w:vAlign w:val="center"/>
                </w:tcPr>
                <w:p>
                  <w:pPr>
                    <w:jc w:val="center"/>
                    <w:rPr>
                      <w:szCs w:val="21"/>
                    </w:rPr>
                  </w:pPr>
                  <w:r>
                    <w:rPr>
                      <w:szCs w:val="21"/>
                    </w:rPr>
                    <w:t>28</w:t>
                  </w:r>
                </w:p>
              </w:tc>
              <w:tc>
                <w:tcPr>
                  <w:tcW w:w="1994" w:type="dxa"/>
                  <w:noWrap w:val="0"/>
                  <w:vAlign w:val="center"/>
                </w:tcPr>
                <w:p>
                  <w:pPr>
                    <w:jc w:val="center"/>
                    <w:rPr>
                      <w:szCs w:val="21"/>
                      <w:lang w:val="zh-CN"/>
                    </w:rPr>
                  </w:pPr>
                  <w:r>
                    <w:rPr>
                      <w:spacing w:val="-1"/>
                      <w:szCs w:val="21"/>
                    </w:rPr>
                    <w:t>填料悬挂网组件</w:t>
                  </w:r>
                </w:p>
              </w:tc>
              <w:tc>
                <w:tcPr>
                  <w:tcW w:w="3438" w:type="dxa"/>
                  <w:noWrap w:val="0"/>
                  <w:vAlign w:val="center"/>
                </w:tcPr>
                <w:p>
                  <w:pPr>
                    <w:jc w:val="center"/>
                    <w:rPr>
                      <w:szCs w:val="21"/>
                      <w:lang w:val="zh-CN"/>
                    </w:rPr>
                  </w:pPr>
                </w:p>
              </w:tc>
              <w:tc>
                <w:tcPr>
                  <w:tcW w:w="590" w:type="dxa"/>
                  <w:noWrap w:val="0"/>
                  <w:vAlign w:val="center"/>
                </w:tcPr>
                <w:p>
                  <w:pPr>
                    <w:jc w:val="center"/>
                    <w:rPr>
                      <w:szCs w:val="21"/>
                    </w:rPr>
                  </w:pPr>
                  <w:r>
                    <w:rPr>
                      <w:rFonts w:eastAsia="Times New Roman"/>
                      <w:szCs w:val="21"/>
                    </w:rPr>
                    <w:t xml:space="preserve">70 </w:t>
                  </w:r>
                </w:p>
              </w:tc>
              <w:tc>
                <w:tcPr>
                  <w:tcW w:w="386" w:type="dxa"/>
                  <w:noWrap w:val="0"/>
                  <w:vAlign w:val="center"/>
                </w:tcPr>
                <w:p>
                  <w:pPr>
                    <w:jc w:val="center"/>
                    <w:rPr>
                      <w:szCs w:val="21"/>
                    </w:rPr>
                  </w:pPr>
                  <w:r>
                    <w:rPr>
                      <w:szCs w:val="21"/>
                    </w:rPr>
                    <w:t>组</w:t>
                  </w:r>
                </w:p>
              </w:tc>
              <w:tc>
                <w:tcPr>
                  <w:tcW w:w="1606" w:type="dxa"/>
                  <w:noWrap w:val="0"/>
                  <w:vAlign w:val="center"/>
                </w:tcPr>
                <w:p>
                  <w:pPr>
                    <w:jc w:val="center"/>
                    <w:rPr>
                      <w:szCs w:val="21"/>
                    </w:rPr>
                  </w:pPr>
                  <w:r>
                    <w:rPr>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2" w:type="dxa"/>
                  <w:noWrap w:val="0"/>
                  <w:vAlign w:val="center"/>
                </w:tcPr>
                <w:p>
                  <w:pPr>
                    <w:jc w:val="center"/>
                    <w:rPr>
                      <w:szCs w:val="21"/>
                    </w:rPr>
                  </w:pPr>
                  <w:r>
                    <w:rPr>
                      <w:szCs w:val="21"/>
                    </w:rPr>
                    <w:t>29</w:t>
                  </w:r>
                </w:p>
              </w:tc>
              <w:tc>
                <w:tcPr>
                  <w:tcW w:w="1994" w:type="dxa"/>
                  <w:noWrap w:val="0"/>
                  <w:vAlign w:val="center"/>
                </w:tcPr>
                <w:p>
                  <w:pPr>
                    <w:jc w:val="center"/>
                    <w:rPr>
                      <w:szCs w:val="21"/>
                      <w:lang w:val="zh-CN"/>
                    </w:rPr>
                  </w:pPr>
                  <w:r>
                    <w:rPr>
                      <w:szCs w:val="21"/>
                    </w:rPr>
                    <w:t>隔渣板</w:t>
                  </w:r>
                </w:p>
              </w:tc>
              <w:tc>
                <w:tcPr>
                  <w:tcW w:w="3438" w:type="dxa"/>
                  <w:noWrap w:val="0"/>
                  <w:vAlign w:val="center"/>
                </w:tcPr>
                <w:p>
                  <w:pPr>
                    <w:jc w:val="center"/>
                    <w:rPr>
                      <w:szCs w:val="21"/>
                      <w:lang w:val="zh-CN"/>
                    </w:rPr>
                  </w:pPr>
                  <w:r>
                    <w:rPr>
                      <w:rFonts w:eastAsia="Times New Roman"/>
                      <w:spacing w:val="-1"/>
                      <w:szCs w:val="21"/>
                    </w:rPr>
                    <w:t>2000×1000×2mm</w:t>
                  </w:r>
                </w:p>
              </w:tc>
              <w:tc>
                <w:tcPr>
                  <w:tcW w:w="590" w:type="dxa"/>
                  <w:noWrap w:val="0"/>
                  <w:vAlign w:val="center"/>
                </w:tcPr>
                <w:p>
                  <w:pPr>
                    <w:jc w:val="center"/>
                    <w:rPr>
                      <w:szCs w:val="21"/>
                    </w:rPr>
                  </w:pPr>
                  <w:r>
                    <w:rPr>
                      <w:rFonts w:eastAsia="Times New Roman"/>
                      <w:szCs w:val="21"/>
                    </w:rPr>
                    <w:t xml:space="preserve">4 </w:t>
                  </w:r>
                </w:p>
              </w:tc>
              <w:tc>
                <w:tcPr>
                  <w:tcW w:w="386" w:type="dxa"/>
                  <w:noWrap w:val="0"/>
                  <w:vAlign w:val="center"/>
                </w:tcPr>
                <w:p>
                  <w:pPr>
                    <w:jc w:val="center"/>
                    <w:rPr>
                      <w:szCs w:val="21"/>
                    </w:rPr>
                  </w:pPr>
                  <w:r>
                    <w:rPr>
                      <w:szCs w:val="21"/>
                    </w:rPr>
                    <w:t>张</w:t>
                  </w:r>
                </w:p>
              </w:tc>
              <w:tc>
                <w:tcPr>
                  <w:tcW w:w="1606" w:type="dxa"/>
                  <w:noWrap w:val="0"/>
                  <w:vAlign w:val="center"/>
                </w:tcPr>
                <w:p>
                  <w:pPr>
                    <w:jc w:val="center"/>
                    <w:rPr>
                      <w:szCs w:val="21"/>
                    </w:rPr>
                  </w:pPr>
                  <w:r>
                    <w:rPr>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2" w:type="dxa"/>
                  <w:noWrap w:val="0"/>
                  <w:vAlign w:val="center"/>
                </w:tcPr>
                <w:p>
                  <w:pPr>
                    <w:jc w:val="center"/>
                    <w:rPr>
                      <w:szCs w:val="21"/>
                    </w:rPr>
                  </w:pPr>
                  <w:r>
                    <w:rPr>
                      <w:szCs w:val="21"/>
                    </w:rPr>
                    <w:t>30</w:t>
                  </w:r>
                </w:p>
              </w:tc>
              <w:tc>
                <w:tcPr>
                  <w:tcW w:w="1994" w:type="dxa"/>
                  <w:noWrap w:val="0"/>
                  <w:vAlign w:val="center"/>
                </w:tcPr>
                <w:p>
                  <w:pPr>
                    <w:jc w:val="center"/>
                    <w:rPr>
                      <w:szCs w:val="21"/>
                    </w:rPr>
                  </w:pPr>
                  <w:r>
                    <w:rPr>
                      <w:spacing w:val="-1"/>
                      <w:szCs w:val="21"/>
                    </w:rPr>
                    <w:t>分水布水器</w:t>
                  </w:r>
                </w:p>
              </w:tc>
              <w:tc>
                <w:tcPr>
                  <w:tcW w:w="3438" w:type="dxa"/>
                  <w:noWrap w:val="0"/>
                  <w:vAlign w:val="center"/>
                </w:tcPr>
                <w:p>
                  <w:pPr>
                    <w:jc w:val="center"/>
                    <w:rPr>
                      <w:rFonts w:eastAsia="Times New Roman"/>
                      <w:spacing w:val="-1"/>
                      <w:szCs w:val="21"/>
                    </w:rPr>
                  </w:pPr>
                  <w:r>
                    <w:rPr>
                      <w:spacing w:val="-1"/>
                      <w:szCs w:val="21"/>
                    </w:rPr>
                    <w:t>FSA-01-100</w:t>
                  </w:r>
                </w:p>
              </w:tc>
              <w:tc>
                <w:tcPr>
                  <w:tcW w:w="590" w:type="dxa"/>
                  <w:noWrap w:val="0"/>
                  <w:vAlign w:val="center"/>
                </w:tcPr>
                <w:p>
                  <w:pPr>
                    <w:jc w:val="center"/>
                    <w:rPr>
                      <w:rFonts w:eastAsia="Times New Roman"/>
                      <w:szCs w:val="21"/>
                    </w:rPr>
                  </w:pPr>
                  <w:r>
                    <w:rPr>
                      <w:rFonts w:eastAsia="Times New Roman"/>
                      <w:szCs w:val="21"/>
                    </w:rPr>
                    <w:t xml:space="preserve">3 </w:t>
                  </w:r>
                </w:p>
              </w:tc>
              <w:tc>
                <w:tcPr>
                  <w:tcW w:w="386" w:type="dxa"/>
                  <w:noWrap w:val="0"/>
                  <w:vAlign w:val="center"/>
                </w:tcPr>
                <w:p>
                  <w:pPr>
                    <w:jc w:val="center"/>
                    <w:rPr>
                      <w:szCs w:val="21"/>
                    </w:rPr>
                  </w:pPr>
                  <w:r>
                    <w:rPr>
                      <w:szCs w:val="21"/>
                    </w:rPr>
                    <w:t>台</w:t>
                  </w:r>
                </w:p>
              </w:tc>
              <w:tc>
                <w:tcPr>
                  <w:tcW w:w="1606" w:type="dxa"/>
                  <w:noWrap w:val="0"/>
                  <w:vAlign w:val="center"/>
                </w:tcPr>
                <w:p>
                  <w:pPr>
                    <w:jc w:val="center"/>
                    <w:rPr>
                      <w:szCs w:val="21"/>
                    </w:rPr>
                  </w:pPr>
                  <w:r>
                    <w:rPr>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2" w:type="dxa"/>
                  <w:noWrap w:val="0"/>
                  <w:vAlign w:val="center"/>
                </w:tcPr>
                <w:p>
                  <w:pPr>
                    <w:jc w:val="center"/>
                    <w:rPr>
                      <w:szCs w:val="21"/>
                    </w:rPr>
                  </w:pPr>
                  <w:r>
                    <w:rPr>
                      <w:szCs w:val="21"/>
                    </w:rPr>
                    <w:t>31</w:t>
                  </w:r>
                </w:p>
              </w:tc>
              <w:tc>
                <w:tcPr>
                  <w:tcW w:w="1994" w:type="dxa"/>
                  <w:noWrap w:val="0"/>
                  <w:vAlign w:val="center"/>
                </w:tcPr>
                <w:p>
                  <w:pPr>
                    <w:jc w:val="center"/>
                    <w:rPr>
                      <w:szCs w:val="21"/>
                    </w:rPr>
                  </w:pPr>
                  <w:r>
                    <w:rPr>
                      <w:spacing w:val="-1"/>
                      <w:szCs w:val="21"/>
                    </w:rPr>
                    <w:t>防堵布水头</w:t>
                  </w:r>
                </w:p>
              </w:tc>
              <w:tc>
                <w:tcPr>
                  <w:tcW w:w="3438" w:type="dxa"/>
                  <w:noWrap w:val="0"/>
                  <w:vAlign w:val="center"/>
                </w:tcPr>
                <w:p>
                  <w:pPr>
                    <w:jc w:val="center"/>
                    <w:rPr>
                      <w:rFonts w:eastAsia="Times New Roman"/>
                      <w:spacing w:val="-1"/>
                      <w:szCs w:val="21"/>
                    </w:rPr>
                  </w:pPr>
                </w:p>
              </w:tc>
              <w:tc>
                <w:tcPr>
                  <w:tcW w:w="590" w:type="dxa"/>
                  <w:noWrap w:val="0"/>
                  <w:vAlign w:val="center"/>
                </w:tcPr>
                <w:p>
                  <w:pPr>
                    <w:jc w:val="center"/>
                    <w:rPr>
                      <w:rFonts w:eastAsia="Times New Roman"/>
                      <w:szCs w:val="21"/>
                    </w:rPr>
                  </w:pPr>
                  <w:r>
                    <w:rPr>
                      <w:rFonts w:eastAsia="Times New Roman"/>
                      <w:szCs w:val="21"/>
                    </w:rPr>
                    <w:t xml:space="preserve">9600 </w:t>
                  </w:r>
                </w:p>
              </w:tc>
              <w:tc>
                <w:tcPr>
                  <w:tcW w:w="386" w:type="dxa"/>
                  <w:noWrap w:val="0"/>
                  <w:vAlign w:val="center"/>
                </w:tcPr>
                <w:p>
                  <w:pPr>
                    <w:jc w:val="center"/>
                    <w:rPr>
                      <w:szCs w:val="21"/>
                    </w:rPr>
                  </w:pPr>
                  <w:r>
                    <w:rPr>
                      <w:szCs w:val="21"/>
                    </w:rPr>
                    <w:t>个</w:t>
                  </w:r>
                </w:p>
              </w:tc>
              <w:tc>
                <w:tcPr>
                  <w:tcW w:w="1606" w:type="dxa"/>
                  <w:noWrap w:val="0"/>
                  <w:vAlign w:val="center"/>
                </w:tcPr>
                <w:p>
                  <w:pPr>
                    <w:jc w:val="center"/>
                    <w:rPr>
                      <w:szCs w:val="21"/>
                    </w:rPr>
                  </w:pPr>
                  <w:r>
                    <w:rPr>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2" w:type="dxa"/>
                  <w:noWrap w:val="0"/>
                  <w:vAlign w:val="center"/>
                </w:tcPr>
                <w:p>
                  <w:pPr>
                    <w:jc w:val="center"/>
                    <w:rPr>
                      <w:szCs w:val="21"/>
                    </w:rPr>
                  </w:pPr>
                  <w:r>
                    <w:rPr>
                      <w:szCs w:val="21"/>
                    </w:rPr>
                    <w:t>32</w:t>
                  </w:r>
                </w:p>
              </w:tc>
              <w:tc>
                <w:tcPr>
                  <w:tcW w:w="1994" w:type="dxa"/>
                  <w:noWrap w:val="0"/>
                  <w:vAlign w:val="center"/>
                </w:tcPr>
                <w:p>
                  <w:pPr>
                    <w:jc w:val="center"/>
                    <w:rPr>
                      <w:szCs w:val="21"/>
                    </w:rPr>
                  </w:pPr>
                  <w:r>
                    <w:rPr>
                      <w:spacing w:val="-1"/>
                      <w:szCs w:val="21"/>
                    </w:rPr>
                    <w:t>布水保护罩</w:t>
                  </w:r>
                </w:p>
              </w:tc>
              <w:tc>
                <w:tcPr>
                  <w:tcW w:w="3438" w:type="dxa"/>
                  <w:noWrap w:val="0"/>
                  <w:vAlign w:val="center"/>
                </w:tcPr>
                <w:p>
                  <w:pPr>
                    <w:jc w:val="center"/>
                    <w:rPr>
                      <w:rFonts w:eastAsia="Times New Roman"/>
                      <w:spacing w:val="-1"/>
                      <w:szCs w:val="21"/>
                    </w:rPr>
                  </w:pPr>
                  <w:r>
                    <w:rPr>
                      <w:rFonts w:eastAsia="Times New Roman"/>
                      <w:spacing w:val="-1"/>
                      <w:szCs w:val="21"/>
                    </w:rPr>
                    <w:t>2500×2500mm</w:t>
                  </w:r>
                </w:p>
              </w:tc>
              <w:tc>
                <w:tcPr>
                  <w:tcW w:w="590" w:type="dxa"/>
                  <w:noWrap w:val="0"/>
                  <w:vAlign w:val="center"/>
                </w:tcPr>
                <w:p>
                  <w:pPr>
                    <w:jc w:val="center"/>
                    <w:rPr>
                      <w:rFonts w:eastAsia="Times New Roman"/>
                      <w:szCs w:val="21"/>
                    </w:rPr>
                  </w:pPr>
                  <w:r>
                    <w:rPr>
                      <w:rFonts w:eastAsia="Times New Roman"/>
                      <w:szCs w:val="21"/>
                    </w:rPr>
                    <w:t xml:space="preserve">9600 </w:t>
                  </w:r>
                </w:p>
              </w:tc>
              <w:tc>
                <w:tcPr>
                  <w:tcW w:w="386" w:type="dxa"/>
                  <w:noWrap w:val="0"/>
                  <w:vAlign w:val="center"/>
                </w:tcPr>
                <w:p>
                  <w:pPr>
                    <w:jc w:val="center"/>
                    <w:rPr>
                      <w:szCs w:val="21"/>
                    </w:rPr>
                  </w:pPr>
                  <w:r>
                    <w:rPr>
                      <w:szCs w:val="21"/>
                    </w:rPr>
                    <w:t>个</w:t>
                  </w:r>
                </w:p>
              </w:tc>
              <w:tc>
                <w:tcPr>
                  <w:tcW w:w="1606" w:type="dxa"/>
                  <w:noWrap w:val="0"/>
                  <w:vAlign w:val="center"/>
                </w:tcPr>
                <w:p>
                  <w:pPr>
                    <w:jc w:val="center"/>
                    <w:rPr>
                      <w:szCs w:val="21"/>
                    </w:rPr>
                  </w:pPr>
                  <w:r>
                    <w:rPr>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2" w:type="dxa"/>
                  <w:noWrap w:val="0"/>
                  <w:vAlign w:val="center"/>
                </w:tcPr>
                <w:p>
                  <w:pPr>
                    <w:jc w:val="center"/>
                    <w:rPr>
                      <w:szCs w:val="21"/>
                    </w:rPr>
                  </w:pPr>
                  <w:r>
                    <w:rPr>
                      <w:szCs w:val="21"/>
                    </w:rPr>
                    <w:t>33</w:t>
                  </w:r>
                </w:p>
              </w:tc>
              <w:tc>
                <w:tcPr>
                  <w:tcW w:w="1994" w:type="dxa"/>
                  <w:noWrap w:val="0"/>
                  <w:vAlign w:val="center"/>
                </w:tcPr>
                <w:p>
                  <w:pPr>
                    <w:jc w:val="center"/>
                    <w:rPr>
                      <w:szCs w:val="21"/>
                    </w:rPr>
                  </w:pPr>
                  <w:r>
                    <w:rPr>
                      <w:spacing w:val="-1"/>
                      <w:szCs w:val="21"/>
                    </w:rPr>
                    <w:t>硬质催化填料</w:t>
                  </w:r>
                </w:p>
              </w:tc>
              <w:tc>
                <w:tcPr>
                  <w:tcW w:w="3438" w:type="dxa"/>
                  <w:noWrap w:val="0"/>
                  <w:vAlign w:val="center"/>
                </w:tcPr>
                <w:p>
                  <w:pPr>
                    <w:jc w:val="center"/>
                    <w:rPr>
                      <w:rFonts w:eastAsia="Times New Roman"/>
                      <w:spacing w:val="-1"/>
                      <w:szCs w:val="21"/>
                    </w:rPr>
                  </w:pPr>
                  <w:r>
                    <w:rPr>
                      <w:spacing w:val="-1"/>
                      <w:szCs w:val="21"/>
                    </w:rPr>
                    <w:t>Φ5-15</w:t>
                  </w:r>
                </w:p>
              </w:tc>
              <w:tc>
                <w:tcPr>
                  <w:tcW w:w="590" w:type="dxa"/>
                  <w:noWrap w:val="0"/>
                  <w:vAlign w:val="center"/>
                </w:tcPr>
                <w:p>
                  <w:pPr>
                    <w:jc w:val="center"/>
                    <w:rPr>
                      <w:rFonts w:eastAsia="Times New Roman"/>
                      <w:szCs w:val="21"/>
                    </w:rPr>
                  </w:pPr>
                  <w:r>
                    <w:rPr>
                      <w:spacing w:val="-1"/>
                      <w:szCs w:val="21"/>
                    </w:rPr>
                    <w:t>1320</w:t>
                  </w:r>
                </w:p>
              </w:tc>
              <w:tc>
                <w:tcPr>
                  <w:tcW w:w="386" w:type="dxa"/>
                  <w:noWrap w:val="0"/>
                  <w:vAlign w:val="center"/>
                </w:tcPr>
                <w:p>
                  <w:pPr>
                    <w:jc w:val="center"/>
                    <w:rPr>
                      <w:szCs w:val="21"/>
                    </w:rPr>
                  </w:pPr>
                  <w:r>
                    <w:rPr>
                      <w:spacing w:val="-1"/>
                      <w:szCs w:val="21"/>
                    </w:rPr>
                    <w:t>m</w:t>
                  </w:r>
                  <w:r>
                    <w:rPr>
                      <w:spacing w:val="-1"/>
                      <w:szCs w:val="21"/>
                      <w:vertAlign w:val="superscript"/>
                    </w:rPr>
                    <w:t>2</w:t>
                  </w:r>
                </w:p>
              </w:tc>
              <w:tc>
                <w:tcPr>
                  <w:tcW w:w="1606" w:type="dxa"/>
                  <w:noWrap w:val="0"/>
                  <w:vAlign w:val="center"/>
                </w:tcPr>
                <w:p>
                  <w:pPr>
                    <w:jc w:val="center"/>
                    <w:rPr>
                      <w:szCs w:val="21"/>
                    </w:rPr>
                  </w:pPr>
                  <w:r>
                    <w:rPr>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2" w:type="dxa"/>
                  <w:noWrap w:val="0"/>
                  <w:vAlign w:val="center"/>
                </w:tcPr>
                <w:p>
                  <w:pPr>
                    <w:jc w:val="center"/>
                    <w:rPr>
                      <w:szCs w:val="21"/>
                    </w:rPr>
                  </w:pPr>
                  <w:r>
                    <w:rPr>
                      <w:szCs w:val="21"/>
                    </w:rPr>
                    <w:t>34</w:t>
                  </w:r>
                </w:p>
              </w:tc>
              <w:tc>
                <w:tcPr>
                  <w:tcW w:w="1994" w:type="dxa"/>
                  <w:noWrap w:val="0"/>
                  <w:vAlign w:val="center"/>
                </w:tcPr>
                <w:p>
                  <w:pPr>
                    <w:jc w:val="center"/>
                    <w:rPr>
                      <w:szCs w:val="21"/>
                    </w:rPr>
                  </w:pPr>
                  <w:r>
                    <w:rPr>
                      <w:szCs w:val="21"/>
                    </w:rPr>
                    <w:t>支撑填料</w:t>
                  </w:r>
                </w:p>
              </w:tc>
              <w:tc>
                <w:tcPr>
                  <w:tcW w:w="3438" w:type="dxa"/>
                  <w:noWrap w:val="0"/>
                  <w:vAlign w:val="center"/>
                </w:tcPr>
                <w:p>
                  <w:pPr>
                    <w:jc w:val="center"/>
                    <w:rPr>
                      <w:rFonts w:eastAsia="Times New Roman"/>
                      <w:spacing w:val="-1"/>
                      <w:szCs w:val="21"/>
                    </w:rPr>
                  </w:pPr>
                  <w:r>
                    <w:rPr>
                      <w:spacing w:val="-1"/>
                      <w:szCs w:val="21"/>
                    </w:rPr>
                    <w:t>Φ10-30</w:t>
                  </w:r>
                </w:p>
              </w:tc>
              <w:tc>
                <w:tcPr>
                  <w:tcW w:w="590" w:type="dxa"/>
                  <w:noWrap w:val="0"/>
                  <w:vAlign w:val="center"/>
                </w:tcPr>
                <w:p>
                  <w:pPr>
                    <w:jc w:val="center"/>
                    <w:rPr>
                      <w:rFonts w:eastAsia="Times New Roman"/>
                      <w:szCs w:val="21"/>
                    </w:rPr>
                  </w:pPr>
                  <w:r>
                    <w:rPr>
                      <w:spacing w:val="-1"/>
                      <w:szCs w:val="21"/>
                    </w:rPr>
                    <w:t>390</w:t>
                  </w:r>
                </w:p>
              </w:tc>
              <w:tc>
                <w:tcPr>
                  <w:tcW w:w="386" w:type="dxa"/>
                  <w:noWrap w:val="0"/>
                  <w:vAlign w:val="center"/>
                </w:tcPr>
                <w:p>
                  <w:pPr>
                    <w:jc w:val="center"/>
                    <w:rPr>
                      <w:szCs w:val="21"/>
                    </w:rPr>
                  </w:pPr>
                  <w:r>
                    <w:rPr>
                      <w:spacing w:val="-1"/>
                      <w:szCs w:val="21"/>
                    </w:rPr>
                    <w:t>m</w:t>
                  </w:r>
                  <w:r>
                    <w:rPr>
                      <w:spacing w:val="-1"/>
                      <w:szCs w:val="21"/>
                      <w:vertAlign w:val="superscript"/>
                    </w:rPr>
                    <w:t>2</w:t>
                  </w:r>
                </w:p>
              </w:tc>
              <w:tc>
                <w:tcPr>
                  <w:tcW w:w="1606" w:type="dxa"/>
                  <w:noWrap w:val="0"/>
                  <w:vAlign w:val="center"/>
                </w:tcPr>
                <w:p>
                  <w:pPr>
                    <w:jc w:val="center"/>
                    <w:rPr>
                      <w:szCs w:val="21"/>
                    </w:rPr>
                  </w:pPr>
                  <w:r>
                    <w:rPr>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2" w:type="dxa"/>
                  <w:noWrap w:val="0"/>
                  <w:vAlign w:val="center"/>
                </w:tcPr>
                <w:p>
                  <w:pPr>
                    <w:jc w:val="center"/>
                    <w:rPr>
                      <w:szCs w:val="21"/>
                    </w:rPr>
                  </w:pPr>
                  <w:r>
                    <w:rPr>
                      <w:szCs w:val="21"/>
                    </w:rPr>
                    <w:t>35</w:t>
                  </w:r>
                </w:p>
              </w:tc>
              <w:tc>
                <w:tcPr>
                  <w:tcW w:w="1994" w:type="dxa"/>
                  <w:noWrap w:val="0"/>
                  <w:vAlign w:val="center"/>
                </w:tcPr>
                <w:p>
                  <w:pPr>
                    <w:jc w:val="center"/>
                    <w:rPr>
                      <w:szCs w:val="21"/>
                    </w:rPr>
                  </w:pPr>
                  <w:r>
                    <w:rPr>
                      <w:szCs w:val="21"/>
                    </w:rPr>
                    <w:t>支撑填料</w:t>
                  </w:r>
                </w:p>
              </w:tc>
              <w:tc>
                <w:tcPr>
                  <w:tcW w:w="3438" w:type="dxa"/>
                  <w:noWrap w:val="0"/>
                  <w:vAlign w:val="center"/>
                </w:tcPr>
                <w:p>
                  <w:pPr>
                    <w:jc w:val="center"/>
                    <w:rPr>
                      <w:rFonts w:eastAsia="Times New Roman"/>
                      <w:spacing w:val="-1"/>
                      <w:szCs w:val="21"/>
                    </w:rPr>
                  </w:pPr>
                  <w:r>
                    <w:rPr>
                      <w:spacing w:val="-1"/>
                      <w:szCs w:val="21"/>
                    </w:rPr>
                    <w:t>Φ20-50</w:t>
                  </w:r>
                </w:p>
              </w:tc>
              <w:tc>
                <w:tcPr>
                  <w:tcW w:w="590" w:type="dxa"/>
                  <w:noWrap w:val="0"/>
                  <w:vAlign w:val="center"/>
                </w:tcPr>
                <w:p>
                  <w:pPr>
                    <w:jc w:val="center"/>
                    <w:rPr>
                      <w:rFonts w:eastAsia="Times New Roman"/>
                      <w:szCs w:val="21"/>
                    </w:rPr>
                  </w:pPr>
                  <w:r>
                    <w:rPr>
                      <w:spacing w:val="-1"/>
                      <w:szCs w:val="21"/>
                    </w:rPr>
                    <w:t>180</w:t>
                  </w:r>
                </w:p>
              </w:tc>
              <w:tc>
                <w:tcPr>
                  <w:tcW w:w="386" w:type="dxa"/>
                  <w:noWrap w:val="0"/>
                  <w:vAlign w:val="center"/>
                </w:tcPr>
                <w:p>
                  <w:pPr>
                    <w:jc w:val="center"/>
                    <w:rPr>
                      <w:szCs w:val="21"/>
                    </w:rPr>
                  </w:pPr>
                  <w:r>
                    <w:rPr>
                      <w:spacing w:val="-1"/>
                      <w:szCs w:val="21"/>
                    </w:rPr>
                    <w:t>m</w:t>
                  </w:r>
                  <w:r>
                    <w:rPr>
                      <w:spacing w:val="-1"/>
                      <w:szCs w:val="21"/>
                      <w:vertAlign w:val="superscript"/>
                    </w:rPr>
                    <w:t>2</w:t>
                  </w:r>
                </w:p>
              </w:tc>
              <w:tc>
                <w:tcPr>
                  <w:tcW w:w="1606" w:type="dxa"/>
                  <w:noWrap w:val="0"/>
                  <w:vAlign w:val="center"/>
                </w:tcPr>
                <w:p>
                  <w:pPr>
                    <w:jc w:val="center"/>
                    <w:rPr>
                      <w:szCs w:val="21"/>
                    </w:rPr>
                  </w:pPr>
                  <w:r>
                    <w:rPr>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2" w:type="dxa"/>
                  <w:noWrap w:val="0"/>
                  <w:vAlign w:val="center"/>
                </w:tcPr>
                <w:p>
                  <w:pPr>
                    <w:jc w:val="center"/>
                    <w:rPr>
                      <w:szCs w:val="21"/>
                    </w:rPr>
                  </w:pPr>
                  <w:r>
                    <w:rPr>
                      <w:szCs w:val="21"/>
                    </w:rPr>
                    <w:t>36</w:t>
                  </w:r>
                </w:p>
              </w:tc>
              <w:tc>
                <w:tcPr>
                  <w:tcW w:w="1994" w:type="dxa"/>
                  <w:noWrap w:val="0"/>
                  <w:vAlign w:val="center"/>
                </w:tcPr>
                <w:p>
                  <w:pPr>
                    <w:jc w:val="center"/>
                    <w:rPr>
                      <w:szCs w:val="21"/>
                    </w:rPr>
                  </w:pPr>
                  <w:r>
                    <w:rPr>
                      <w:szCs w:val="21"/>
                    </w:rPr>
                    <w:t>集水泵</w:t>
                  </w:r>
                </w:p>
              </w:tc>
              <w:tc>
                <w:tcPr>
                  <w:tcW w:w="3438" w:type="dxa"/>
                  <w:noWrap w:val="0"/>
                  <w:vAlign w:val="center"/>
                </w:tcPr>
                <w:p>
                  <w:pPr>
                    <w:jc w:val="center"/>
                    <w:rPr>
                      <w:rFonts w:eastAsia="Times New Roman"/>
                      <w:spacing w:val="-1"/>
                      <w:szCs w:val="21"/>
                    </w:rPr>
                  </w:pPr>
                  <w:r>
                    <w:rPr>
                      <w:spacing w:val="-1"/>
                      <w:szCs w:val="21"/>
                    </w:rPr>
                    <w:t>Q=65m</w:t>
                  </w:r>
                  <w:r>
                    <w:rPr>
                      <w:rFonts w:eastAsia="Times New Roman"/>
                      <w:spacing w:val="-1"/>
                      <w:szCs w:val="21"/>
                      <w:vertAlign w:val="superscript"/>
                    </w:rPr>
                    <w:t>3</w:t>
                  </w:r>
                  <w:r>
                    <w:rPr>
                      <w:spacing w:val="-1"/>
                      <w:szCs w:val="21"/>
                    </w:rPr>
                    <w:t>/h H=15m</w:t>
                  </w:r>
                  <w:r>
                    <w:rPr>
                      <w:spacing w:val="-4"/>
                      <w:szCs w:val="21"/>
                    </w:rPr>
                    <w:t xml:space="preserve"> </w:t>
                  </w:r>
                  <w:r>
                    <w:rPr>
                      <w:szCs w:val="21"/>
                    </w:rPr>
                    <w:t>P=5.5kw</w:t>
                  </w:r>
                </w:p>
              </w:tc>
              <w:tc>
                <w:tcPr>
                  <w:tcW w:w="590" w:type="dxa"/>
                  <w:noWrap w:val="0"/>
                  <w:vAlign w:val="center"/>
                </w:tcPr>
                <w:p>
                  <w:pPr>
                    <w:jc w:val="center"/>
                    <w:rPr>
                      <w:rFonts w:eastAsia="Times New Roman"/>
                      <w:szCs w:val="21"/>
                    </w:rPr>
                  </w:pPr>
                  <w:r>
                    <w:rPr>
                      <w:rFonts w:eastAsia="Times New Roman"/>
                      <w:szCs w:val="21"/>
                    </w:rPr>
                    <w:t xml:space="preserve">2 </w:t>
                  </w:r>
                </w:p>
              </w:tc>
              <w:tc>
                <w:tcPr>
                  <w:tcW w:w="386" w:type="dxa"/>
                  <w:noWrap w:val="0"/>
                  <w:vAlign w:val="center"/>
                </w:tcPr>
                <w:p>
                  <w:pPr>
                    <w:jc w:val="center"/>
                    <w:rPr>
                      <w:szCs w:val="21"/>
                    </w:rPr>
                  </w:pPr>
                  <w:r>
                    <w:rPr>
                      <w:szCs w:val="21"/>
                    </w:rPr>
                    <w:t>台</w:t>
                  </w:r>
                </w:p>
              </w:tc>
              <w:tc>
                <w:tcPr>
                  <w:tcW w:w="1606" w:type="dxa"/>
                  <w:noWrap w:val="0"/>
                  <w:vAlign w:val="center"/>
                </w:tcPr>
                <w:p>
                  <w:pPr>
                    <w:jc w:val="center"/>
                    <w:rPr>
                      <w:szCs w:val="21"/>
                    </w:rPr>
                  </w:pPr>
                  <w:r>
                    <w:rPr>
                      <w:szCs w:val="21"/>
                    </w:rPr>
                    <w:t>现有，1用1备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2" w:type="dxa"/>
                  <w:noWrap w:val="0"/>
                  <w:vAlign w:val="center"/>
                </w:tcPr>
                <w:p>
                  <w:pPr>
                    <w:jc w:val="center"/>
                    <w:rPr>
                      <w:szCs w:val="21"/>
                    </w:rPr>
                  </w:pPr>
                  <w:r>
                    <w:rPr>
                      <w:szCs w:val="21"/>
                    </w:rPr>
                    <w:t>37</w:t>
                  </w:r>
                </w:p>
              </w:tc>
              <w:tc>
                <w:tcPr>
                  <w:tcW w:w="1994" w:type="dxa"/>
                  <w:noWrap w:val="0"/>
                  <w:vAlign w:val="center"/>
                </w:tcPr>
                <w:p>
                  <w:pPr>
                    <w:jc w:val="center"/>
                    <w:rPr>
                      <w:szCs w:val="21"/>
                    </w:rPr>
                  </w:pPr>
                  <w:r>
                    <w:rPr>
                      <w:spacing w:val="-1"/>
                      <w:szCs w:val="21"/>
                    </w:rPr>
                    <w:t>二沉池污泥泵</w:t>
                  </w:r>
                </w:p>
              </w:tc>
              <w:tc>
                <w:tcPr>
                  <w:tcW w:w="3438" w:type="dxa"/>
                  <w:noWrap w:val="0"/>
                  <w:vAlign w:val="center"/>
                </w:tcPr>
                <w:p>
                  <w:pPr>
                    <w:jc w:val="center"/>
                    <w:rPr>
                      <w:rFonts w:eastAsia="Times New Roman"/>
                      <w:spacing w:val="-1"/>
                      <w:szCs w:val="21"/>
                    </w:rPr>
                  </w:pPr>
                  <w:r>
                    <w:rPr>
                      <w:rFonts w:eastAsia="Times New Roman"/>
                      <w:spacing w:val="-1"/>
                      <w:szCs w:val="21"/>
                    </w:rPr>
                    <w:t>Q=15m</w:t>
                  </w:r>
                  <w:r>
                    <w:rPr>
                      <w:rFonts w:eastAsia="Times New Roman"/>
                      <w:spacing w:val="-1"/>
                      <w:szCs w:val="21"/>
                      <w:vertAlign w:val="superscript"/>
                    </w:rPr>
                    <w:t>3</w:t>
                  </w:r>
                  <w:r>
                    <w:rPr>
                      <w:rFonts w:eastAsia="Times New Roman"/>
                      <w:spacing w:val="-1"/>
                      <w:szCs w:val="21"/>
                    </w:rPr>
                    <w:t>/h</w:t>
                  </w:r>
                  <w:r>
                    <w:rPr>
                      <w:spacing w:val="-1"/>
                      <w:szCs w:val="21"/>
                    </w:rPr>
                    <w:t>，</w:t>
                  </w:r>
                  <w:r>
                    <w:rPr>
                      <w:rFonts w:eastAsia="Times New Roman"/>
                      <w:spacing w:val="-1"/>
                      <w:szCs w:val="21"/>
                    </w:rPr>
                    <w:t>H=20m</w:t>
                  </w:r>
                  <w:r>
                    <w:rPr>
                      <w:spacing w:val="-1"/>
                      <w:szCs w:val="21"/>
                    </w:rPr>
                    <w:t>，</w:t>
                  </w:r>
                  <w:r>
                    <w:rPr>
                      <w:rFonts w:eastAsia="Times New Roman"/>
                      <w:spacing w:val="-1"/>
                      <w:szCs w:val="21"/>
                    </w:rPr>
                    <w:t>P=2.2kw</w:t>
                  </w:r>
                </w:p>
              </w:tc>
              <w:tc>
                <w:tcPr>
                  <w:tcW w:w="590" w:type="dxa"/>
                  <w:noWrap w:val="0"/>
                  <w:vAlign w:val="center"/>
                </w:tcPr>
                <w:p>
                  <w:pPr>
                    <w:jc w:val="center"/>
                    <w:rPr>
                      <w:rFonts w:eastAsia="Times New Roman"/>
                      <w:szCs w:val="21"/>
                    </w:rPr>
                  </w:pPr>
                  <w:r>
                    <w:rPr>
                      <w:rFonts w:eastAsia="Times New Roman"/>
                      <w:szCs w:val="21"/>
                    </w:rPr>
                    <w:t xml:space="preserve">1 </w:t>
                  </w:r>
                </w:p>
              </w:tc>
              <w:tc>
                <w:tcPr>
                  <w:tcW w:w="386" w:type="dxa"/>
                  <w:noWrap w:val="0"/>
                  <w:vAlign w:val="center"/>
                </w:tcPr>
                <w:p>
                  <w:pPr>
                    <w:jc w:val="center"/>
                    <w:rPr>
                      <w:szCs w:val="21"/>
                    </w:rPr>
                  </w:pPr>
                  <w:r>
                    <w:rPr>
                      <w:szCs w:val="21"/>
                    </w:rPr>
                    <w:t>台</w:t>
                  </w:r>
                </w:p>
              </w:tc>
              <w:tc>
                <w:tcPr>
                  <w:tcW w:w="1606" w:type="dxa"/>
                  <w:noWrap w:val="0"/>
                  <w:vAlign w:val="center"/>
                </w:tcPr>
                <w:p>
                  <w:pPr>
                    <w:jc w:val="center"/>
                    <w:rPr>
                      <w:szCs w:val="21"/>
                    </w:rPr>
                  </w:pPr>
                  <w:r>
                    <w:rPr>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2" w:type="dxa"/>
                  <w:noWrap w:val="0"/>
                  <w:vAlign w:val="center"/>
                </w:tcPr>
                <w:p>
                  <w:pPr>
                    <w:jc w:val="center"/>
                    <w:rPr>
                      <w:szCs w:val="21"/>
                    </w:rPr>
                  </w:pPr>
                  <w:r>
                    <w:rPr>
                      <w:szCs w:val="21"/>
                    </w:rPr>
                    <w:t>38</w:t>
                  </w:r>
                </w:p>
              </w:tc>
              <w:tc>
                <w:tcPr>
                  <w:tcW w:w="1994" w:type="dxa"/>
                  <w:noWrap w:val="0"/>
                  <w:vAlign w:val="center"/>
                </w:tcPr>
                <w:p>
                  <w:pPr>
                    <w:jc w:val="center"/>
                    <w:rPr>
                      <w:szCs w:val="21"/>
                    </w:rPr>
                  </w:pPr>
                  <w:r>
                    <w:rPr>
                      <w:spacing w:val="-1"/>
                      <w:szCs w:val="21"/>
                    </w:rPr>
                    <w:t>污泥池排泥泵</w:t>
                  </w:r>
                </w:p>
              </w:tc>
              <w:tc>
                <w:tcPr>
                  <w:tcW w:w="3438" w:type="dxa"/>
                  <w:noWrap w:val="0"/>
                  <w:vAlign w:val="center"/>
                </w:tcPr>
                <w:p>
                  <w:pPr>
                    <w:jc w:val="center"/>
                    <w:rPr>
                      <w:rFonts w:eastAsia="Times New Roman"/>
                      <w:spacing w:val="-1"/>
                      <w:szCs w:val="21"/>
                    </w:rPr>
                  </w:pPr>
                  <w:r>
                    <w:rPr>
                      <w:rFonts w:eastAsia="Times New Roman"/>
                      <w:spacing w:val="-1"/>
                      <w:szCs w:val="21"/>
                    </w:rPr>
                    <w:t>Q=15m</w:t>
                  </w:r>
                  <w:r>
                    <w:rPr>
                      <w:rFonts w:eastAsia="Times New Roman"/>
                      <w:spacing w:val="-1"/>
                      <w:szCs w:val="21"/>
                      <w:vertAlign w:val="superscript"/>
                    </w:rPr>
                    <w:t>3</w:t>
                  </w:r>
                  <w:r>
                    <w:rPr>
                      <w:rFonts w:eastAsia="Times New Roman"/>
                      <w:spacing w:val="-1"/>
                      <w:szCs w:val="21"/>
                    </w:rPr>
                    <w:t>/h</w:t>
                  </w:r>
                  <w:r>
                    <w:rPr>
                      <w:spacing w:val="-1"/>
                      <w:szCs w:val="21"/>
                    </w:rPr>
                    <w:t>，</w:t>
                  </w:r>
                  <w:r>
                    <w:rPr>
                      <w:rFonts w:eastAsia="Times New Roman"/>
                      <w:spacing w:val="-1"/>
                      <w:szCs w:val="21"/>
                    </w:rPr>
                    <w:t>H=20m</w:t>
                  </w:r>
                  <w:r>
                    <w:rPr>
                      <w:spacing w:val="-1"/>
                      <w:szCs w:val="21"/>
                    </w:rPr>
                    <w:t>，</w:t>
                  </w:r>
                  <w:r>
                    <w:rPr>
                      <w:rFonts w:eastAsia="Times New Roman"/>
                      <w:spacing w:val="-1"/>
                      <w:szCs w:val="21"/>
                    </w:rPr>
                    <w:t>P=2.2kw</w:t>
                  </w:r>
                </w:p>
              </w:tc>
              <w:tc>
                <w:tcPr>
                  <w:tcW w:w="590" w:type="dxa"/>
                  <w:noWrap w:val="0"/>
                  <w:vAlign w:val="center"/>
                </w:tcPr>
                <w:p>
                  <w:pPr>
                    <w:jc w:val="center"/>
                    <w:rPr>
                      <w:rFonts w:eastAsia="Times New Roman"/>
                      <w:szCs w:val="21"/>
                    </w:rPr>
                  </w:pPr>
                  <w:r>
                    <w:rPr>
                      <w:rFonts w:eastAsia="Times New Roman"/>
                      <w:szCs w:val="21"/>
                    </w:rPr>
                    <w:t xml:space="preserve">1 </w:t>
                  </w:r>
                </w:p>
              </w:tc>
              <w:tc>
                <w:tcPr>
                  <w:tcW w:w="386" w:type="dxa"/>
                  <w:noWrap w:val="0"/>
                  <w:vAlign w:val="center"/>
                </w:tcPr>
                <w:p>
                  <w:pPr>
                    <w:jc w:val="center"/>
                    <w:rPr>
                      <w:szCs w:val="21"/>
                    </w:rPr>
                  </w:pPr>
                  <w:r>
                    <w:rPr>
                      <w:szCs w:val="21"/>
                    </w:rPr>
                    <w:t>台</w:t>
                  </w:r>
                </w:p>
              </w:tc>
              <w:tc>
                <w:tcPr>
                  <w:tcW w:w="1606" w:type="dxa"/>
                  <w:noWrap w:val="0"/>
                  <w:vAlign w:val="center"/>
                </w:tcPr>
                <w:p>
                  <w:pPr>
                    <w:jc w:val="center"/>
                    <w:rPr>
                      <w:szCs w:val="21"/>
                    </w:rPr>
                  </w:pPr>
                  <w:r>
                    <w:rPr>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2" w:type="dxa"/>
                  <w:noWrap w:val="0"/>
                  <w:vAlign w:val="center"/>
                </w:tcPr>
                <w:p>
                  <w:pPr>
                    <w:jc w:val="center"/>
                    <w:rPr>
                      <w:szCs w:val="21"/>
                    </w:rPr>
                  </w:pPr>
                  <w:r>
                    <w:rPr>
                      <w:szCs w:val="21"/>
                    </w:rPr>
                    <w:t>39</w:t>
                  </w:r>
                </w:p>
              </w:tc>
              <w:tc>
                <w:tcPr>
                  <w:tcW w:w="1994" w:type="dxa"/>
                  <w:noWrap w:val="0"/>
                  <w:vAlign w:val="center"/>
                </w:tcPr>
                <w:p>
                  <w:pPr>
                    <w:jc w:val="center"/>
                    <w:rPr>
                      <w:szCs w:val="21"/>
                      <w:lang w:val="zh-CN"/>
                    </w:rPr>
                  </w:pPr>
                  <w:r>
                    <w:rPr>
                      <w:spacing w:val="-1"/>
                      <w:szCs w:val="21"/>
                    </w:rPr>
                    <w:t>污泥池搅拌泵</w:t>
                  </w:r>
                </w:p>
              </w:tc>
              <w:tc>
                <w:tcPr>
                  <w:tcW w:w="3438" w:type="dxa"/>
                  <w:noWrap w:val="0"/>
                  <w:vAlign w:val="center"/>
                </w:tcPr>
                <w:p>
                  <w:pPr>
                    <w:jc w:val="center"/>
                    <w:rPr>
                      <w:szCs w:val="21"/>
                    </w:rPr>
                  </w:pPr>
                  <w:r>
                    <w:rPr>
                      <w:rFonts w:eastAsia="Times New Roman"/>
                      <w:spacing w:val="-1"/>
                      <w:szCs w:val="21"/>
                    </w:rPr>
                    <w:t>Q=15m</w:t>
                  </w:r>
                  <w:r>
                    <w:rPr>
                      <w:rFonts w:eastAsia="Times New Roman"/>
                      <w:spacing w:val="-1"/>
                      <w:szCs w:val="21"/>
                      <w:vertAlign w:val="superscript"/>
                    </w:rPr>
                    <w:t>3</w:t>
                  </w:r>
                  <w:r>
                    <w:rPr>
                      <w:rFonts w:eastAsia="Times New Roman"/>
                      <w:spacing w:val="-1"/>
                      <w:szCs w:val="21"/>
                    </w:rPr>
                    <w:t>/h</w:t>
                  </w:r>
                  <w:r>
                    <w:rPr>
                      <w:spacing w:val="-1"/>
                      <w:szCs w:val="21"/>
                    </w:rPr>
                    <w:t>，</w:t>
                  </w:r>
                  <w:r>
                    <w:rPr>
                      <w:rFonts w:eastAsia="Times New Roman"/>
                      <w:spacing w:val="-1"/>
                      <w:szCs w:val="21"/>
                    </w:rPr>
                    <w:t>H=20m</w:t>
                  </w:r>
                  <w:r>
                    <w:rPr>
                      <w:spacing w:val="-1"/>
                      <w:szCs w:val="21"/>
                    </w:rPr>
                    <w:t>，</w:t>
                  </w:r>
                  <w:r>
                    <w:rPr>
                      <w:rFonts w:eastAsia="Times New Roman"/>
                      <w:spacing w:val="-1"/>
                      <w:szCs w:val="21"/>
                    </w:rPr>
                    <w:t>P=2.2kw</w:t>
                  </w:r>
                </w:p>
              </w:tc>
              <w:tc>
                <w:tcPr>
                  <w:tcW w:w="590" w:type="dxa"/>
                  <w:noWrap w:val="0"/>
                  <w:vAlign w:val="center"/>
                </w:tcPr>
                <w:p>
                  <w:pPr>
                    <w:jc w:val="center"/>
                    <w:rPr>
                      <w:szCs w:val="21"/>
                    </w:rPr>
                  </w:pPr>
                  <w:r>
                    <w:rPr>
                      <w:rFonts w:eastAsia="Times New Roman"/>
                      <w:szCs w:val="21"/>
                    </w:rPr>
                    <w:t xml:space="preserve">1 </w:t>
                  </w:r>
                </w:p>
              </w:tc>
              <w:tc>
                <w:tcPr>
                  <w:tcW w:w="386" w:type="dxa"/>
                  <w:noWrap w:val="0"/>
                  <w:vAlign w:val="center"/>
                </w:tcPr>
                <w:p>
                  <w:pPr>
                    <w:jc w:val="center"/>
                    <w:rPr>
                      <w:szCs w:val="21"/>
                    </w:rPr>
                  </w:pPr>
                  <w:r>
                    <w:rPr>
                      <w:szCs w:val="21"/>
                    </w:rPr>
                    <w:t>台</w:t>
                  </w:r>
                </w:p>
              </w:tc>
              <w:tc>
                <w:tcPr>
                  <w:tcW w:w="1606" w:type="dxa"/>
                  <w:noWrap w:val="0"/>
                  <w:vAlign w:val="center"/>
                </w:tcPr>
                <w:p>
                  <w:pPr>
                    <w:jc w:val="center"/>
                    <w:rPr>
                      <w:szCs w:val="21"/>
                    </w:rPr>
                  </w:pPr>
                  <w:r>
                    <w:rPr>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2" w:type="dxa"/>
                  <w:noWrap w:val="0"/>
                  <w:vAlign w:val="center"/>
                </w:tcPr>
                <w:p>
                  <w:pPr>
                    <w:jc w:val="center"/>
                    <w:rPr>
                      <w:szCs w:val="21"/>
                    </w:rPr>
                  </w:pPr>
                  <w:r>
                    <w:rPr>
                      <w:szCs w:val="21"/>
                    </w:rPr>
                    <w:t>40</w:t>
                  </w:r>
                </w:p>
              </w:tc>
              <w:tc>
                <w:tcPr>
                  <w:tcW w:w="1994" w:type="dxa"/>
                  <w:noWrap w:val="0"/>
                  <w:vAlign w:val="center"/>
                </w:tcPr>
                <w:p>
                  <w:pPr>
                    <w:jc w:val="center"/>
                    <w:rPr>
                      <w:szCs w:val="21"/>
                      <w:lang w:val="zh-CN"/>
                    </w:rPr>
                  </w:pPr>
                  <w:r>
                    <w:rPr>
                      <w:rFonts w:eastAsia="Times New Roman"/>
                      <w:spacing w:val="-1"/>
                      <w:szCs w:val="21"/>
                    </w:rPr>
                    <w:t>PASG</w:t>
                  </w:r>
                  <w:r>
                    <w:rPr>
                      <w:szCs w:val="21"/>
                    </w:rPr>
                    <w:t>控制系统</w:t>
                  </w:r>
                </w:p>
              </w:tc>
              <w:tc>
                <w:tcPr>
                  <w:tcW w:w="3438" w:type="dxa"/>
                  <w:noWrap w:val="0"/>
                  <w:vAlign w:val="center"/>
                </w:tcPr>
                <w:p>
                  <w:pPr>
                    <w:jc w:val="center"/>
                    <w:rPr>
                      <w:szCs w:val="21"/>
                      <w:lang w:val="zh-CN"/>
                    </w:rPr>
                  </w:pPr>
                  <w:r>
                    <w:rPr>
                      <w:spacing w:val="-1"/>
                      <w:szCs w:val="21"/>
                    </w:rPr>
                    <w:t>KZA-01-1000</w:t>
                  </w:r>
                </w:p>
              </w:tc>
              <w:tc>
                <w:tcPr>
                  <w:tcW w:w="590" w:type="dxa"/>
                  <w:noWrap w:val="0"/>
                  <w:vAlign w:val="center"/>
                </w:tcPr>
                <w:p>
                  <w:pPr>
                    <w:jc w:val="center"/>
                    <w:rPr>
                      <w:szCs w:val="21"/>
                    </w:rPr>
                  </w:pPr>
                  <w:r>
                    <w:rPr>
                      <w:rFonts w:eastAsia="Times New Roman"/>
                      <w:szCs w:val="21"/>
                    </w:rPr>
                    <w:t xml:space="preserve">1 </w:t>
                  </w:r>
                </w:p>
              </w:tc>
              <w:tc>
                <w:tcPr>
                  <w:tcW w:w="386" w:type="dxa"/>
                  <w:noWrap w:val="0"/>
                  <w:vAlign w:val="center"/>
                </w:tcPr>
                <w:p>
                  <w:pPr>
                    <w:jc w:val="center"/>
                    <w:rPr>
                      <w:szCs w:val="21"/>
                    </w:rPr>
                  </w:pPr>
                  <w:r>
                    <w:rPr>
                      <w:szCs w:val="21"/>
                    </w:rPr>
                    <w:t>台</w:t>
                  </w:r>
                </w:p>
              </w:tc>
              <w:tc>
                <w:tcPr>
                  <w:tcW w:w="1606" w:type="dxa"/>
                  <w:noWrap w:val="0"/>
                  <w:vAlign w:val="center"/>
                </w:tcPr>
                <w:p>
                  <w:pPr>
                    <w:jc w:val="center"/>
                    <w:rPr>
                      <w:szCs w:val="21"/>
                    </w:rPr>
                  </w:pPr>
                  <w:r>
                    <w:rPr>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2" w:type="dxa"/>
                  <w:noWrap w:val="0"/>
                  <w:vAlign w:val="center"/>
                </w:tcPr>
                <w:p>
                  <w:pPr>
                    <w:jc w:val="center"/>
                    <w:rPr>
                      <w:szCs w:val="21"/>
                    </w:rPr>
                  </w:pPr>
                  <w:r>
                    <w:rPr>
                      <w:szCs w:val="21"/>
                    </w:rPr>
                    <w:t>41</w:t>
                  </w:r>
                </w:p>
              </w:tc>
              <w:tc>
                <w:tcPr>
                  <w:tcW w:w="1994" w:type="dxa"/>
                  <w:noWrap w:val="0"/>
                  <w:vAlign w:val="center"/>
                </w:tcPr>
                <w:p>
                  <w:pPr>
                    <w:jc w:val="center"/>
                    <w:rPr>
                      <w:szCs w:val="21"/>
                      <w:lang w:val="zh-CN"/>
                    </w:rPr>
                  </w:pPr>
                  <w:r>
                    <w:rPr>
                      <w:rFonts w:eastAsia="Times New Roman"/>
                      <w:spacing w:val="-1"/>
                      <w:szCs w:val="21"/>
                    </w:rPr>
                    <w:t>CIO</w:t>
                  </w:r>
                  <w:r>
                    <w:rPr>
                      <w:rFonts w:eastAsia="Times New Roman"/>
                      <w:spacing w:val="-1"/>
                      <w:szCs w:val="21"/>
                      <w:vertAlign w:val="subscript"/>
                    </w:rPr>
                    <w:t>2</w:t>
                  </w:r>
                  <w:r>
                    <w:rPr>
                      <w:szCs w:val="21"/>
                    </w:rPr>
                    <w:t>发生器</w:t>
                  </w:r>
                </w:p>
              </w:tc>
              <w:tc>
                <w:tcPr>
                  <w:tcW w:w="3438" w:type="dxa"/>
                  <w:noWrap w:val="0"/>
                  <w:vAlign w:val="center"/>
                </w:tcPr>
                <w:p>
                  <w:pPr>
                    <w:jc w:val="center"/>
                    <w:rPr>
                      <w:szCs w:val="21"/>
                      <w:lang w:val="zh-CN"/>
                    </w:rPr>
                  </w:pPr>
                  <w:r>
                    <w:rPr>
                      <w:szCs w:val="21"/>
                    </w:rPr>
                    <w:t>/</w:t>
                  </w:r>
                </w:p>
              </w:tc>
              <w:tc>
                <w:tcPr>
                  <w:tcW w:w="590" w:type="dxa"/>
                  <w:noWrap w:val="0"/>
                  <w:vAlign w:val="center"/>
                </w:tcPr>
                <w:p>
                  <w:pPr>
                    <w:jc w:val="center"/>
                    <w:rPr>
                      <w:szCs w:val="21"/>
                    </w:rPr>
                  </w:pPr>
                  <w:r>
                    <w:rPr>
                      <w:rFonts w:eastAsia="Times New Roman"/>
                      <w:szCs w:val="21"/>
                    </w:rPr>
                    <w:t xml:space="preserve">1 </w:t>
                  </w:r>
                </w:p>
              </w:tc>
              <w:tc>
                <w:tcPr>
                  <w:tcW w:w="386" w:type="dxa"/>
                  <w:noWrap w:val="0"/>
                  <w:vAlign w:val="center"/>
                </w:tcPr>
                <w:p>
                  <w:pPr>
                    <w:jc w:val="center"/>
                    <w:rPr>
                      <w:szCs w:val="21"/>
                    </w:rPr>
                  </w:pPr>
                  <w:r>
                    <w:rPr>
                      <w:szCs w:val="21"/>
                    </w:rPr>
                    <w:t>套</w:t>
                  </w:r>
                </w:p>
              </w:tc>
              <w:tc>
                <w:tcPr>
                  <w:tcW w:w="1606" w:type="dxa"/>
                  <w:noWrap w:val="0"/>
                  <w:vAlign w:val="center"/>
                </w:tcPr>
                <w:p>
                  <w:pPr>
                    <w:jc w:val="center"/>
                    <w:rPr>
                      <w:szCs w:val="21"/>
                    </w:rPr>
                  </w:pPr>
                  <w:r>
                    <w:rPr>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2" w:type="dxa"/>
                  <w:noWrap w:val="0"/>
                  <w:vAlign w:val="center"/>
                </w:tcPr>
                <w:p>
                  <w:pPr>
                    <w:jc w:val="center"/>
                    <w:rPr>
                      <w:szCs w:val="21"/>
                    </w:rPr>
                  </w:pPr>
                  <w:r>
                    <w:rPr>
                      <w:szCs w:val="21"/>
                    </w:rPr>
                    <w:t>42</w:t>
                  </w:r>
                </w:p>
              </w:tc>
              <w:tc>
                <w:tcPr>
                  <w:tcW w:w="1994" w:type="dxa"/>
                  <w:noWrap w:val="0"/>
                  <w:vAlign w:val="center"/>
                </w:tcPr>
                <w:p>
                  <w:pPr>
                    <w:jc w:val="center"/>
                    <w:rPr>
                      <w:szCs w:val="21"/>
                      <w:lang w:val="zh-CN"/>
                    </w:rPr>
                  </w:pPr>
                  <w:r>
                    <w:rPr>
                      <w:szCs w:val="21"/>
                    </w:rPr>
                    <w:t>加药装置</w:t>
                  </w:r>
                </w:p>
              </w:tc>
              <w:tc>
                <w:tcPr>
                  <w:tcW w:w="3438" w:type="dxa"/>
                  <w:noWrap w:val="0"/>
                  <w:vAlign w:val="center"/>
                </w:tcPr>
                <w:p>
                  <w:pPr>
                    <w:jc w:val="center"/>
                    <w:rPr>
                      <w:szCs w:val="21"/>
                      <w:lang w:val="zh-CN"/>
                    </w:rPr>
                  </w:pPr>
                </w:p>
              </w:tc>
              <w:tc>
                <w:tcPr>
                  <w:tcW w:w="590" w:type="dxa"/>
                  <w:noWrap w:val="0"/>
                  <w:vAlign w:val="center"/>
                </w:tcPr>
                <w:p>
                  <w:pPr>
                    <w:jc w:val="center"/>
                    <w:rPr>
                      <w:szCs w:val="21"/>
                    </w:rPr>
                  </w:pPr>
                  <w:r>
                    <w:rPr>
                      <w:rFonts w:eastAsia="Times New Roman"/>
                      <w:szCs w:val="21"/>
                    </w:rPr>
                    <w:t xml:space="preserve">1 </w:t>
                  </w:r>
                </w:p>
              </w:tc>
              <w:tc>
                <w:tcPr>
                  <w:tcW w:w="386" w:type="dxa"/>
                  <w:noWrap w:val="0"/>
                  <w:vAlign w:val="center"/>
                </w:tcPr>
                <w:p>
                  <w:pPr>
                    <w:jc w:val="center"/>
                    <w:rPr>
                      <w:szCs w:val="21"/>
                    </w:rPr>
                  </w:pPr>
                  <w:r>
                    <w:rPr>
                      <w:szCs w:val="21"/>
                    </w:rPr>
                    <w:t>套</w:t>
                  </w:r>
                </w:p>
              </w:tc>
              <w:tc>
                <w:tcPr>
                  <w:tcW w:w="1606" w:type="dxa"/>
                  <w:noWrap w:val="0"/>
                  <w:vAlign w:val="center"/>
                </w:tcPr>
                <w:p>
                  <w:pPr>
                    <w:jc w:val="center"/>
                    <w:rPr>
                      <w:szCs w:val="21"/>
                    </w:rPr>
                  </w:pPr>
                  <w:r>
                    <w:rPr>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2" w:type="dxa"/>
                  <w:noWrap w:val="0"/>
                  <w:vAlign w:val="center"/>
                </w:tcPr>
                <w:p>
                  <w:pPr>
                    <w:jc w:val="center"/>
                    <w:rPr>
                      <w:szCs w:val="21"/>
                    </w:rPr>
                  </w:pPr>
                  <w:r>
                    <w:rPr>
                      <w:szCs w:val="21"/>
                    </w:rPr>
                    <w:t>43</w:t>
                  </w:r>
                </w:p>
              </w:tc>
              <w:tc>
                <w:tcPr>
                  <w:tcW w:w="1994" w:type="dxa"/>
                  <w:noWrap w:val="0"/>
                  <w:vAlign w:val="center"/>
                </w:tcPr>
                <w:p>
                  <w:pPr>
                    <w:jc w:val="center"/>
                    <w:rPr>
                      <w:szCs w:val="21"/>
                      <w:lang w:val="zh-CN"/>
                    </w:rPr>
                  </w:pPr>
                  <w:r>
                    <w:rPr>
                      <w:szCs w:val="21"/>
                    </w:rPr>
                    <w:t>风机</w:t>
                  </w:r>
                </w:p>
              </w:tc>
              <w:tc>
                <w:tcPr>
                  <w:tcW w:w="3438" w:type="dxa"/>
                  <w:noWrap w:val="0"/>
                  <w:vAlign w:val="center"/>
                </w:tcPr>
                <w:p>
                  <w:pPr>
                    <w:jc w:val="center"/>
                    <w:rPr>
                      <w:szCs w:val="21"/>
                      <w:lang w:val="zh-CN"/>
                    </w:rPr>
                  </w:pPr>
                  <w:r>
                    <w:rPr>
                      <w:rFonts w:eastAsia="Times New Roman"/>
                      <w:spacing w:val="-1"/>
                      <w:szCs w:val="21"/>
                    </w:rPr>
                    <w:t>Q=815m³/h</w:t>
                  </w:r>
                  <w:r>
                    <w:rPr>
                      <w:rFonts w:eastAsia="Times New Roman"/>
                      <w:szCs w:val="21"/>
                    </w:rPr>
                    <w:t xml:space="preserve"> P=2180pa </w:t>
                  </w:r>
                  <w:r>
                    <w:rPr>
                      <w:spacing w:val="-2"/>
                      <w:szCs w:val="21"/>
                    </w:rPr>
                    <w:t>电机</w:t>
                  </w:r>
                  <w:r>
                    <w:rPr>
                      <w:spacing w:val="-55"/>
                      <w:szCs w:val="21"/>
                    </w:rPr>
                    <w:t xml:space="preserve"> </w:t>
                  </w:r>
                  <w:r>
                    <w:rPr>
                      <w:rFonts w:eastAsia="Times New Roman"/>
                      <w:spacing w:val="-1"/>
                      <w:szCs w:val="21"/>
                    </w:rPr>
                    <w:t>P=1.1KW</w:t>
                  </w:r>
                </w:p>
              </w:tc>
              <w:tc>
                <w:tcPr>
                  <w:tcW w:w="590" w:type="dxa"/>
                  <w:noWrap w:val="0"/>
                  <w:vAlign w:val="center"/>
                </w:tcPr>
                <w:p>
                  <w:pPr>
                    <w:jc w:val="center"/>
                    <w:rPr>
                      <w:szCs w:val="21"/>
                    </w:rPr>
                  </w:pPr>
                  <w:r>
                    <w:rPr>
                      <w:rFonts w:eastAsia="Times New Roman"/>
                      <w:szCs w:val="21"/>
                    </w:rPr>
                    <w:t xml:space="preserve">2 </w:t>
                  </w:r>
                </w:p>
              </w:tc>
              <w:tc>
                <w:tcPr>
                  <w:tcW w:w="386" w:type="dxa"/>
                  <w:noWrap w:val="0"/>
                  <w:vAlign w:val="center"/>
                </w:tcPr>
                <w:p>
                  <w:pPr>
                    <w:jc w:val="center"/>
                    <w:rPr>
                      <w:szCs w:val="21"/>
                    </w:rPr>
                  </w:pPr>
                  <w:r>
                    <w:rPr>
                      <w:szCs w:val="21"/>
                    </w:rPr>
                    <w:t>台</w:t>
                  </w:r>
                </w:p>
              </w:tc>
              <w:tc>
                <w:tcPr>
                  <w:tcW w:w="1606" w:type="dxa"/>
                  <w:noWrap w:val="0"/>
                  <w:vAlign w:val="center"/>
                </w:tcPr>
                <w:p>
                  <w:pPr>
                    <w:jc w:val="center"/>
                    <w:rPr>
                      <w:szCs w:val="21"/>
                    </w:rPr>
                  </w:pPr>
                  <w:r>
                    <w:rPr>
                      <w:szCs w:val="21"/>
                    </w:rPr>
                    <w:t>现有</w:t>
                  </w:r>
                </w:p>
              </w:tc>
            </w:tr>
          </w:tbl>
          <w:p>
            <w:pPr>
              <w:adjustRightInd w:val="0"/>
              <w:snapToGrid w:val="0"/>
              <w:spacing w:before="120" w:beforeLines="50" w:line="360" w:lineRule="auto"/>
              <w:rPr>
                <w:b/>
                <w:sz w:val="24"/>
              </w:rPr>
            </w:pPr>
            <w:r>
              <w:rPr>
                <w:b/>
                <w:sz w:val="24"/>
              </w:rPr>
              <w:t>9、公用工程</w:t>
            </w:r>
          </w:p>
          <w:p>
            <w:pPr>
              <w:adjustRightInd w:val="0"/>
              <w:snapToGrid w:val="0"/>
              <w:spacing w:line="360" w:lineRule="auto"/>
              <w:ind w:firstLine="482" w:firstLineChars="200"/>
              <w:rPr>
                <w:b/>
                <w:sz w:val="24"/>
              </w:rPr>
            </w:pPr>
            <w:r>
              <w:rPr>
                <w:b/>
                <w:sz w:val="24"/>
              </w:rPr>
              <w:t>（1）给水</w:t>
            </w:r>
          </w:p>
          <w:p>
            <w:pPr>
              <w:adjustRightInd w:val="0"/>
              <w:snapToGrid w:val="0"/>
              <w:spacing w:line="360" w:lineRule="auto"/>
              <w:ind w:firstLine="480" w:firstLineChars="200"/>
              <w:rPr>
                <w:bCs/>
                <w:sz w:val="24"/>
              </w:rPr>
            </w:pPr>
            <w:r>
              <w:rPr>
                <w:bCs/>
                <w:sz w:val="24"/>
              </w:rPr>
              <w:t>项目区域给水来自于市政管网，厂内给水干管呈环状布置，除</w:t>
            </w:r>
            <w:r>
              <w:rPr>
                <w:rFonts w:hint="eastAsia"/>
                <w:bCs/>
                <w:sz w:val="24"/>
              </w:rPr>
              <w:t>做</w:t>
            </w:r>
            <w:r>
              <w:rPr>
                <w:bCs/>
                <w:sz w:val="24"/>
              </w:rPr>
              <w:t>生活用水外，同时兼作厂区低压消防给水系统，在全厂根据需要设置集中给水栓、消火栓。</w:t>
            </w:r>
          </w:p>
          <w:p>
            <w:pPr>
              <w:adjustRightInd w:val="0"/>
              <w:snapToGrid w:val="0"/>
              <w:spacing w:line="360" w:lineRule="auto"/>
              <w:ind w:firstLine="482" w:firstLineChars="200"/>
              <w:rPr>
                <w:b/>
                <w:sz w:val="24"/>
              </w:rPr>
            </w:pPr>
            <w:r>
              <w:rPr>
                <w:b/>
                <w:sz w:val="24"/>
              </w:rPr>
              <w:t>（2）排水</w:t>
            </w:r>
          </w:p>
          <w:p>
            <w:pPr>
              <w:adjustRightInd w:val="0"/>
              <w:snapToGrid w:val="0"/>
              <w:spacing w:line="360" w:lineRule="auto"/>
              <w:ind w:firstLine="480" w:firstLineChars="200"/>
            </w:pPr>
            <w:r>
              <w:rPr>
                <w:bCs/>
                <w:sz w:val="24"/>
              </w:rPr>
              <w:t>项目厂区内排水系统为雨污水分流制，雨水经收集后排入室外雨水管网，最终排入地表水。厂内生活污水、生产废水等经管道收集后汇入提升池，与进厂污水一并处理。</w:t>
            </w:r>
          </w:p>
          <w:p>
            <w:pPr>
              <w:adjustRightInd w:val="0"/>
              <w:snapToGrid w:val="0"/>
              <w:spacing w:line="360" w:lineRule="auto"/>
              <w:ind w:firstLine="482" w:firstLineChars="200"/>
              <w:rPr>
                <w:b/>
                <w:sz w:val="24"/>
              </w:rPr>
            </w:pPr>
            <w:r>
              <w:rPr>
                <w:b/>
                <w:sz w:val="24"/>
              </w:rPr>
              <w:t>（3）供电</w:t>
            </w:r>
          </w:p>
          <w:p>
            <w:pPr>
              <w:adjustRightInd w:val="0"/>
              <w:snapToGrid w:val="0"/>
              <w:spacing w:line="360" w:lineRule="auto"/>
              <w:ind w:firstLine="480" w:firstLineChars="200"/>
              <w:rPr>
                <w:bCs/>
                <w:sz w:val="24"/>
              </w:rPr>
            </w:pPr>
            <w:r>
              <w:rPr>
                <w:bCs/>
                <w:sz w:val="24"/>
              </w:rPr>
              <w:t>污水厂区原箱变容量80kVA，经核算不能满足改造后所有用电负荷，本次改造拟拆除原箱变后新建一套200kVA箱式变压器为全厂供电。按二级负荷等级设计，增加一台100kW发电机作为备用电源，</w:t>
            </w:r>
            <w:r>
              <w:rPr>
                <w:rFonts w:hint="eastAsia"/>
                <w:bCs/>
                <w:sz w:val="24"/>
              </w:rPr>
              <w:t>供电</w:t>
            </w:r>
            <w:r>
              <w:rPr>
                <w:bCs/>
                <w:sz w:val="24"/>
              </w:rPr>
              <w:t>断开后重要负荷运行。</w:t>
            </w:r>
          </w:p>
          <w:p>
            <w:pPr>
              <w:adjustRightInd w:val="0"/>
              <w:snapToGrid w:val="0"/>
              <w:spacing w:line="360" w:lineRule="auto"/>
              <w:rPr>
                <w:b/>
                <w:sz w:val="24"/>
              </w:rPr>
            </w:pPr>
            <w:r>
              <w:rPr>
                <w:b/>
                <w:sz w:val="24"/>
              </w:rPr>
              <w:t>10、平面布局合理性分析</w:t>
            </w:r>
          </w:p>
          <w:p>
            <w:pPr>
              <w:adjustRightInd w:val="0"/>
              <w:snapToGrid w:val="0"/>
              <w:spacing w:line="360" w:lineRule="auto"/>
              <w:ind w:firstLine="480" w:firstLineChars="200"/>
              <w:rPr>
                <w:bCs/>
                <w:sz w:val="24"/>
              </w:rPr>
            </w:pPr>
            <w:r>
              <w:rPr>
                <w:bCs/>
                <w:sz w:val="24"/>
              </w:rPr>
              <w:t>厂区的总体布置以满足污水处理工艺要求为前提，对厂内各种建（构）筑物及相关设施进行合理布置，做到功能</w:t>
            </w:r>
            <w:r>
              <w:rPr>
                <w:rFonts w:hint="eastAsia"/>
                <w:bCs/>
                <w:sz w:val="24"/>
              </w:rPr>
              <w:t>分区</w:t>
            </w:r>
            <w:r>
              <w:rPr>
                <w:bCs/>
                <w:sz w:val="24"/>
              </w:rPr>
              <w:t>明确、生产管理有序、场地使用经济合理。</w:t>
            </w:r>
          </w:p>
          <w:p>
            <w:pPr>
              <w:adjustRightInd w:val="0"/>
              <w:snapToGrid w:val="0"/>
              <w:spacing w:line="360" w:lineRule="auto"/>
              <w:ind w:firstLine="480" w:firstLineChars="200"/>
              <w:rPr>
                <w:bCs/>
                <w:sz w:val="24"/>
              </w:rPr>
            </w:pPr>
            <w:r>
              <w:rPr>
                <w:bCs/>
                <w:sz w:val="24"/>
              </w:rPr>
              <w:t>厂区内现有污水处理设施均不变动，仅在厂区空地新增污水处理设施；厂区主要水处理建构筑物根据工艺流程要求由西向东布置，分别为原提升池、原格栅渠、原初沉池、原厌氧池+二沉池、新增调节池+污泥池、一体化设备、综合生化池、清水池（接触消毒池）。生产配套建筑物在厂区南侧。污泥处理系统布置在厂区东南侧。</w:t>
            </w:r>
          </w:p>
          <w:p>
            <w:pPr>
              <w:adjustRightInd w:val="0"/>
              <w:snapToGrid w:val="0"/>
              <w:spacing w:line="360" w:lineRule="auto"/>
              <w:ind w:firstLine="480" w:firstLineChars="200"/>
              <w:rPr>
                <w:bCs/>
                <w:sz w:val="24"/>
              </w:rPr>
            </w:pPr>
            <w:r>
              <w:rPr>
                <w:bCs/>
                <w:sz w:val="24"/>
              </w:rPr>
              <w:t>根据厂区地形、风向、道路进出条件、工艺流程、安全防火环境要求进行设计。厂区围墙内无较高建筑物，厂外是绿化带或道路，有利于安全防火要求。厂内道路采用环状布置，干道宽3.5-4m，人行道路宽2.0m，与现状道路连接，形成环形通道。所有厂内建（构）筑物与围墙间距均大于2m，厂内建（构）筑物间距，均满足《建筑防火设计规范》的有关规定。在总平面设计中，充分考虑了消防通道的顺畅、便捷，并按防火规范要求布置室外消火栓。</w:t>
            </w:r>
          </w:p>
          <w:p>
            <w:pPr>
              <w:adjustRightInd w:val="0"/>
              <w:snapToGrid w:val="0"/>
              <w:spacing w:line="360" w:lineRule="auto"/>
              <w:ind w:firstLine="480" w:firstLineChars="200"/>
              <w:rPr>
                <w:bCs/>
                <w:sz w:val="24"/>
              </w:rPr>
            </w:pPr>
            <w:r>
              <w:rPr>
                <w:bCs/>
                <w:sz w:val="24"/>
              </w:rPr>
              <w:t>整个厂区的绿化布置要既符合简单经济又要综合考虑与周边环境相协调。厂区绿化以艳丽的色彩植物为主，辅以适当灌木或小乔木。花卉应选株型矮小、分枝密集、花色鲜艳、花期较长的种类；外围以花代草环绕，使花坛花团锦簇，高矮有序，并具有很强的观赏性。</w:t>
            </w:r>
          </w:p>
          <w:p>
            <w:pPr>
              <w:adjustRightInd w:val="0"/>
              <w:snapToGrid w:val="0"/>
              <w:spacing w:line="360" w:lineRule="auto"/>
              <w:ind w:firstLine="480" w:firstLineChars="200"/>
              <w:rPr>
                <w:bCs/>
                <w:szCs w:val="21"/>
              </w:rPr>
            </w:pPr>
            <w:r>
              <w:rPr>
                <w:bCs/>
                <w:sz w:val="24"/>
              </w:rPr>
              <w:t>综上所述，本项目污水处理厂在横向设计上布局合理紧凑，分区明确，在纵向设计上也结合自然地形高程分布，尽量使废水在各构筑物间实现重力流，总图已从环境角度优化，对外环境影响不明显。项目总图布置从环保角度可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3" w:hRule="atLeast"/>
          <w:jc w:val="center"/>
        </w:trPr>
        <w:tc>
          <w:tcPr>
            <w:tcW w:w="230" w:type="pct"/>
            <w:noWrap w:val="0"/>
            <w:vAlign w:val="center"/>
          </w:tcPr>
          <w:p>
            <w:pPr>
              <w:pStyle w:val="28"/>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工艺流程和产排污环节</w:t>
            </w:r>
          </w:p>
        </w:tc>
        <w:tc>
          <w:tcPr>
            <w:tcW w:w="4770" w:type="pct"/>
            <w:noWrap w:val="0"/>
            <w:vAlign w:val="top"/>
          </w:tcPr>
          <w:p>
            <w:pPr>
              <w:adjustRightInd w:val="0"/>
              <w:snapToGrid w:val="0"/>
              <w:spacing w:line="360" w:lineRule="auto"/>
              <w:rPr>
                <w:b/>
                <w:sz w:val="24"/>
              </w:rPr>
            </w:pPr>
            <w:r>
              <w:rPr>
                <w:b/>
                <w:sz w:val="24"/>
              </w:rPr>
              <w:t>一、施工期项目工艺流程及产排污环节</w:t>
            </w:r>
          </w:p>
          <w:p>
            <w:pPr>
              <w:adjustRightInd w:val="0"/>
              <w:snapToGrid w:val="0"/>
              <w:spacing w:line="360" w:lineRule="auto"/>
              <w:ind w:firstLine="480" w:firstLineChars="200"/>
              <w:rPr>
                <w:bCs/>
                <w:sz w:val="24"/>
              </w:rPr>
            </w:pPr>
            <w:r>
              <w:rPr>
                <w:bCs/>
                <w:sz w:val="24"/>
              </w:rPr>
              <w:t>项目在现有污水处理厂进行改扩建，施工过程以机械施工为主，大致分为基础施工（部分设施拆除）、主体施工、设备安装三大阶段，不同阶段所采用的设备有所不同，</w:t>
            </w:r>
            <w:r>
              <w:rPr>
                <w:b/>
                <w:sz w:val="24"/>
              </w:rPr>
              <w:t>项目施工过程采用商品混凝土，不在场区设置混凝土拌合站，项目建设地内不建设大型的原料场，只设置小面积的临时原料堆场。项目不设置施工营地，租用附近居民住房。</w:t>
            </w:r>
          </w:p>
          <w:p>
            <w:pPr>
              <w:autoSpaceDE w:val="0"/>
              <w:autoSpaceDN w:val="0"/>
              <w:spacing w:line="360" w:lineRule="auto"/>
              <w:ind w:firstLine="480" w:firstLineChars="200"/>
              <w:rPr>
                <w:kern w:val="0"/>
                <w:sz w:val="24"/>
              </w:rPr>
            </w:pPr>
            <w:r>
              <w:rPr>
                <w:kern w:val="0"/>
                <w:sz w:val="24"/>
              </w:rPr>
              <w:t>项目采用钢结构一体化设备，钢结构可在厂里预加工后运输到现场，目前较先进的工艺为集装箱式拼装，将各段分段设计、加工，然后运输到现场拼装后，形成不同工艺段，灵活地组装成一套处理设施。</w:t>
            </w:r>
          </w:p>
          <w:p>
            <w:pPr>
              <w:autoSpaceDE w:val="0"/>
              <w:autoSpaceDN w:val="0"/>
              <w:spacing w:line="360" w:lineRule="auto"/>
              <w:ind w:firstLine="482" w:firstLineChars="200"/>
              <w:rPr>
                <w:b/>
                <w:bCs/>
                <w:sz w:val="24"/>
              </w:rPr>
            </w:pPr>
            <w:r>
              <w:rPr>
                <w:b/>
                <w:bCs/>
                <w:kern w:val="0"/>
                <w:sz w:val="24"/>
              </w:rPr>
              <w:t>1、施工期污水处理厂及污水提升泵站施工工艺及产污节点</w:t>
            </w:r>
          </w:p>
          <w:p>
            <w:pPr>
              <w:tabs>
                <w:tab w:val="left" w:pos="484"/>
              </w:tabs>
              <w:spacing w:line="360" w:lineRule="auto"/>
              <w:jc w:val="center"/>
              <w:rPr>
                <w:b/>
                <w:bCs/>
                <w:sz w:val="24"/>
              </w:rPr>
            </w:pPr>
            <w:r>
              <w:object>
                <v:shape id="_x0000_i1025" o:spt="75" type="#_x0000_t75" style="height:159.05pt;width:258.65pt;" o:ole="t" filled="f" o:preferrelative="t" stroked="f" coordsize="21600,21600">
                  <v:path/>
                  <v:fill on="f" alignshape="1" focussize="0,0"/>
                  <v:stroke on="f"/>
                  <v:imagedata r:id="rId12" o:title=""/>
                  <o:lock v:ext="edit" aspectratio="t"/>
                  <w10:wrap type="none"/>
                  <w10:anchorlock/>
                </v:shape>
                <o:OLEObject Type="Embed" ProgID="Visio.Drawing.15" ShapeID="_x0000_i1025" DrawAspect="Content" ObjectID="_1468075725" r:id="rId11">
                  <o:LockedField>false</o:LockedField>
                </o:OLEObject>
              </w:object>
            </w:r>
          </w:p>
          <w:p>
            <w:pPr>
              <w:tabs>
                <w:tab w:val="left" w:pos="484"/>
              </w:tabs>
              <w:ind w:firstLine="480" w:firstLineChars="200"/>
              <w:jc w:val="center"/>
              <w:rPr>
                <w:rFonts w:eastAsia="黑体"/>
                <w:sz w:val="24"/>
              </w:rPr>
            </w:pPr>
            <w:r>
              <w:rPr>
                <w:rFonts w:eastAsia="黑体"/>
                <w:sz w:val="24"/>
              </w:rPr>
              <w:t>图2-1  施工期施工流程及产污环节</w:t>
            </w:r>
          </w:p>
          <w:p>
            <w:pPr>
              <w:adjustRightInd w:val="0"/>
              <w:snapToGrid w:val="0"/>
              <w:spacing w:line="360" w:lineRule="auto"/>
              <w:ind w:firstLine="482" w:firstLineChars="200"/>
              <w:rPr>
                <w:b/>
                <w:sz w:val="24"/>
              </w:rPr>
            </w:pPr>
            <w:r>
              <w:rPr>
                <w:b/>
                <w:sz w:val="24"/>
              </w:rPr>
              <w:t>2、施工期主要污染环节</w:t>
            </w:r>
          </w:p>
          <w:p>
            <w:pPr>
              <w:adjustRightInd w:val="0"/>
              <w:snapToGrid w:val="0"/>
              <w:spacing w:line="360" w:lineRule="auto"/>
              <w:ind w:firstLine="480" w:firstLineChars="200"/>
              <w:rPr>
                <w:bCs/>
                <w:sz w:val="24"/>
              </w:rPr>
            </w:pPr>
            <w:r>
              <w:rPr>
                <w:bCs/>
                <w:sz w:val="24"/>
              </w:rPr>
              <w:t>本项目施工期主要为通川区双龙镇污水处理厂建设项目，包括基础工程、主体工程以及附属工程等施工，其主要污染环节为：</w:t>
            </w:r>
          </w:p>
          <w:p>
            <w:pPr>
              <w:adjustRightInd w:val="0"/>
              <w:snapToGrid w:val="0"/>
              <w:spacing w:line="360" w:lineRule="auto"/>
              <w:ind w:firstLine="480" w:firstLineChars="200"/>
              <w:rPr>
                <w:bCs/>
                <w:sz w:val="24"/>
              </w:rPr>
            </w:pPr>
            <w:r>
              <w:rPr>
                <w:bCs/>
                <w:sz w:val="24"/>
              </w:rPr>
              <w:t>（1）废气：基坑开挖、主体工程施工、建筑垃圾清运等过程中产生的扬尘；燃油机械施工作业排放的尾气。</w:t>
            </w:r>
          </w:p>
          <w:p>
            <w:pPr>
              <w:adjustRightInd w:val="0"/>
              <w:snapToGrid w:val="0"/>
              <w:spacing w:line="360" w:lineRule="auto"/>
              <w:ind w:firstLine="480" w:firstLineChars="200"/>
              <w:rPr>
                <w:bCs/>
                <w:sz w:val="24"/>
              </w:rPr>
            </w:pPr>
            <w:r>
              <w:rPr>
                <w:bCs/>
                <w:sz w:val="24"/>
              </w:rPr>
              <w:t>（2）废水：施工人员产生的生活污水；地基的开挖、混凝土养护以及运输车辆、施工动力设备、机械设备的清洗等产生的施工场地废水；围堰基坑水。</w:t>
            </w:r>
          </w:p>
          <w:p>
            <w:pPr>
              <w:adjustRightInd w:val="0"/>
              <w:snapToGrid w:val="0"/>
              <w:spacing w:line="360" w:lineRule="auto"/>
              <w:ind w:firstLine="480" w:firstLineChars="200"/>
              <w:rPr>
                <w:bCs/>
                <w:sz w:val="24"/>
              </w:rPr>
            </w:pPr>
            <w:r>
              <w:rPr>
                <w:bCs/>
                <w:sz w:val="24"/>
              </w:rPr>
              <w:t>（3）噪声：基坑开挖、主体工程施、设备安装调试工等过程中各类机械、运输车辆产生的噪声。</w:t>
            </w:r>
          </w:p>
          <w:p>
            <w:pPr>
              <w:adjustRightInd w:val="0"/>
              <w:snapToGrid w:val="0"/>
              <w:spacing w:line="360" w:lineRule="auto"/>
              <w:ind w:firstLine="480" w:firstLineChars="200"/>
              <w:rPr>
                <w:bCs/>
                <w:sz w:val="24"/>
              </w:rPr>
            </w:pPr>
            <w:r>
              <w:rPr>
                <w:bCs/>
                <w:sz w:val="24"/>
              </w:rPr>
              <w:t>（4）固废：建筑垃圾，基坑开挖产生的弃土；施工人员的生活垃圾。</w:t>
            </w:r>
          </w:p>
          <w:p>
            <w:pPr>
              <w:adjustRightInd w:val="0"/>
              <w:snapToGrid w:val="0"/>
              <w:spacing w:line="360" w:lineRule="auto"/>
              <w:rPr>
                <w:b/>
                <w:sz w:val="24"/>
              </w:rPr>
            </w:pPr>
            <w:r>
              <w:rPr>
                <w:b/>
                <w:sz w:val="24"/>
              </w:rPr>
              <w:t>二、运营期项目工艺流程及产污环节</w:t>
            </w:r>
          </w:p>
          <w:p>
            <w:pPr>
              <w:adjustRightInd w:val="0"/>
              <w:snapToGrid w:val="0"/>
              <w:spacing w:line="360" w:lineRule="auto"/>
              <w:rPr>
                <w:b/>
                <w:sz w:val="24"/>
              </w:rPr>
            </w:pPr>
            <w:r>
              <w:rPr>
                <w:b/>
                <w:sz w:val="24"/>
              </w:rPr>
              <w:t>（一）污水可生化性分析</w:t>
            </w:r>
          </w:p>
          <w:p>
            <w:pPr>
              <w:adjustRightInd w:val="0"/>
              <w:snapToGrid w:val="0"/>
              <w:spacing w:line="360" w:lineRule="auto"/>
              <w:ind w:firstLine="480" w:firstLineChars="200"/>
              <w:rPr>
                <w:bCs/>
                <w:sz w:val="24"/>
              </w:rPr>
            </w:pPr>
            <w:r>
              <w:rPr>
                <w:bCs/>
                <w:sz w:val="24"/>
              </w:rPr>
              <w:t>本项目尾水水质主要指标执行《城镇污水处理厂污染物排放标准》（GB18918-2002）中一级A标准。</w:t>
            </w:r>
          </w:p>
          <w:p>
            <w:pPr>
              <w:adjustRightInd w:val="0"/>
              <w:snapToGrid w:val="0"/>
              <w:spacing w:line="360" w:lineRule="auto"/>
              <w:ind w:firstLine="482" w:firstLineChars="200"/>
              <w:rPr>
                <w:b/>
                <w:sz w:val="24"/>
              </w:rPr>
            </w:pPr>
            <w:r>
              <w:rPr>
                <w:b/>
                <w:sz w:val="24"/>
              </w:rPr>
              <w:t>1、污水处理去除率</w:t>
            </w:r>
          </w:p>
          <w:p>
            <w:pPr>
              <w:adjustRightInd w:val="0"/>
              <w:snapToGrid w:val="0"/>
              <w:spacing w:line="360" w:lineRule="auto"/>
              <w:ind w:firstLine="480" w:firstLineChars="200"/>
              <w:rPr>
                <w:bCs/>
                <w:sz w:val="24"/>
              </w:rPr>
            </w:pPr>
            <w:r>
              <w:rPr>
                <w:bCs/>
                <w:sz w:val="24"/>
              </w:rPr>
              <w:t>根据前文分析、研究、预测并确定的进水水质以及出水水质，可知各项污染物要求的去除率，主要污染物进出水浓度及去除率详见下表。</w:t>
            </w:r>
          </w:p>
          <w:p>
            <w:pPr>
              <w:adjustRightInd w:val="0"/>
              <w:snapToGrid w:val="0"/>
              <w:spacing w:line="276" w:lineRule="auto"/>
              <w:jc w:val="center"/>
              <w:rPr>
                <w:rFonts w:eastAsia="黑体"/>
                <w:bCs/>
                <w:sz w:val="24"/>
              </w:rPr>
            </w:pPr>
            <w:r>
              <w:rPr>
                <w:rFonts w:eastAsia="黑体"/>
                <w:bCs/>
                <w:sz w:val="24"/>
              </w:rPr>
              <w:t>表2-8  主要污染物进出水水质及去除率</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83"/>
              <w:gridCol w:w="1081"/>
              <w:gridCol w:w="1173"/>
              <w:gridCol w:w="1163"/>
              <w:gridCol w:w="1086"/>
              <w:gridCol w:w="1066"/>
              <w:gridCol w:w="10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59" w:type="pct"/>
                  <w:shd w:val="clear" w:color="auto" w:fill="CCFFFF"/>
                  <w:noWrap w:val="0"/>
                  <w:vAlign w:val="center"/>
                </w:tcPr>
                <w:p>
                  <w:pPr>
                    <w:jc w:val="center"/>
                    <w:rPr>
                      <w:b/>
                      <w:bCs/>
                      <w:szCs w:val="21"/>
                    </w:rPr>
                  </w:pPr>
                  <w:r>
                    <w:rPr>
                      <w:b/>
                      <w:bCs/>
                      <w:szCs w:val="21"/>
                    </w:rPr>
                    <w:t>水质指标</w:t>
                  </w:r>
                </w:p>
              </w:tc>
              <w:tc>
                <w:tcPr>
                  <w:tcW w:w="642" w:type="pct"/>
                  <w:shd w:val="clear" w:color="auto" w:fill="CCFFFF"/>
                  <w:noWrap w:val="0"/>
                  <w:vAlign w:val="center"/>
                </w:tcPr>
                <w:p>
                  <w:pPr>
                    <w:jc w:val="center"/>
                    <w:rPr>
                      <w:b/>
                      <w:bCs/>
                      <w:szCs w:val="21"/>
                    </w:rPr>
                  </w:pPr>
                  <w:r>
                    <w:rPr>
                      <w:b/>
                      <w:bCs/>
                      <w:szCs w:val="21"/>
                    </w:rPr>
                    <w:t>CODcr</w:t>
                  </w:r>
                </w:p>
              </w:tc>
              <w:tc>
                <w:tcPr>
                  <w:tcW w:w="697" w:type="pct"/>
                  <w:shd w:val="clear" w:color="auto" w:fill="CCFFFF"/>
                  <w:noWrap w:val="0"/>
                  <w:vAlign w:val="center"/>
                </w:tcPr>
                <w:p>
                  <w:pPr>
                    <w:jc w:val="center"/>
                    <w:rPr>
                      <w:b/>
                      <w:bCs/>
                      <w:szCs w:val="21"/>
                      <w:vertAlign w:val="subscript"/>
                    </w:rPr>
                  </w:pPr>
                  <w:r>
                    <w:rPr>
                      <w:b/>
                      <w:bCs/>
                      <w:szCs w:val="21"/>
                    </w:rPr>
                    <w:t>BOD</w:t>
                  </w:r>
                  <w:r>
                    <w:rPr>
                      <w:b/>
                      <w:bCs/>
                      <w:szCs w:val="21"/>
                      <w:vertAlign w:val="subscript"/>
                    </w:rPr>
                    <w:t>5</w:t>
                  </w:r>
                </w:p>
              </w:tc>
              <w:tc>
                <w:tcPr>
                  <w:tcW w:w="691" w:type="pct"/>
                  <w:shd w:val="clear" w:color="auto" w:fill="CCFFFF"/>
                  <w:noWrap w:val="0"/>
                  <w:vAlign w:val="center"/>
                </w:tcPr>
                <w:p>
                  <w:pPr>
                    <w:jc w:val="center"/>
                    <w:rPr>
                      <w:b/>
                      <w:bCs/>
                      <w:szCs w:val="21"/>
                    </w:rPr>
                  </w:pPr>
                  <w:r>
                    <w:rPr>
                      <w:b/>
                      <w:bCs/>
                      <w:szCs w:val="21"/>
                    </w:rPr>
                    <w:t>氨氮</w:t>
                  </w:r>
                </w:p>
              </w:tc>
              <w:tc>
                <w:tcPr>
                  <w:tcW w:w="645" w:type="pct"/>
                  <w:shd w:val="clear" w:color="auto" w:fill="CCFFFF"/>
                  <w:noWrap w:val="0"/>
                  <w:vAlign w:val="center"/>
                </w:tcPr>
                <w:p>
                  <w:pPr>
                    <w:jc w:val="center"/>
                    <w:rPr>
                      <w:b/>
                      <w:bCs/>
                      <w:szCs w:val="21"/>
                    </w:rPr>
                  </w:pPr>
                  <w:r>
                    <w:rPr>
                      <w:b/>
                      <w:bCs/>
                      <w:szCs w:val="21"/>
                    </w:rPr>
                    <w:t>SS</w:t>
                  </w:r>
                </w:p>
              </w:tc>
              <w:tc>
                <w:tcPr>
                  <w:tcW w:w="633" w:type="pct"/>
                  <w:shd w:val="clear" w:color="auto" w:fill="CCFFFF"/>
                  <w:noWrap w:val="0"/>
                  <w:vAlign w:val="center"/>
                </w:tcPr>
                <w:p>
                  <w:pPr>
                    <w:jc w:val="center"/>
                    <w:rPr>
                      <w:b/>
                      <w:bCs/>
                      <w:szCs w:val="21"/>
                    </w:rPr>
                  </w:pPr>
                  <w:r>
                    <w:rPr>
                      <w:b/>
                      <w:bCs/>
                      <w:szCs w:val="21"/>
                    </w:rPr>
                    <w:t>TN</w:t>
                  </w:r>
                </w:p>
              </w:tc>
              <w:tc>
                <w:tcPr>
                  <w:tcW w:w="633" w:type="pct"/>
                  <w:shd w:val="clear" w:color="auto" w:fill="CCFFFF"/>
                  <w:noWrap w:val="0"/>
                  <w:vAlign w:val="center"/>
                </w:tcPr>
                <w:p>
                  <w:pPr>
                    <w:jc w:val="center"/>
                    <w:rPr>
                      <w:rFonts w:eastAsia="等线"/>
                      <w:b/>
                      <w:bCs/>
                      <w:szCs w:val="21"/>
                    </w:rPr>
                  </w:pPr>
                  <w:r>
                    <w:rPr>
                      <w:rFonts w:eastAsia="等线"/>
                      <w:b/>
                      <w:bCs/>
                      <w:szCs w:val="21"/>
                    </w:rPr>
                    <w:t>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59" w:type="pct"/>
                  <w:noWrap w:val="0"/>
                  <w:vAlign w:val="center"/>
                </w:tcPr>
                <w:p>
                  <w:pPr>
                    <w:jc w:val="center"/>
                    <w:rPr>
                      <w:szCs w:val="21"/>
                    </w:rPr>
                  </w:pPr>
                  <w:r>
                    <w:rPr>
                      <w:szCs w:val="21"/>
                    </w:rPr>
                    <w:t>设计进水水质（mg/L）</w:t>
                  </w:r>
                </w:p>
              </w:tc>
              <w:tc>
                <w:tcPr>
                  <w:tcW w:w="642" w:type="pct"/>
                  <w:noWrap w:val="0"/>
                  <w:vAlign w:val="center"/>
                </w:tcPr>
                <w:p>
                  <w:pPr>
                    <w:jc w:val="center"/>
                    <w:rPr>
                      <w:szCs w:val="21"/>
                    </w:rPr>
                  </w:pPr>
                  <w:r>
                    <w:rPr>
                      <w:szCs w:val="21"/>
                    </w:rPr>
                    <w:t>≤300</w:t>
                  </w:r>
                </w:p>
              </w:tc>
              <w:tc>
                <w:tcPr>
                  <w:tcW w:w="697" w:type="pct"/>
                  <w:noWrap w:val="0"/>
                  <w:vAlign w:val="center"/>
                </w:tcPr>
                <w:p>
                  <w:pPr>
                    <w:jc w:val="center"/>
                    <w:rPr>
                      <w:szCs w:val="21"/>
                    </w:rPr>
                  </w:pPr>
                  <w:r>
                    <w:rPr>
                      <w:szCs w:val="21"/>
                    </w:rPr>
                    <w:t>≤170</w:t>
                  </w:r>
                </w:p>
              </w:tc>
              <w:tc>
                <w:tcPr>
                  <w:tcW w:w="691" w:type="pct"/>
                  <w:noWrap w:val="0"/>
                  <w:vAlign w:val="center"/>
                </w:tcPr>
                <w:p>
                  <w:pPr>
                    <w:jc w:val="center"/>
                    <w:rPr>
                      <w:szCs w:val="21"/>
                    </w:rPr>
                  </w:pPr>
                  <w:r>
                    <w:rPr>
                      <w:szCs w:val="21"/>
                    </w:rPr>
                    <w:t>≤45</w:t>
                  </w:r>
                </w:p>
              </w:tc>
              <w:tc>
                <w:tcPr>
                  <w:tcW w:w="645" w:type="pct"/>
                  <w:noWrap w:val="0"/>
                  <w:vAlign w:val="center"/>
                </w:tcPr>
                <w:p>
                  <w:pPr>
                    <w:jc w:val="center"/>
                    <w:rPr>
                      <w:szCs w:val="21"/>
                    </w:rPr>
                  </w:pPr>
                  <w:r>
                    <w:rPr>
                      <w:szCs w:val="21"/>
                    </w:rPr>
                    <w:t>≤200</w:t>
                  </w:r>
                </w:p>
              </w:tc>
              <w:tc>
                <w:tcPr>
                  <w:tcW w:w="633" w:type="pct"/>
                  <w:noWrap w:val="0"/>
                  <w:vAlign w:val="center"/>
                </w:tcPr>
                <w:p>
                  <w:pPr>
                    <w:jc w:val="center"/>
                    <w:rPr>
                      <w:szCs w:val="21"/>
                    </w:rPr>
                  </w:pPr>
                  <w:r>
                    <w:rPr>
                      <w:szCs w:val="21"/>
                    </w:rPr>
                    <w:t>≤50</w:t>
                  </w:r>
                </w:p>
              </w:tc>
              <w:tc>
                <w:tcPr>
                  <w:tcW w:w="633" w:type="pct"/>
                  <w:noWrap w:val="0"/>
                  <w:vAlign w:val="center"/>
                </w:tcPr>
                <w:p>
                  <w:pPr>
                    <w:jc w:val="center"/>
                    <w:rPr>
                      <w:szCs w:val="21"/>
                    </w:rPr>
                  </w:pPr>
                  <w:r>
                    <w:rPr>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59" w:type="pct"/>
                  <w:noWrap w:val="0"/>
                  <w:vAlign w:val="center"/>
                </w:tcPr>
                <w:p>
                  <w:pPr>
                    <w:jc w:val="center"/>
                    <w:rPr>
                      <w:szCs w:val="21"/>
                    </w:rPr>
                  </w:pPr>
                  <w:r>
                    <w:rPr>
                      <w:szCs w:val="21"/>
                    </w:rPr>
                    <w:t>设计出水水质（mg/L）</w:t>
                  </w:r>
                </w:p>
              </w:tc>
              <w:tc>
                <w:tcPr>
                  <w:tcW w:w="642" w:type="pct"/>
                  <w:noWrap w:val="0"/>
                  <w:vAlign w:val="center"/>
                </w:tcPr>
                <w:p>
                  <w:pPr>
                    <w:jc w:val="center"/>
                    <w:rPr>
                      <w:szCs w:val="21"/>
                    </w:rPr>
                  </w:pPr>
                  <w:r>
                    <w:rPr>
                      <w:szCs w:val="21"/>
                    </w:rPr>
                    <w:t>50</w:t>
                  </w:r>
                </w:p>
              </w:tc>
              <w:tc>
                <w:tcPr>
                  <w:tcW w:w="697" w:type="pct"/>
                  <w:noWrap w:val="0"/>
                  <w:vAlign w:val="center"/>
                </w:tcPr>
                <w:p>
                  <w:pPr>
                    <w:jc w:val="center"/>
                    <w:rPr>
                      <w:szCs w:val="21"/>
                    </w:rPr>
                  </w:pPr>
                  <w:r>
                    <w:rPr>
                      <w:szCs w:val="21"/>
                    </w:rPr>
                    <w:t>10</w:t>
                  </w:r>
                </w:p>
              </w:tc>
              <w:tc>
                <w:tcPr>
                  <w:tcW w:w="691" w:type="pct"/>
                  <w:noWrap w:val="0"/>
                  <w:vAlign w:val="center"/>
                </w:tcPr>
                <w:p>
                  <w:pPr>
                    <w:jc w:val="center"/>
                    <w:rPr>
                      <w:szCs w:val="21"/>
                    </w:rPr>
                  </w:pPr>
                  <w:r>
                    <w:rPr>
                      <w:szCs w:val="21"/>
                    </w:rPr>
                    <w:t>5</w:t>
                  </w:r>
                </w:p>
              </w:tc>
              <w:tc>
                <w:tcPr>
                  <w:tcW w:w="645" w:type="pct"/>
                  <w:noWrap w:val="0"/>
                  <w:vAlign w:val="center"/>
                </w:tcPr>
                <w:p>
                  <w:pPr>
                    <w:jc w:val="center"/>
                    <w:rPr>
                      <w:szCs w:val="21"/>
                    </w:rPr>
                  </w:pPr>
                  <w:r>
                    <w:rPr>
                      <w:szCs w:val="21"/>
                    </w:rPr>
                    <w:t>10</w:t>
                  </w:r>
                </w:p>
              </w:tc>
              <w:tc>
                <w:tcPr>
                  <w:tcW w:w="633" w:type="pct"/>
                  <w:noWrap w:val="0"/>
                  <w:vAlign w:val="center"/>
                </w:tcPr>
                <w:p>
                  <w:pPr>
                    <w:jc w:val="center"/>
                    <w:rPr>
                      <w:szCs w:val="21"/>
                    </w:rPr>
                  </w:pPr>
                  <w:r>
                    <w:rPr>
                      <w:szCs w:val="21"/>
                    </w:rPr>
                    <w:t>15</w:t>
                  </w:r>
                </w:p>
              </w:tc>
              <w:tc>
                <w:tcPr>
                  <w:tcW w:w="633" w:type="pct"/>
                  <w:noWrap w:val="0"/>
                  <w:vAlign w:val="center"/>
                </w:tcPr>
                <w:p>
                  <w:pPr>
                    <w:jc w:val="center"/>
                    <w:rPr>
                      <w:szCs w:val="21"/>
                    </w:rPr>
                  </w:pPr>
                  <w:r>
                    <w:rPr>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59" w:type="pct"/>
                  <w:noWrap w:val="0"/>
                  <w:vAlign w:val="center"/>
                </w:tcPr>
                <w:p>
                  <w:pPr>
                    <w:jc w:val="center"/>
                    <w:rPr>
                      <w:szCs w:val="21"/>
                    </w:rPr>
                  </w:pPr>
                  <w:r>
                    <w:rPr>
                      <w:szCs w:val="21"/>
                    </w:rPr>
                    <w:t>去除率（%）</w:t>
                  </w:r>
                </w:p>
              </w:tc>
              <w:tc>
                <w:tcPr>
                  <w:tcW w:w="642" w:type="pct"/>
                  <w:noWrap w:val="0"/>
                  <w:vAlign w:val="center"/>
                </w:tcPr>
                <w:p>
                  <w:pPr>
                    <w:jc w:val="center"/>
                    <w:rPr>
                      <w:szCs w:val="21"/>
                    </w:rPr>
                  </w:pPr>
                  <w:r>
                    <w:rPr>
                      <w:szCs w:val="21"/>
                    </w:rPr>
                    <w:t>83.3</w:t>
                  </w:r>
                </w:p>
              </w:tc>
              <w:tc>
                <w:tcPr>
                  <w:tcW w:w="697" w:type="pct"/>
                  <w:noWrap w:val="0"/>
                  <w:vAlign w:val="center"/>
                </w:tcPr>
                <w:p>
                  <w:pPr>
                    <w:jc w:val="center"/>
                    <w:rPr>
                      <w:szCs w:val="21"/>
                    </w:rPr>
                  </w:pPr>
                  <w:r>
                    <w:rPr>
                      <w:szCs w:val="21"/>
                    </w:rPr>
                    <w:t>94.1</w:t>
                  </w:r>
                </w:p>
              </w:tc>
              <w:tc>
                <w:tcPr>
                  <w:tcW w:w="691" w:type="pct"/>
                  <w:noWrap w:val="0"/>
                  <w:vAlign w:val="center"/>
                </w:tcPr>
                <w:p>
                  <w:pPr>
                    <w:jc w:val="center"/>
                    <w:rPr>
                      <w:szCs w:val="21"/>
                    </w:rPr>
                  </w:pPr>
                  <w:r>
                    <w:rPr>
                      <w:szCs w:val="21"/>
                    </w:rPr>
                    <w:t>88.9</w:t>
                  </w:r>
                </w:p>
              </w:tc>
              <w:tc>
                <w:tcPr>
                  <w:tcW w:w="645" w:type="pct"/>
                  <w:noWrap w:val="0"/>
                  <w:vAlign w:val="center"/>
                </w:tcPr>
                <w:p>
                  <w:pPr>
                    <w:jc w:val="center"/>
                    <w:rPr>
                      <w:szCs w:val="21"/>
                    </w:rPr>
                  </w:pPr>
                  <w:r>
                    <w:rPr>
                      <w:szCs w:val="21"/>
                    </w:rPr>
                    <w:t>95</w:t>
                  </w:r>
                </w:p>
              </w:tc>
              <w:tc>
                <w:tcPr>
                  <w:tcW w:w="633" w:type="pct"/>
                  <w:noWrap w:val="0"/>
                  <w:vAlign w:val="center"/>
                </w:tcPr>
                <w:p>
                  <w:pPr>
                    <w:jc w:val="center"/>
                    <w:rPr>
                      <w:szCs w:val="21"/>
                    </w:rPr>
                  </w:pPr>
                  <w:r>
                    <w:rPr>
                      <w:szCs w:val="21"/>
                    </w:rPr>
                    <w:t>70</w:t>
                  </w:r>
                </w:p>
              </w:tc>
              <w:tc>
                <w:tcPr>
                  <w:tcW w:w="633" w:type="pct"/>
                  <w:noWrap w:val="0"/>
                  <w:vAlign w:val="center"/>
                </w:tcPr>
                <w:p>
                  <w:pPr>
                    <w:jc w:val="center"/>
                    <w:rPr>
                      <w:szCs w:val="21"/>
                    </w:rPr>
                  </w:pPr>
                  <w:r>
                    <w:rPr>
                      <w:szCs w:val="21"/>
                    </w:rPr>
                    <w:t>90</w:t>
                  </w:r>
                </w:p>
              </w:tc>
            </w:tr>
          </w:tbl>
          <w:p>
            <w:pPr>
              <w:adjustRightInd w:val="0"/>
              <w:snapToGrid w:val="0"/>
              <w:spacing w:line="360" w:lineRule="auto"/>
              <w:ind w:firstLine="482" w:firstLineChars="200"/>
              <w:rPr>
                <w:b/>
                <w:sz w:val="24"/>
              </w:rPr>
            </w:pPr>
            <w:r>
              <w:rPr>
                <w:b/>
                <w:sz w:val="24"/>
              </w:rPr>
              <w:t>2、污水生物处理可行性分析</w:t>
            </w:r>
          </w:p>
          <w:p>
            <w:pPr>
              <w:adjustRightInd w:val="0"/>
              <w:snapToGrid w:val="0"/>
              <w:spacing w:line="360" w:lineRule="auto"/>
              <w:ind w:firstLine="482" w:firstLineChars="200"/>
              <w:rPr>
                <w:b/>
                <w:sz w:val="24"/>
              </w:rPr>
            </w:pPr>
            <w:r>
              <w:rPr>
                <w:b/>
                <w:sz w:val="24"/>
              </w:rPr>
              <w:t>（1）污水生物处理可行性分析（BOD</w:t>
            </w:r>
            <w:r>
              <w:rPr>
                <w:b/>
                <w:sz w:val="24"/>
                <w:vertAlign w:val="subscript"/>
              </w:rPr>
              <w:t>5</w:t>
            </w:r>
            <w:r>
              <w:rPr>
                <w:b/>
                <w:sz w:val="24"/>
              </w:rPr>
              <w:t>/COD衡量指标）</w:t>
            </w:r>
          </w:p>
          <w:p>
            <w:pPr>
              <w:adjustRightInd w:val="0"/>
              <w:snapToGrid w:val="0"/>
              <w:spacing w:line="360" w:lineRule="auto"/>
              <w:ind w:firstLine="480" w:firstLineChars="200"/>
              <w:rPr>
                <w:bCs/>
                <w:sz w:val="24"/>
              </w:rPr>
            </w:pPr>
            <w:r>
              <w:rPr>
                <w:bCs/>
                <w:sz w:val="24"/>
              </w:rPr>
              <w:t>BOD</w:t>
            </w:r>
            <w:r>
              <w:rPr>
                <w:bCs/>
                <w:sz w:val="24"/>
                <w:vertAlign w:val="subscript"/>
              </w:rPr>
              <w:t>5</w:t>
            </w:r>
            <w:r>
              <w:rPr>
                <w:bCs/>
                <w:sz w:val="24"/>
              </w:rPr>
              <w:t>和COD是污水生物处理过程中常用的两个水质指标，用BOD</w:t>
            </w:r>
            <w:r>
              <w:rPr>
                <w:bCs/>
                <w:sz w:val="24"/>
                <w:vertAlign w:val="subscript"/>
              </w:rPr>
              <w:t>5</w:t>
            </w:r>
            <w:r>
              <w:rPr>
                <w:bCs/>
                <w:sz w:val="24"/>
              </w:rPr>
              <w:t>/COD值评价污水的可生化性是广泛采用的一种最为简易的方法，一般情况下，BOD</w:t>
            </w:r>
            <w:r>
              <w:rPr>
                <w:bCs/>
                <w:sz w:val="24"/>
                <w:vertAlign w:val="subscript"/>
              </w:rPr>
              <w:t>5</w:t>
            </w:r>
            <w:r>
              <w:rPr>
                <w:bCs/>
                <w:sz w:val="24"/>
              </w:rPr>
              <w:t>/COD值越大，说明污水可生物处理性越好，综合国内外的研究成果，可参照下表中所列的数据来评价污水的可生物降解性能。</w:t>
            </w:r>
          </w:p>
          <w:p>
            <w:pPr>
              <w:adjustRightInd w:val="0"/>
              <w:snapToGrid w:val="0"/>
              <w:spacing w:line="276" w:lineRule="auto"/>
              <w:jc w:val="center"/>
              <w:rPr>
                <w:rFonts w:eastAsia="黑体"/>
                <w:bCs/>
                <w:sz w:val="24"/>
              </w:rPr>
            </w:pPr>
            <w:r>
              <w:rPr>
                <w:rFonts w:eastAsia="黑体"/>
                <w:bCs/>
                <w:sz w:val="24"/>
              </w:rPr>
              <w:t>表2-9  BOD</w:t>
            </w:r>
            <w:r>
              <w:rPr>
                <w:rFonts w:eastAsia="黑体"/>
                <w:bCs/>
                <w:sz w:val="24"/>
                <w:vertAlign w:val="subscript"/>
              </w:rPr>
              <w:t>5</w:t>
            </w:r>
            <w:r>
              <w:rPr>
                <w:rFonts w:eastAsia="黑体"/>
                <w:bCs/>
                <w:sz w:val="24"/>
              </w:rPr>
              <w:t>/COD衡量指标</w:t>
            </w:r>
          </w:p>
          <w:tbl>
            <w:tblPr>
              <w:tblStyle w:val="3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684"/>
              <w:gridCol w:w="1682"/>
              <w:gridCol w:w="1684"/>
              <w:gridCol w:w="1684"/>
              <w:gridCol w:w="16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685" w:type="dxa"/>
                  <w:shd w:val="clear" w:color="auto" w:fill="CCFFFF"/>
                  <w:noWrap w:val="0"/>
                  <w:vAlign w:val="center"/>
                </w:tcPr>
                <w:p>
                  <w:pPr>
                    <w:pStyle w:val="2"/>
                    <w:spacing w:before="0" w:after="0" w:line="276" w:lineRule="auto"/>
                    <w:ind w:right="0"/>
                    <w:jc w:val="center"/>
                    <w:rPr>
                      <w:b/>
                      <w:bCs/>
                      <w:sz w:val="21"/>
                      <w:szCs w:val="21"/>
                    </w:rPr>
                  </w:pPr>
                  <w:r>
                    <w:rPr>
                      <w:b/>
                      <w:bCs/>
                      <w:sz w:val="21"/>
                      <w:szCs w:val="21"/>
                    </w:rPr>
                    <w:t>BOD</w:t>
                  </w:r>
                  <w:r>
                    <w:rPr>
                      <w:b/>
                      <w:bCs/>
                      <w:sz w:val="21"/>
                      <w:szCs w:val="21"/>
                      <w:vertAlign w:val="subscript"/>
                    </w:rPr>
                    <w:t>5</w:t>
                  </w:r>
                  <w:r>
                    <w:rPr>
                      <w:b/>
                      <w:bCs/>
                      <w:sz w:val="21"/>
                      <w:szCs w:val="21"/>
                    </w:rPr>
                    <w:t>/COD</w:t>
                  </w:r>
                </w:p>
              </w:tc>
              <w:tc>
                <w:tcPr>
                  <w:tcW w:w="1685" w:type="dxa"/>
                  <w:shd w:val="clear" w:color="auto" w:fill="CCFFFF"/>
                  <w:noWrap w:val="0"/>
                  <w:vAlign w:val="center"/>
                </w:tcPr>
                <w:p>
                  <w:pPr>
                    <w:pStyle w:val="2"/>
                    <w:spacing w:before="0" w:after="0" w:line="276" w:lineRule="auto"/>
                    <w:ind w:right="0"/>
                    <w:jc w:val="center"/>
                    <w:rPr>
                      <w:b/>
                      <w:bCs/>
                      <w:sz w:val="21"/>
                      <w:szCs w:val="21"/>
                    </w:rPr>
                  </w:pPr>
                  <w:r>
                    <w:rPr>
                      <w:b/>
                      <w:bCs/>
                      <w:sz w:val="21"/>
                      <w:szCs w:val="21"/>
                    </w:rPr>
                    <w:t>＞0.45</w:t>
                  </w:r>
                </w:p>
              </w:tc>
              <w:tc>
                <w:tcPr>
                  <w:tcW w:w="1686" w:type="dxa"/>
                  <w:shd w:val="clear" w:color="auto" w:fill="CCFFFF"/>
                  <w:noWrap w:val="0"/>
                  <w:vAlign w:val="center"/>
                </w:tcPr>
                <w:p>
                  <w:pPr>
                    <w:pStyle w:val="2"/>
                    <w:spacing w:before="0" w:after="0" w:line="276" w:lineRule="auto"/>
                    <w:ind w:right="0"/>
                    <w:jc w:val="center"/>
                    <w:rPr>
                      <w:b/>
                      <w:bCs/>
                      <w:sz w:val="21"/>
                      <w:szCs w:val="21"/>
                    </w:rPr>
                  </w:pPr>
                  <w:r>
                    <w:rPr>
                      <w:b/>
                      <w:bCs/>
                      <w:sz w:val="21"/>
                      <w:szCs w:val="21"/>
                    </w:rPr>
                    <w:t>0.3~0.45</w:t>
                  </w:r>
                </w:p>
              </w:tc>
              <w:tc>
                <w:tcPr>
                  <w:tcW w:w="1686" w:type="dxa"/>
                  <w:shd w:val="clear" w:color="auto" w:fill="CCFFFF"/>
                  <w:noWrap w:val="0"/>
                  <w:vAlign w:val="center"/>
                </w:tcPr>
                <w:p>
                  <w:pPr>
                    <w:pStyle w:val="2"/>
                    <w:spacing w:before="0" w:after="0" w:line="276" w:lineRule="auto"/>
                    <w:ind w:right="0"/>
                    <w:jc w:val="center"/>
                    <w:rPr>
                      <w:b/>
                      <w:bCs/>
                      <w:sz w:val="21"/>
                      <w:szCs w:val="21"/>
                    </w:rPr>
                  </w:pPr>
                  <w:r>
                    <w:rPr>
                      <w:b/>
                      <w:bCs/>
                      <w:sz w:val="21"/>
                      <w:szCs w:val="21"/>
                    </w:rPr>
                    <w:t>0.25~0.3</w:t>
                  </w:r>
                </w:p>
              </w:tc>
              <w:tc>
                <w:tcPr>
                  <w:tcW w:w="1686" w:type="dxa"/>
                  <w:shd w:val="clear" w:color="auto" w:fill="CCFFFF"/>
                  <w:noWrap w:val="0"/>
                  <w:vAlign w:val="center"/>
                </w:tcPr>
                <w:p>
                  <w:pPr>
                    <w:pStyle w:val="2"/>
                    <w:spacing w:before="0" w:after="0" w:line="276" w:lineRule="auto"/>
                    <w:ind w:right="0"/>
                    <w:jc w:val="center"/>
                    <w:rPr>
                      <w:b/>
                      <w:bCs/>
                      <w:sz w:val="21"/>
                      <w:szCs w:val="21"/>
                    </w:rPr>
                  </w:pPr>
                  <w:r>
                    <w:rPr>
                      <w:b/>
                      <w:bCs/>
                      <w:sz w:val="21"/>
                      <w:szCs w:val="21"/>
                    </w:rPr>
                    <w:t>＜0.25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685" w:type="dxa"/>
                  <w:noWrap w:val="0"/>
                  <w:vAlign w:val="center"/>
                </w:tcPr>
                <w:p>
                  <w:pPr>
                    <w:pStyle w:val="2"/>
                    <w:spacing w:before="0" w:after="0" w:line="276" w:lineRule="auto"/>
                    <w:ind w:right="0"/>
                    <w:jc w:val="center"/>
                    <w:rPr>
                      <w:sz w:val="21"/>
                      <w:szCs w:val="21"/>
                    </w:rPr>
                  </w:pPr>
                  <w:r>
                    <w:rPr>
                      <w:sz w:val="21"/>
                      <w:szCs w:val="21"/>
                    </w:rPr>
                    <w:t>可生化性</w:t>
                  </w:r>
                </w:p>
              </w:tc>
              <w:tc>
                <w:tcPr>
                  <w:tcW w:w="1685" w:type="dxa"/>
                  <w:noWrap w:val="0"/>
                  <w:vAlign w:val="center"/>
                </w:tcPr>
                <w:p>
                  <w:pPr>
                    <w:pStyle w:val="2"/>
                    <w:spacing w:before="0" w:after="0" w:line="276" w:lineRule="auto"/>
                    <w:ind w:right="0"/>
                    <w:jc w:val="center"/>
                    <w:rPr>
                      <w:sz w:val="21"/>
                      <w:szCs w:val="21"/>
                    </w:rPr>
                  </w:pPr>
                  <w:r>
                    <w:rPr>
                      <w:sz w:val="21"/>
                      <w:szCs w:val="21"/>
                    </w:rPr>
                    <w:t>较好生化</w:t>
                  </w:r>
                </w:p>
              </w:tc>
              <w:tc>
                <w:tcPr>
                  <w:tcW w:w="1686" w:type="dxa"/>
                  <w:noWrap w:val="0"/>
                  <w:vAlign w:val="center"/>
                </w:tcPr>
                <w:p>
                  <w:pPr>
                    <w:pStyle w:val="2"/>
                    <w:spacing w:before="0" w:after="0" w:line="276" w:lineRule="auto"/>
                    <w:ind w:right="0"/>
                    <w:jc w:val="center"/>
                    <w:rPr>
                      <w:sz w:val="21"/>
                      <w:szCs w:val="21"/>
                    </w:rPr>
                  </w:pPr>
                  <w:r>
                    <w:rPr>
                      <w:sz w:val="21"/>
                      <w:szCs w:val="21"/>
                    </w:rPr>
                    <w:t>可生化</w:t>
                  </w:r>
                </w:p>
              </w:tc>
              <w:tc>
                <w:tcPr>
                  <w:tcW w:w="1686" w:type="dxa"/>
                  <w:noWrap w:val="0"/>
                  <w:vAlign w:val="center"/>
                </w:tcPr>
                <w:p>
                  <w:pPr>
                    <w:pStyle w:val="2"/>
                    <w:spacing w:before="0" w:after="0" w:line="276" w:lineRule="auto"/>
                    <w:ind w:right="0"/>
                    <w:jc w:val="center"/>
                    <w:rPr>
                      <w:sz w:val="21"/>
                      <w:szCs w:val="21"/>
                    </w:rPr>
                  </w:pPr>
                  <w:r>
                    <w:rPr>
                      <w:sz w:val="21"/>
                      <w:szCs w:val="21"/>
                    </w:rPr>
                    <w:t>较难生化</w:t>
                  </w:r>
                </w:p>
              </w:tc>
              <w:tc>
                <w:tcPr>
                  <w:tcW w:w="1686" w:type="dxa"/>
                  <w:noWrap w:val="0"/>
                  <w:vAlign w:val="center"/>
                </w:tcPr>
                <w:p>
                  <w:pPr>
                    <w:pStyle w:val="2"/>
                    <w:spacing w:before="0" w:after="0" w:line="276" w:lineRule="auto"/>
                    <w:ind w:right="0"/>
                    <w:jc w:val="center"/>
                    <w:rPr>
                      <w:sz w:val="21"/>
                      <w:szCs w:val="21"/>
                    </w:rPr>
                  </w:pPr>
                  <w:r>
                    <w:rPr>
                      <w:sz w:val="21"/>
                      <w:szCs w:val="21"/>
                    </w:rPr>
                    <w:t>不宜生化</w:t>
                  </w:r>
                </w:p>
              </w:tc>
            </w:tr>
          </w:tbl>
          <w:p>
            <w:pPr>
              <w:adjustRightInd w:val="0"/>
              <w:snapToGrid w:val="0"/>
              <w:spacing w:before="120" w:beforeLines="50" w:line="360" w:lineRule="auto"/>
              <w:ind w:firstLine="480" w:firstLineChars="200"/>
              <w:rPr>
                <w:bCs/>
                <w:sz w:val="24"/>
              </w:rPr>
            </w:pPr>
            <w:r>
              <w:rPr>
                <w:bCs/>
                <w:sz w:val="24"/>
              </w:rPr>
              <w:t>分析本工程设计进水水质BOD</w:t>
            </w:r>
            <w:r>
              <w:rPr>
                <w:bCs/>
                <w:sz w:val="24"/>
                <w:vertAlign w:val="subscript"/>
              </w:rPr>
              <w:t>5</w:t>
            </w:r>
            <w:r>
              <w:rPr>
                <w:bCs/>
                <w:sz w:val="24"/>
              </w:rPr>
              <w:t>/COD=0.57，属于较好生物降解范畴。</w:t>
            </w:r>
          </w:p>
          <w:p>
            <w:pPr>
              <w:adjustRightInd w:val="0"/>
              <w:snapToGrid w:val="0"/>
              <w:spacing w:line="360" w:lineRule="auto"/>
              <w:ind w:firstLine="482" w:firstLineChars="200"/>
              <w:rPr>
                <w:b/>
                <w:sz w:val="24"/>
              </w:rPr>
            </w:pPr>
            <w:r>
              <w:rPr>
                <w:b/>
                <w:sz w:val="24"/>
              </w:rPr>
              <w:t>（2）污水生物脱氮可行性分析（BOD</w:t>
            </w:r>
            <w:r>
              <w:rPr>
                <w:b/>
                <w:sz w:val="24"/>
                <w:vertAlign w:val="subscript"/>
              </w:rPr>
              <w:t>5</w:t>
            </w:r>
            <w:r>
              <w:rPr>
                <w:b/>
                <w:sz w:val="24"/>
              </w:rPr>
              <w:t>/TN衡量指标）</w:t>
            </w:r>
          </w:p>
          <w:p>
            <w:pPr>
              <w:adjustRightInd w:val="0"/>
              <w:snapToGrid w:val="0"/>
              <w:spacing w:line="360" w:lineRule="auto"/>
              <w:ind w:firstLine="482" w:firstLineChars="200"/>
              <w:jc w:val="left"/>
              <w:rPr>
                <w:b/>
                <w:sz w:val="24"/>
              </w:rPr>
            </w:pPr>
            <w:r>
              <w:rPr>
                <w:b/>
                <w:sz w:val="24"/>
              </w:rPr>
              <w:t>1）除磷脱氮的条件</w:t>
            </w:r>
          </w:p>
          <w:p>
            <w:pPr>
              <w:adjustRightInd w:val="0"/>
              <w:snapToGrid w:val="0"/>
              <w:spacing w:line="360" w:lineRule="auto"/>
              <w:ind w:firstLine="480" w:firstLineChars="200"/>
              <w:jc w:val="left"/>
              <w:rPr>
                <w:bCs/>
                <w:sz w:val="24"/>
              </w:rPr>
            </w:pPr>
            <w:r>
              <w:rPr>
                <w:bCs/>
                <w:sz w:val="24"/>
              </w:rPr>
              <w:t>脱氮必须使氨氮在好氧环境中硝化为亚硝酸盐、硝酸盐，硝化了的污水再进入缺氧环境后，由于反硝化菌的作用，使硝酸盐还原成分子氮，而逸入大气，从而脱氮。1mgNH</w:t>
            </w:r>
            <w:r>
              <w:rPr>
                <w:bCs/>
                <w:sz w:val="24"/>
                <w:vertAlign w:val="subscript"/>
              </w:rPr>
              <w:t>3</w:t>
            </w:r>
            <w:r>
              <w:rPr>
                <w:bCs/>
                <w:sz w:val="24"/>
              </w:rPr>
              <w:t>-N氧化(即硝化)为硝酸盐，需4.57mgO</w:t>
            </w:r>
            <w:r>
              <w:rPr>
                <w:bCs/>
                <w:sz w:val="24"/>
                <w:vertAlign w:val="subscript"/>
              </w:rPr>
              <w:t>2</w:t>
            </w:r>
            <w:r>
              <w:rPr>
                <w:bCs/>
                <w:sz w:val="24"/>
              </w:rPr>
              <w:t>、7.14mgCaCO</w:t>
            </w:r>
            <w:r>
              <w:rPr>
                <w:bCs/>
                <w:sz w:val="24"/>
                <w:vertAlign w:val="subscript"/>
              </w:rPr>
              <w:t>3</w:t>
            </w:r>
            <w:r>
              <w:rPr>
                <w:bCs/>
                <w:sz w:val="24"/>
              </w:rPr>
              <w:t>碱度和0.08mg碳源。1mgNO</w:t>
            </w:r>
            <w:r>
              <w:rPr>
                <w:bCs/>
                <w:sz w:val="24"/>
                <w:vertAlign w:val="subscript"/>
              </w:rPr>
              <w:t>3</w:t>
            </w:r>
            <w:r>
              <w:rPr>
                <w:bCs/>
                <w:sz w:val="24"/>
              </w:rPr>
              <w:t>-N反硝化脱氮，需8.6碳源(或3mg左右甲醇)，但可提供2.86mgO</w:t>
            </w:r>
            <w:r>
              <w:rPr>
                <w:bCs/>
                <w:sz w:val="24"/>
                <w:vertAlign w:val="subscript"/>
              </w:rPr>
              <w:t>2</w:t>
            </w:r>
            <w:r>
              <w:rPr>
                <w:bCs/>
                <w:sz w:val="24"/>
              </w:rPr>
              <w:t>、3.75mgCaCO</w:t>
            </w:r>
            <w:r>
              <w:rPr>
                <w:bCs/>
                <w:sz w:val="24"/>
                <w:vertAlign w:val="subscript"/>
              </w:rPr>
              <w:t>3</w:t>
            </w:r>
            <w:r>
              <w:rPr>
                <w:bCs/>
                <w:sz w:val="24"/>
              </w:rPr>
              <w:t>碱度。</w:t>
            </w:r>
          </w:p>
          <w:p>
            <w:pPr>
              <w:adjustRightInd w:val="0"/>
              <w:snapToGrid w:val="0"/>
              <w:spacing w:line="360" w:lineRule="auto"/>
              <w:ind w:firstLine="480" w:firstLineChars="200"/>
              <w:jc w:val="left"/>
              <w:rPr>
                <w:bCs/>
                <w:sz w:val="24"/>
              </w:rPr>
            </w:pPr>
            <w:r>
              <w:rPr>
                <w:bCs/>
                <w:sz w:val="24"/>
              </w:rPr>
              <w:t>对于传统的活性污泥法，除磷聚磷菌在好氧段对磷的吸收，取决于在厌氧段对磷的释放，而磷的释放取决于污水中存在的可快速降解的有机物的含量。一般来说，这种有机物与磷的比值越大，除磷效果越好。据资料介绍在厌氧段释放磷的前提条件，是在厌氧段生物体，易生物降解的COD</w:t>
            </w:r>
            <w:r>
              <w:rPr>
                <w:bCs/>
                <w:sz w:val="24"/>
                <w:vertAlign w:val="subscript"/>
              </w:rPr>
              <w:t>cr</w:t>
            </w:r>
            <w:r>
              <w:rPr>
                <w:bCs/>
                <w:sz w:val="24"/>
              </w:rPr>
              <w:t>浓度必须大于25mg/L。而易生物降解COD</w:t>
            </w:r>
            <w:r>
              <w:rPr>
                <w:bCs/>
                <w:sz w:val="24"/>
                <w:vertAlign w:val="subscript"/>
              </w:rPr>
              <w:t>cr</w:t>
            </w:r>
            <w:r>
              <w:rPr>
                <w:bCs/>
                <w:sz w:val="24"/>
              </w:rPr>
              <w:t>的浓度仅占COD</w:t>
            </w:r>
            <w:r>
              <w:rPr>
                <w:bCs/>
                <w:sz w:val="24"/>
                <w:vertAlign w:val="subscript"/>
              </w:rPr>
              <w:t>cr</w:t>
            </w:r>
            <w:r>
              <w:rPr>
                <w:bCs/>
                <w:sz w:val="24"/>
              </w:rPr>
              <w:t>总量的20%左右，25mg/L易生物降解的COD</w:t>
            </w:r>
            <w:r>
              <w:rPr>
                <w:bCs/>
                <w:sz w:val="24"/>
                <w:vertAlign w:val="subscript"/>
              </w:rPr>
              <w:t>cr</w:t>
            </w:r>
            <w:r>
              <w:rPr>
                <w:bCs/>
                <w:sz w:val="24"/>
              </w:rPr>
              <w:t>浓度相当于总COD</w:t>
            </w:r>
            <w:r>
              <w:rPr>
                <w:bCs/>
                <w:sz w:val="24"/>
                <w:vertAlign w:val="subscript"/>
              </w:rPr>
              <w:t>cr</w:t>
            </w:r>
            <w:r>
              <w:rPr>
                <w:bCs/>
                <w:sz w:val="24"/>
              </w:rPr>
              <w:t>125mg/L左右。</w:t>
            </w:r>
          </w:p>
          <w:p>
            <w:pPr>
              <w:adjustRightInd w:val="0"/>
              <w:snapToGrid w:val="0"/>
              <w:spacing w:line="360" w:lineRule="auto"/>
              <w:ind w:firstLine="480" w:firstLineChars="200"/>
              <w:jc w:val="left"/>
              <w:rPr>
                <w:bCs/>
                <w:sz w:val="24"/>
              </w:rPr>
            </w:pPr>
            <w:r>
              <w:rPr>
                <w:bCs/>
                <w:sz w:val="24"/>
              </w:rPr>
              <w:t>综上所述以及氮磷需要去除的情况看，如果</w:t>
            </w:r>
            <w:r>
              <w:rPr>
                <w:rFonts w:hint="eastAsia"/>
                <w:bCs/>
                <w:sz w:val="24"/>
              </w:rPr>
              <w:t>采用</w:t>
            </w:r>
            <w:r>
              <w:rPr>
                <w:bCs/>
                <w:sz w:val="24"/>
              </w:rPr>
              <w:t>活性污泥法的生物除磷、脱氮的工艺，应为厌氧/缺氧/好氧流程(包括其变种)。在方案工艺流程中，都必须包括有厌氧/缺氧/好氧在内，这样才能使得氮磷达标排放。</w:t>
            </w:r>
          </w:p>
          <w:p>
            <w:pPr>
              <w:adjustRightInd w:val="0"/>
              <w:snapToGrid w:val="0"/>
              <w:spacing w:line="360" w:lineRule="auto"/>
              <w:ind w:firstLine="482" w:firstLineChars="200"/>
              <w:rPr>
                <w:b/>
                <w:sz w:val="24"/>
              </w:rPr>
            </w:pPr>
            <w:r>
              <w:rPr>
                <w:b/>
                <w:sz w:val="24"/>
              </w:rPr>
              <w:t>2）原污水的碳源情况</w:t>
            </w:r>
          </w:p>
          <w:p>
            <w:pPr>
              <w:adjustRightInd w:val="0"/>
              <w:snapToGrid w:val="0"/>
              <w:spacing w:line="360" w:lineRule="auto"/>
              <w:ind w:firstLine="480" w:firstLineChars="200"/>
              <w:rPr>
                <w:bCs/>
                <w:sz w:val="24"/>
              </w:rPr>
            </w:pPr>
            <w:r>
              <w:rPr>
                <w:bCs/>
                <w:sz w:val="24"/>
              </w:rPr>
              <w:t>关于碳源，过去有的资料用BOD</w:t>
            </w:r>
            <w:r>
              <w:rPr>
                <w:bCs/>
                <w:sz w:val="24"/>
                <w:vertAlign w:val="subscript"/>
              </w:rPr>
              <w:t>5</w:t>
            </w:r>
            <w:r>
              <w:rPr>
                <w:bCs/>
                <w:sz w:val="24"/>
              </w:rPr>
              <w:t>值。但由于BOD</w:t>
            </w:r>
            <w:r>
              <w:rPr>
                <w:bCs/>
                <w:sz w:val="24"/>
                <w:vertAlign w:val="subscript"/>
              </w:rPr>
              <w:t>5</w:t>
            </w:r>
            <w:r>
              <w:rPr>
                <w:bCs/>
                <w:sz w:val="24"/>
              </w:rPr>
              <w:t>值的测定需要的周期太长，而重铬酸钾法氧势能较大，以COD</w:t>
            </w:r>
            <w:r>
              <w:rPr>
                <w:bCs/>
                <w:sz w:val="24"/>
                <w:vertAlign w:val="subscript"/>
              </w:rPr>
              <w:t>cr</w:t>
            </w:r>
            <w:r>
              <w:rPr>
                <w:bCs/>
                <w:sz w:val="24"/>
              </w:rPr>
              <w:t>值代表污水中全部有机物和无机还原物总量，故也包括了生化需氧量BOD</w:t>
            </w:r>
            <w:r>
              <w:rPr>
                <w:bCs/>
                <w:sz w:val="24"/>
                <w:vertAlign w:val="subscript"/>
              </w:rPr>
              <w:t>5</w:t>
            </w:r>
            <w:r>
              <w:rPr>
                <w:bCs/>
                <w:sz w:val="24"/>
              </w:rPr>
              <w:t>值在内。用COD</w:t>
            </w:r>
            <w:r>
              <w:rPr>
                <w:bCs/>
                <w:sz w:val="24"/>
                <w:vertAlign w:val="subscript"/>
              </w:rPr>
              <w:t>cr</w:t>
            </w:r>
            <w:r>
              <w:rPr>
                <w:bCs/>
                <w:sz w:val="24"/>
              </w:rPr>
              <w:t>作为碳源指标，其代表性强、测定较快，近年来在污水处理厂运行中，国内外多用COD</w:t>
            </w:r>
            <w:r>
              <w:rPr>
                <w:bCs/>
                <w:sz w:val="24"/>
                <w:vertAlign w:val="subscript"/>
              </w:rPr>
              <w:t>cr</w:t>
            </w:r>
            <w:r>
              <w:rPr>
                <w:bCs/>
                <w:sz w:val="24"/>
              </w:rPr>
              <w:t>值作为碳源值。</w:t>
            </w:r>
          </w:p>
          <w:p>
            <w:pPr>
              <w:adjustRightInd w:val="0"/>
              <w:snapToGrid w:val="0"/>
              <w:spacing w:line="360" w:lineRule="auto"/>
              <w:ind w:firstLine="480" w:firstLineChars="200"/>
              <w:rPr>
                <w:bCs/>
                <w:sz w:val="24"/>
              </w:rPr>
            </w:pPr>
            <w:r>
              <w:rPr>
                <w:bCs/>
                <w:sz w:val="24"/>
              </w:rPr>
              <w:t>实验资料证明，厌氧段COD</w:t>
            </w:r>
            <w:r>
              <w:rPr>
                <w:bCs/>
                <w:sz w:val="24"/>
                <w:vertAlign w:val="subscript"/>
              </w:rPr>
              <w:t>cr</w:t>
            </w:r>
            <w:r>
              <w:rPr>
                <w:bCs/>
                <w:sz w:val="24"/>
              </w:rPr>
              <w:t>总量浓度相当125mg/L左右的条件下，才能有磷的释放。磷的释放消耗的碳源为0.4mgP/mgCOD，本工程要求的除磷量为3.5mg/L，厌氧段磷的释放量应不小于0.75mg/L，(厌氧段释放1mg的磷，在好氧段能够吸收2～2.4mg的磷)。需易生物降解的CODcr为4.375mg/L，总共需要CODcr的量约为21.875mg/L。</w:t>
            </w:r>
          </w:p>
          <w:p>
            <w:pPr>
              <w:adjustRightInd w:val="0"/>
              <w:snapToGrid w:val="0"/>
              <w:spacing w:line="360" w:lineRule="auto"/>
              <w:ind w:firstLine="480" w:firstLineChars="200"/>
              <w:rPr>
                <w:bCs/>
                <w:sz w:val="24"/>
              </w:rPr>
            </w:pPr>
            <w:r>
              <w:rPr>
                <w:bCs/>
                <w:sz w:val="24"/>
              </w:rPr>
              <w:t>去除1mg/L的氨氮，在硝化、反硝化过程中共需要COD</w:t>
            </w:r>
            <w:r>
              <w:rPr>
                <w:bCs/>
                <w:sz w:val="24"/>
                <w:vertAlign w:val="subscript"/>
              </w:rPr>
              <w:t>cr</w:t>
            </w:r>
            <w:r>
              <w:rPr>
                <w:bCs/>
                <w:sz w:val="24"/>
              </w:rPr>
              <w:t>的量为0.08+8.6=8.68mg/L，按污水厂进出水质的要求共需去除氨氮25mg/L，则需要COD</w:t>
            </w:r>
            <w:r>
              <w:rPr>
                <w:bCs/>
                <w:sz w:val="24"/>
                <w:vertAlign w:val="subscript"/>
              </w:rPr>
              <w:t>cr</w:t>
            </w:r>
            <w:r>
              <w:rPr>
                <w:bCs/>
                <w:sz w:val="24"/>
              </w:rPr>
              <w:t>的量约为217mg/L。因此，除磷脱氮总需碳源COD</w:t>
            </w:r>
            <w:r>
              <w:rPr>
                <w:bCs/>
                <w:sz w:val="24"/>
                <w:vertAlign w:val="subscript"/>
              </w:rPr>
              <w:t>cr</w:t>
            </w:r>
            <w:r>
              <w:rPr>
                <w:bCs/>
                <w:sz w:val="24"/>
              </w:rPr>
              <w:t>为238.9mg/L。在原水水质中，COD</w:t>
            </w:r>
            <w:r>
              <w:rPr>
                <w:bCs/>
                <w:sz w:val="24"/>
                <w:vertAlign w:val="subscript"/>
              </w:rPr>
              <w:t>cr</w:t>
            </w:r>
            <w:r>
              <w:rPr>
                <w:bCs/>
                <w:sz w:val="24"/>
              </w:rPr>
              <w:t>为300mg/L，因此，能提供足够的脱氮除磷所需</w:t>
            </w:r>
            <w:r>
              <w:rPr>
                <w:rFonts w:hint="eastAsia"/>
                <w:bCs/>
                <w:sz w:val="24"/>
              </w:rPr>
              <w:t>的</w:t>
            </w:r>
            <w:r>
              <w:rPr>
                <w:bCs/>
                <w:sz w:val="24"/>
              </w:rPr>
              <w:t>碳源，生物脱氮除磷方式是可行的。</w:t>
            </w:r>
          </w:p>
          <w:p>
            <w:pPr>
              <w:adjustRightInd w:val="0"/>
              <w:snapToGrid w:val="0"/>
              <w:spacing w:line="360" w:lineRule="auto"/>
              <w:ind w:firstLine="480" w:firstLineChars="200"/>
              <w:rPr>
                <w:bCs/>
                <w:sz w:val="24"/>
              </w:rPr>
            </w:pPr>
            <w:r>
              <w:rPr>
                <w:bCs/>
                <w:sz w:val="24"/>
              </w:rPr>
              <w:t>因此，我们将采取生物脱氮、生物除磷或化学除磷的二级处理工艺对污水进行处理。</w:t>
            </w:r>
          </w:p>
          <w:p>
            <w:pPr>
              <w:adjustRightInd w:val="0"/>
              <w:snapToGrid w:val="0"/>
              <w:spacing w:line="360" w:lineRule="auto"/>
              <w:ind w:firstLine="482" w:firstLineChars="200"/>
              <w:rPr>
                <w:b/>
                <w:sz w:val="24"/>
              </w:rPr>
            </w:pPr>
            <w:r>
              <w:rPr>
                <w:b/>
                <w:sz w:val="24"/>
              </w:rPr>
              <w:t>3、二级生化处理工艺</w:t>
            </w:r>
          </w:p>
          <w:p>
            <w:pPr>
              <w:pStyle w:val="104"/>
            </w:pPr>
            <w:r>
              <w:t>城市污水处理中常用的生物除磷脱氮工艺按照微生物的生长状态分为悬浮性活性污泥法和附着性生物膜法两大类。</w:t>
            </w:r>
          </w:p>
          <w:p>
            <w:pPr>
              <w:pStyle w:val="104"/>
            </w:pPr>
            <w:r>
              <w:t>常规活性污泥法：活性污泥法有A</w:t>
            </w:r>
            <w:r>
              <w:rPr>
                <w:vertAlign w:val="superscript"/>
              </w:rPr>
              <w:t>2</w:t>
            </w:r>
            <w:r>
              <w:t>/O，氧化沟、SBR等。</w:t>
            </w:r>
          </w:p>
          <w:p>
            <w:pPr>
              <w:pStyle w:val="104"/>
              <w:rPr>
                <w:b/>
                <w:bCs/>
                <w:szCs w:val="24"/>
              </w:rPr>
            </w:pPr>
            <w:r>
              <w:t>生物膜法：近年在城市污水处理中采用较多、运行较稳定、出水可达标的生物膜法工艺是曝气生物滤池（BAF）和MBR工艺。</w:t>
            </w:r>
          </w:p>
          <w:p>
            <w:pPr>
              <w:pStyle w:val="2"/>
              <w:spacing w:before="0" w:after="0" w:line="360" w:lineRule="auto"/>
              <w:ind w:right="0" w:firstLine="480" w:firstLineChars="200"/>
              <w:rPr>
                <w:sz w:val="24"/>
                <w:szCs w:val="24"/>
              </w:rPr>
            </w:pPr>
            <w:r>
              <w:rPr>
                <w:sz w:val="24"/>
                <w:szCs w:val="24"/>
              </w:rPr>
              <w:t>本次主要对CASS工艺、改良型AAO工艺和MBR工艺进行比较。</w:t>
            </w:r>
          </w:p>
          <w:p>
            <w:pPr>
              <w:pStyle w:val="2"/>
              <w:spacing w:before="0" w:after="0" w:line="360" w:lineRule="auto"/>
              <w:ind w:right="0" w:firstLine="480" w:firstLineChars="200"/>
              <w:rPr>
                <w:sz w:val="24"/>
                <w:szCs w:val="24"/>
              </w:rPr>
            </w:pPr>
            <w:r>
              <w:rPr>
                <w:sz w:val="24"/>
                <w:szCs w:val="24"/>
              </w:rPr>
              <w:t>（1）CASS工艺</w:t>
            </w:r>
          </w:p>
          <w:p>
            <w:pPr>
              <w:pStyle w:val="2"/>
              <w:spacing w:before="0" w:after="0" w:line="360" w:lineRule="auto"/>
              <w:ind w:right="0" w:firstLine="480" w:firstLineChars="200"/>
              <w:rPr>
                <w:sz w:val="24"/>
                <w:szCs w:val="24"/>
              </w:rPr>
            </w:pPr>
            <w:r>
              <w:rPr>
                <w:sz w:val="24"/>
                <w:szCs w:val="24"/>
              </w:rPr>
              <w:t>CASS（CyclicActivatedSludgeSystemModified）工艺是循环活性污泥技术（CAST）的一种改良新型式。其主要原理是：把序批式活性污泥法（SBR）的反应池沿长度方向分为三个区域，前部为生物选择区，中部为兼氧区，后部为主反应区。在生物选择区内，微生物能通过酶的快速转移机理迅速吸附污水中大部分可溶性有机物，经历一个高负荷的基质快速积累过程，对进水水质、水量、pH和有毒有害物质起到较好的缓冲作用，可有效防止污泥膨胀；兼氧区不仅具有辅助厌氧或兼氧条件下运行的生物选择区对进水水质水量变化的缓冲作用，同时，还具有促进磷的进一步释放和强化反硝化作用，更好的脱氮除磷。在主反应区，经历一个较低负荷的基质降解过程，完成对污水中有机物的降解。CASS工艺的运行工序如下：</w:t>
            </w:r>
          </w:p>
          <w:p>
            <w:pPr>
              <w:pStyle w:val="2"/>
              <w:spacing w:before="0" w:after="0" w:line="360" w:lineRule="auto"/>
              <w:ind w:right="0"/>
              <w:jc w:val="center"/>
            </w:pPr>
            <w:r>
              <w:drawing>
                <wp:inline distT="0" distB="0" distL="114300" distR="114300">
                  <wp:extent cx="5039995" cy="2268220"/>
                  <wp:effectExtent l="0" t="0" r="8255" b="1778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3"/>
                          <a:stretch>
                            <a:fillRect/>
                          </a:stretch>
                        </pic:blipFill>
                        <pic:spPr>
                          <a:xfrm>
                            <a:off x="0" y="0"/>
                            <a:ext cx="5039995" cy="2268220"/>
                          </a:xfrm>
                          <a:prstGeom prst="rect">
                            <a:avLst/>
                          </a:prstGeom>
                          <a:noFill/>
                          <a:ln>
                            <a:noFill/>
                          </a:ln>
                        </pic:spPr>
                      </pic:pic>
                    </a:graphicData>
                  </a:graphic>
                </wp:inline>
              </w:drawing>
            </w:r>
          </w:p>
          <w:p>
            <w:pPr>
              <w:pStyle w:val="2"/>
              <w:spacing w:before="0" w:after="0" w:line="360" w:lineRule="auto"/>
              <w:ind w:right="0"/>
              <w:jc w:val="center"/>
              <w:rPr>
                <w:rFonts w:eastAsia="黑体"/>
                <w:sz w:val="24"/>
                <w:szCs w:val="24"/>
              </w:rPr>
            </w:pPr>
            <w:r>
              <w:rPr>
                <w:rFonts w:eastAsia="黑体"/>
                <w:sz w:val="24"/>
                <w:szCs w:val="24"/>
              </w:rPr>
              <w:t>图2-2  CASS工艺的循环操作示意图</w:t>
            </w:r>
          </w:p>
          <w:p>
            <w:pPr>
              <w:pStyle w:val="2"/>
              <w:spacing w:before="0" w:after="0" w:line="360" w:lineRule="auto"/>
              <w:ind w:right="0"/>
              <w:jc w:val="center"/>
              <w:rPr>
                <w:rFonts w:eastAsia="黑体"/>
                <w:sz w:val="24"/>
                <w:szCs w:val="24"/>
              </w:rPr>
            </w:pPr>
            <w:r>
              <w:rPr>
                <w:rFonts w:eastAsia="黑体"/>
                <w:sz w:val="24"/>
                <w:szCs w:val="24"/>
              </w:rPr>
              <w:t>（1生物选择器  2兼氧区  3主反应区）</w:t>
            </w:r>
          </w:p>
          <w:p>
            <w:pPr>
              <w:pStyle w:val="2"/>
              <w:spacing w:before="0" w:after="0" w:line="360" w:lineRule="auto"/>
              <w:ind w:right="0" w:firstLine="480" w:firstLineChars="200"/>
              <w:rPr>
                <w:sz w:val="24"/>
                <w:szCs w:val="24"/>
              </w:rPr>
            </w:pPr>
            <w:r>
              <w:rPr>
                <w:sz w:val="24"/>
                <w:szCs w:val="24"/>
              </w:rPr>
              <w:t>CASS工艺是SBR工艺中脱氮除磷效果最好的</w:t>
            </w:r>
            <w:r>
              <w:rPr>
                <w:rFonts w:hint="eastAsia"/>
                <w:sz w:val="24"/>
                <w:szCs w:val="24"/>
              </w:rPr>
              <w:t>一种形式</w:t>
            </w:r>
            <w:r>
              <w:rPr>
                <w:sz w:val="24"/>
                <w:szCs w:val="24"/>
              </w:rPr>
              <w:t>，占地省，要求自动化程度和管理水平要高，出水易产生间歇（尤其一格检修时），对后续工艺稳定运行不利，尤其是对采用紫外消毒设备，影响较大。对于出水达到一级A情况下，其回流污泥量和缺氧区容积均要求增加，直接削弱了该工艺固有的优点。同时受出水滗水器能力限制，设计规模一般不宜超过6万m</w:t>
            </w:r>
            <w:r>
              <w:rPr>
                <w:sz w:val="24"/>
                <w:szCs w:val="24"/>
                <w:vertAlign w:val="superscript"/>
              </w:rPr>
              <w:t>3</w:t>
            </w:r>
            <w:r>
              <w:rPr>
                <w:sz w:val="24"/>
                <w:szCs w:val="24"/>
              </w:rPr>
              <w:t>/d。</w:t>
            </w:r>
          </w:p>
          <w:p>
            <w:pPr>
              <w:pStyle w:val="2"/>
              <w:spacing w:before="0" w:after="0" w:line="360" w:lineRule="auto"/>
              <w:ind w:right="0" w:firstLine="480" w:firstLineChars="200"/>
              <w:rPr>
                <w:sz w:val="24"/>
                <w:szCs w:val="24"/>
              </w:rPr>
            </w:pPr>
            <w:r>
              <w:rPr>
                <w:sz w:val="24"/>
                <w:szCs w:val="24"/>
              </w:rPr>
              <w:t>（2）AAO工艺（好氧段采用MBBR）</w:t>
            </w:r>
          </w:p>
          <w:p>
            <w:pPr>
              <w:pStyle w:val="2"/>
              <w:spacing w:before="0" w:after="0" w:line="360" w:lineRule="auto"/>
              <w:ind w:right="0" w:firstLine="480" w:firstLineChars="200"/>
              <w:rPr>
                <w:sz w:val="24"/>
              </w:rPr>
            </w:pPr>
            <w:r>
              <w:rPr>
                <w:sz w:val="24"/>
              </w:rPr>
              <w:t>厌氧+缺氧+好氧（好氧段采用MBBR），即AAO+MBBR，是在A-A-O工艺中好氧段采用MBBR悬浮填料的工艺。</w:t>
            </w:r>
          </w:p>
          <w:p>
            <w:pPr>
              <w:pStyle w:val="2"/>
              <w:spacing w:before="0" w:after="0" w:line="360" w:lineRule="auto"/>
              <w:ind w:right="0" w:firstLine="480" w:firstLineChars="200"/>
              <w:rPr>
                <w:sz w:val="24"/>
              </w:rPr>
            </w:pPr>
            <w:r>
              <w:rPr>
                <w:sz w:val="24"/>
              </w:rPr>
              <w:t>AAO+MBB工艺是流程较简单的处理工艺，在这种小型污水处理厂应用最广泛的脱氮除磷工艺。污水首先进入厌氧池，兼性厌氧菌将污水中的易降解有机物转化成VFAs。回流污泥带入的聚磷菌将体内的聚磷分解，此为释磷，所释放的能量一部分可供好氧的聚磷菌在厌氧环境下维持生存，另一部分供聚磷菌主动吸收VFAs，并在体内储存PHB。进入缺氧区，反硝化细菌就利用混合液回流带入的硝酸盐及进水中的有机物进行反硝化脱氮，接着进入好氧区，好氧池目前主要有两种方式，活性污泥法和生物接触氧化法，对于前种如果操作不当，容易产生污泥膨胀，且占地面积较大，而后者不会产生污泥膨胀，运行简单稳定，适合处理规模不大的污水，如乡镇污水处理。</w:t>
            </w:r>
          </w:p>
          <w:p>
            <w:pPr>
              <w:pStyle w:val="2"/>
              <w:spacing w:before="0" w:after="0" w:line="360" w:lineRule="auto"/>
              <w:ind w:right="0" w:firstLine="480" w:firstLineChars="200"/>
              <w:rPr>
                <w:sz w:val="24"/>
              </w:rPr>
            </w:pPr>
            <w:r>
              <w:rPr>
                <w:sz w:val="24"/>
              </w:rPr>
              <w:t>移动床生物膜工艺（MovingBedBiofilmReactor，MBBR），是目前国际上成熟的污水生化处理技术。该工艺以悬浮填料为微生物提供生长载体，通过悬浮填料的充分流化，实现污水的高效处理。该工艺充分汲取了生物接触氧化及生物流化床的优点，克服了其传质效率低、处理效率差、流化动力高等缺点，运用生物膜法的基本原理，充分利用了活性污泥法的优点，实现生物膜工艺的活性污泥方式运行。结合AA/O这一主流活性污泥处理工艺，加强了工艺运行灵活性，满足脱氮除磷需要。</w:t>
            </w:r>
          </w:p>
          <w:p>
            <w:pPr>
              <w:spacing w:line="500" w:lineRule="atLeast"/>
              <w:jc w:val="center"/>
            </w:pPr>
            <w:r>
              <w:drawing>
                <wp:inline distT="0" distB="0" distL="114300" distR="114300">
                  <wp:extent cx="3164205" cy="719455"/>
                  <wp:effectExtent l="0" t="0" r="17145" b="444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4"/>
                          <a:srcRect l="20139"/>
                          <a:stretch>
                            <a:fillRect/>
                          </a:stretch>
                        </pic:blipFill>
                        <pic:spPr>
                          <a:xfrm>
                            <a:off x="0" y="0"/>
                            <a:ext cx="3164205" cy="719455"/>
                          </a:xfrm>
                          <a:prstGeom prst="rect">
                            <a:avLst/>
                          </a:prstGeom>
                          <a:noFill/>
                          <a:ln>
                            <a:noFill/>
                          </a:ln>
                        </pic:spPr>
                      </pic:pic>
                    </a:graphicData>
                  </a:graphic>
                </wp:inline>
              </w:drawing>
            </w:r>
          </w:p>
          <w:p>
            <w:pPr>
              <w:jc w:val="center"/>
              <w:rPr>
                <w:rFonts w:eastAsia="黑体"/>
                <w:kern w:val="0"/>
                <w:sz w:val="24"/>
              </w:rPr>
            </w:pPr>
            <w:r>
              <w:rPr>
                <w:rFonts w:eastAsia="黑体"/>
                <w:sz w:val="24"/>
              </w:rPr>
              <w:t>图2-3  AAO+MBBR填料组合一体化处理工艺</w:t>
            </w:r>
          </w:p>
          <w:p>
            <w:pPr>
              <w:pStyle w:val="2"/>
              <w:spacing w:before="0" w:after="0" w:line="360" w:lineRule="auto"/>
              <w:ind w:right="0" w:firstLine="480" w:firstLineChars="200"/>
              <w:rPr>
                <w:sz w:val="24"/>
              </w:rPr>
            </w:pPr>
            <w:r>
              <w:rPr>
                <w:sz w:val="24"/>
              </w:rPr>
              <w:t>此工艺的重点在于接近于水，轻微搅拌下易于随水自由运动的生物填料，要求生物填料具有有效表面积大、适合微生物附着生长等特点，填料的结构以具有受保护的可供微生物生长的内表面积的特征。</w:t>
            </w:r>
          </w:p>
          <w:p>
            <w:pPr>
              <w:pStyle w:val="2"/>
              <w:spacing w:before="0" w:after="0" w:line="360" w:lineRule="auto"/>
              <w:ind w:right="0" w:firstLine="480" w:firstLineChars="200"/>
              <w:rPr>
                <w:sz w:val="24"/>
              </w:rPr>
            </w:pPr>
            <w:r>
              <w:rPr>
                <w:sz w:val="24"/>
              </w:rPr>
              <w:t>MBBR工艺原理示意图所示。在好氧条件下，曝气充氧时，空气泡的上升浮力推动填料和周围的水体流动起来，当气流穿过水流和填料的空隙时又被填料阻滞，并被分割成小气泡。在这样的过程中，填料被充分地搅拌并与水流混合，而空气流又被充分地分割成细小的气泡，增加了生物膜与氧气的接触和传氧效率。在厌氧条件下，水流和填料在潜水搅拌器的作用下充分流化起来，达到生物膜和被处理的污染物充分接触而降解的目的。</w:t>
            </w:r>
          </w:p>
          <w:p>
            <w:pPr>
              <w:pStyle w:val="2"/>
              <w:spacing w:before="0" w:after="0" w:line="360" w:lineRule="auto"/>
              <w:ind w:right="0" w:firstLine="480" w:firstLineChars="200"/>
              <w:rPr>
                <w:sz w:val="24"/>
              </w:rPr>
            </w:pPr>
            <w:r>
              <w:rPr>
                <w:sz w:val="24"/>
              </w:rPr>
              <w:t>MBBR流动床生物膜工艺相对于传统生物膜法(固定床生物膜工艺的堵塞和配水不均，以及生物流化床工艺的流化局限)，具有一定优势。</w:t>
            </w:r>
          </w:p>
          <w:p>
            <w:pPr>
              <w:spacing w:line="360" w:lineRule="auto"/>
              <w:jc w:val="center"/>
              <w:rPr>
                <w:kern w:val="0"/>
                <w:sz w:val="20"/>
                <w:szCs w:val="21"/>
                <w:shd w:val="clear" w:color="auto" w:fill="FFFFFF"/>
              </w:rPr>
            </w:pPr>
            <w:r>
              <w:rPr>
                <w:kern w:val="0"/>
                <w:sz w:val="20"/>
                <w:szCs w:val="21"/>
                <w:shd w:val="clear" w:color="auto" w:fill="FFFFFF"/>
              </w:rPr>
              <w:drawing>
                <wp:inline distT="0" distB="0" distL="114300" distR="114300">
                  <wp:extent cx="3602355" cy="1573530"/>
                  <wp:effectExtent l="0" t="0" r="17145" b="762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5"/>
                          <a:stretch>
                            <a:fillRect/>
                          </a:stretch>
                        </pic:blipFill>
                        <pic:spPr>
                          <a:xfrm>
                            <a:off x="0" y="0"/>
                            <a:ext cx="3602355" cy="1573530"/>
                          </a:xfrm>
                          <a:prstGeom prst="rect">
                            <a:avLst/>
                          </a:prstGeom>
                          <a:noFill/>
                          <a:ln>
                            <a:noFill/>
                          </a:ln>
                        </pic:spPr>
                      </pic:pic>
                    </a:graphicData>
                  </a:graphic>
                </wp:inline>
              </w:drawing>
            </w:r>
          </w:p>
          <w:p>
            <w:pPr>
              <w:spacing w:line="360" w:lineRule="auto"/>
              <w:jc w:val="center"/>
              <w:rPr>
                <w:rFonts w:eastAsia="黑体"/>
                <w:sz w:val="24"/>
              </w:rPr>
            </w:pPr>
            <w:r>
              <w:rPr>
                <w:rFonts w:eastAsia="黑体"/>
                <w:sz w:val="24"/>
              </w:rPr>
              <w:t>图2-4  填料流化原理示意图</w:t>
            </w:r>
          </w:p>
          <w:p>
            <w:pPr>
              <w:spacing w:line="360" w:lineRule="auto"/>
              <w:jc w:val="center"/>
              <w:rPr>
                <w:rFonts w:eastAsia="黑体"/>
                <w:kern w:val="0"/>
                <w:sz w:val="24"/>
                <w:shd w:val="clear" w:color="auto" w:fill="FFFFFF"/>
              </w:rPr>
            </w:pPr>
            <w:r>
              <w:rPr>
                <w:rFonts w:eastAsia="黑体"/>
                <w:kern w:val="0"/>
                <w:sz w:val="24"/>
                <w:shd w:val="clear" w:color="auto" w:fill="FFFFFF"/>
              </w:rPr>
              <w:drawing>
                <wp:inline distT="0" distB="0" distL="114300" distR="114300">
                  <wp:extent cx="1727835" cy="1360170"/>
                  <wp:effectExtent l="0" t="0" r="5715" b="1143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6"/>
                          <a:stretch>
                            <a:fillRect/>
                          </a:stretch>
                        </pic:blipFill>
                        <pic:spPr>
                          <a:xfrm>
                            <a:off x="0" y="0"/>
                            <a:ext cx="1727835" cy="1360170"/>
                          </a:xfrm>
                          <a:prstGeom prst="rect">
                            <a:avLst/>
                          </a:prstGeom>
                          <a:noFill/>
                          <a:ln>
                            <a:noFill/>
                          </a:ln>
                        </pic:spPr>
                      </pic:pic>
                    </a:graphicData>
                  </a:graphic>
                </wp:inline>
              </w:drawing>
            </w:r>
            <w:r>
              <w:rPr>
                <w:rFonts w:eastAsia="黑体"/>
                <w:kern w:val="0"/>
                <w:sz w:val="24"/>
                <w:shd w:val="clear" w:color="auto" w:fill="FFFFFF"/>
              </w:rPr>
              <w:t xml:space="preserve">        </w:t>
            </w:r>
            <w:r>
              <w:rPr>
                <w:rFonts w:eastAsia="黑体"/>
                <w:kern w:val="0"/>
                <w:sz w:val="24"/>
                <w:shd w:val="clear" w:color="auto" w:fill="FFFFFF"/>
              </w:rPr>
              <w:drawing>
                <wp:inline distT="0" distB="0" distL="114300" distR="114300">
                  <wp:extent cx="1729105" cy="1348740"/>
                  <wp:effectExtent l="0" t="0" r="4445" b="381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7"/>
                          <a:stretch>
                            <a:fillRect/>
                          </a:stretch>
                        </pic:blipFill>
                        <pic:spPr>
                          <a:xfrm>
                            <a:off x="0" y="0"/>
                            <a:ext cx="1729105" cy="1348740"/>
                          </a:xfrm>
                          <a:prstGeom prst="rect">
                            <a:avLst/>
                          </a:prstGeom>
                          <a:noFill/>
                          <a:ln>
                            <a:noFill/>
                          </a:ln>
                        </pic:spPr>
                      </pic:pic>
                    </a:graphicData>
                  </a:graphic>
                </wp:inline>
              </w:drawing>
            </w:r>
          </w:p>
          <w:p>
            <w:pPr>
              <w:spacing w:line="360" w:lineRule="auto"/>
              <w:jc w:val="center"/>
              <w:rPr>
                <w:rFonts w:eastAsia="黑体"/>
                <w:sz w:val="24"/>
              </w:rPr>
            </w:pPr>
            <w:r>
              <w:rPr>
                <w:rFonts w:eastAsia="黑体"/>
                <w:sz w:val="24"/>
              </w:rPr>
              <w:t>图2-5  悬浮载体填料</w:t>
            </w:r>
          </w:p>
          <w:p>
            <w:pPr>
              <w:spacing w:line="360" w:lineRule="auto"/>
              <w:ind w:firstLine="482" w:firstLineChars="200"/>
              <w:rPr>
                <w:b/>
                <w:bCs/>
                <w:kern w:val="0"/>
                <w:sz w:val="24"/>
              </w:rPr>
            </w:pPr>
            <w:r>
              <w:rPr>
                <w:b/>
                <w:bCs/>
                <w:kern w:val="0"/>
                <w:sz w:val="24"/>
              </w:rPr>
              <w:t>MBBR悬浮填料模块的构成</w:t>
            </w:r>
          </w:p>
          <w:p>
            <w:pPr>
              <w:spacing w:line="360" w:lineRule="auto"/>
              <w:ind w:firstLine="480" w:firstLineChars="200"/>
              <w:rPr>
                <w:kern w:val="0"/>
                <w:sz w:val="24"/>
              </w:rPr>
            </w:pPr>
            <w:r>
              <w:rPr>
                <w:kern w:val="0"/>
                <w:sz w:val="24"/>
              </w:rPr>
              <w:t>A、填料</w:t>
            </w:r>
          </w:p>
          <w:p>
            <w:pPr>
              <w:spacing w:line="360" w:lineRule="auto"/>
              <w:ind w:firstLine="480" w:firstLineChars="200"/>
              <w:rPr>
                <w:kern w:val="0"/>
                <w:sz w:val="24"/>
              </w:rPr>
            </w:pPr>
            <w:r>
              <w:rPr>
                <w:kern w:val="0"/>
                <w:sz w:val="24"/>
              </w:rPr>
              <w:t>MBBR工艺的核心是实现悬浮载体填料的充分流化，以达到强化处理污染物的目的，因此，该工艺实质是涉及生物填料、池体设计、曝气系统、拦截筛网、推进器、填料投加与打捞设备的有机统一。</w:t>
            </w:r>
          </w:p>
          <w:p>
            <w:pPr>
              <w:spacing w:line="360" w:lineRule="auto"/>
              <w:ind w:firstLine="480" w:firstLineChars="200"/>
              <w:rPr>
                <w:kern w:val="0"/>
                <w:sz w:val="24"/>
              </w:rPr>
            </w:pPr>
            <w:r>
              <w:rPr>
                <w:sz w:val="24"/>
              </w:rPr>
              <w:t>在曝气区内生物填料的流化主要依靠曝气系统来实现。在好氧区中，通过适当的曝气系统确保生物载体流化填料的流化效果，确保流化填料在水体中做上下、前后的流动，确保填料与污水进行充分的混和、碰撞、接触，有效完成污染物、水、气三向的接触、交换、吸附等过程。采用穿孔管曝气进行曝气，可以确保生物流化填料进行上下的流化运动以及促进填料的脱膜挂膜过程。填料比重选择为0.94-0.97，在培菌期</w:t>
            </w:r>
            <w:r>
              <w:rPr>
                <w:kern w:val="0"/>
                <w:sz w:val="24"/>
              </w:rPr>
              <w:t>间，填料表面会慢慢附着大量的生物膜，附着量越大，比重逐渐增加，当填料上生物膜到一定厚度时，其比重大于1，填料从非曝气区下沉到水池底部，曝气区底部的冲击力最强，能迅速冲洗掉填料上的残余生物膜，脱膜后的填料比重也随之降低到1以下，并在曝气区上升。根据挂膜前后的比重变化特点，填料可以随水流在曝气区和非曝气区翻腾，从而交替完成了生物膜的生长和脱落过程，保证生物膜的数量稳定性和活性，使工艺运行较稳定。为了防止流化悬浮填料随混合液进入下一个环节，在好氧区内适当位置设计采用筛网进行简单拦截和分隔。筛网材质选用不锈钢，型式与悬浮填料配套。</w:t>
            </w:r>
          </w:p>
          <w:p>
            <w:pPr>
              <w:spacing w:line="360" w:lineRule="auto"/>
              <w:ind w:firstLine="480" w:firstLineChars="200"/>
              <w:rPr>
                <w:kern w:val="0"/>
                <w:sz w:val="24"/>
              </w:rPr>
            </w:pPr>
            <w:r>
              <w:rPr>
                <w:kern w:val="0"/>
                <w:sz w:val="24"/>
              </w:rPr>
              <w:t>B、曝气系统</w:t>
            </w:r>
          </w:p>
          <w:p>
            <w:pPr>
              <w:spacing w:line="360" w:lineRule="auto"/>
              <w:ind w:firstLine="480" w:firstLineChars="200"/>
              <w:rPr>
                <w:kern w:val="0"/>
                <w:sz w:val="24"/>
              </w:rPr>
            </w:pPr>
            <w:r>
              <w:rPr>
                <w:kern w:val="0"/>
                <w:sz w:val="24"/>
              </w:rPr>
              <w:t>MBBR悬浮填料模块工艺中微生物所需的氧通常通过机械曝气供给，曝气系统主要有三个作用：</w:t>
            </w:r>
          </w:p>
          <w:p>
            <w:pPr>
              <w:spacing w:line="360" w:lineRule="auto"/>
              <w:ind w:firstLine="480" w:firstLineChars="200"/>
              <w:rPr>
                <w:kern w:val="0"/>
                <w:sz w:val="24"/>
              </w:rPr>
            </w:pPr>
            <w:r>
              <w:rPr>
                <w:kern w:val="0"/>
                <w:sz w:val="24"/>
              </w:rPr>
              <w:t>第一，充氧。生物MBBR悬浮填料模块法主要是利用好氧菌完成生物净化作用，微生物的氧化、合成和内源呼吸全部需要氧。所以，除了营养物质外，氧是保持微生物正常活动的一个重要条件。曝气系统使MBBR悬浮填料模块池中的溶解氧控制在一个相当的水平上。</w:t>
            </w:r>
          </w:p>
          <w:p>
            <w:pPr>
              <w:spacing w:line="360" w:lineRule="auto"/>
              <w:ind w:firstLine="480" w:firstLineChars="200"/>
              <w:rPr>
                <w:kern w:val="0"/>
                <w:sz w:val="24"/>
              </w:rPr>
            </w:pPr>
            <w:r>
              <w:rPr>
                <w:kern w:val="0"/>
                <w:sz w:val="24"/>
              </w:rPr>
              <w:t>第二，充分搅拌，形成紊流。从流体力学的观点来看，曝气系统使池内的水流充分搅动，形成紊流，紊流愈甚，被处理水与生物膜的接触效率愈高，传质效应良好，从而提高处理效果。</w:t>
            </w:r>
          </w:p>
          <w:p>
            <w:pPr>
              <w:spacing w:line="360" w:lineRule="auto"/>
              <w:ind w:firstLine="480" w:firstLineChars="200"/>
              <w:rPr>
                <w:kern w:val="0"/>
                <w:sz w:val="24"/>
              </w:rPr>
            </w:pPr>
            <w:r>
              <w:rPr>
                <w:kern w:val="0"/>
                <w:sz w:val="24"/>
              </w:rPr>
              <w:t>第三，防止填料堵塞，促进生物膜更新。曝气系统的搅动作用使填料上衰老的生物膜及时剥落，防止填料堵塞。同时，还促进生物膜更新，提高处理效果。</w:t>
            </w:r>
          </w:p>
          <w:p>
            <w:pPr>
              <w:spacing w:line="360" w:lineRule="auto"/>
              <w:ind w:firstLine="482" w:firstLineChars="200"/>
              <w:rPr>
                <w:b/>
                <w:bCs/>
                <w:kern w:val="0"/>
                <w:sz w:val="24"/>
              </w:rPr>
            </w:pPr>
            <w:r>
              <w:rPr>
                <w:b/>
                <w:bCs/>
                <w:kern w:val="0"/>
                <w:sz w:val="24"/>
              </w:rPr>
              <w:t>优缺点：</w:t>
            </w:r>
          </w:p>
          <w:p>
            <w:pPr>
              <w:spacing w:line="360" w:lineRule="auto"/>
              <w:ind w:firstLine="480" w:firstLineChars="200"/>
              <w:rPr>
                <w:kern w:val="0"/>
                <w:sz w:val="24"/>
              </w:rPr>
            </w:pPr>
            <w:r>
              <w:rPr>
                <w:kern w:val="0"/>
                <w:sz w:val="24"/>
              </w:rPr>
              <w:t>A、容积负荷高，节约占地</w:t>
            </w:r>
          </w:p>
          <w:p>
            <w:pPr>
              <w:spacing w:line="360" w:lineRule="auto"/>
              <w:ind w:firstLine="480" w:firstLineChars="200"/>
              <w:rPr>
                <w:kern w:val="0"/>
                <w:sz w:val="24"/>
              </w:rPr>
            </w:pPr>
            <w:r>
              <w:rPr>
                <w:kern w:val="0"/>
                <w:sz w:val="24"/>
              </w:rPr>
              <w:t>对比活性污泥法，可显著提高有效生物量，对比生物膜法，填料流化显著提高传质效果。</w:t>
            </w:r>
          </w:p>
          <w:p>
            <w:pPr>
              <w:spacing w:line="360" w:lineRule="auto"/>
              <w:ind w:firstLine="480" w:firstLineChars="200"/>
              <w:rPr>
                <w:kern w:val="0"/>
                <w:sz w:val="24"/>
              </w:rPr>
            </w:pPr>
            <w:r>
              <w:rPr>
                <w:kern w:val="0"/>
                <w:sz w:val="24"/>
              </w:rPr>
              <w:t>B、可同步强化脱氮除磷</w:t>
            </w:r>
          </w:p>
          <w:p>
            <w:pPr>
              <w:spacing w:line="360" w:lineRule="auto"/>
              <w:ind w:firstLine="480" w:firstLineChars="200"/>
              <w:rPr>
                <w:kern w:val="0"/>
                <w:sz w:val="24"/>
              </w:rPr>
            </w:pPr>
            <w:r>
              <w:rPr>
                <w:kern w:val="0"/>
                <w:sz w:val="24"/>
              </w:rPr>
              <w:t>采用活性污泥-悬浮填料复合工艺，可实现同一反应器内不同功能微生物的</w:t>
            </w:r>
            <w:r>
              <w:rPr>
                <w:rFonts w:hint="eastAsia"/>
                <w:kern w:val="0"/>
                <w:sz w:val="24"/>
              </w:rPr>
              <w:t>污泥</w:t>
            </w:r>
            <w:r>
              <w:rPr>
                <w:kern w:val="0"/>
                <w:sz w:val="24"/>
              </w:rPr>
              <w:t>分离。</w:t>
            </w:r>
          </w:p>
          <w:p>
            <w:pPr>
              <w:spacing w:line="360" w:lineRule="auto"/>
              <w:ind w:firstLine="480" w:firstLineChars="200"/>
              <w:rPr>
                <w:kern w:val="0"/>
                <w:sz w:val="24"/>
              </w:rPr>
            </w:pPr>
            <w:r>
              <w:rPr>
                <w:kern w:val="0"/>
                <w:sz w:val="24"/>
              </w:rPr>
              <w:t>C、抗冲击负荷能力强，恶劣水质条件下仍表现较好处理效果</w:t>
            </w:r>
          </w:p>
          <w:p>
            <w:pPr>
              <w:spacing w:line="360" w:lineRule="auto"/>
              <w:ind w:firstLine="480" w:firstLineChars="200"/>
              <w:rPr>
                <w:kern w:val="0"/>
                <w:sz w:val="24"/>
              </w:rPr>
            </w:pPr>
            <w:r>
              <w:rPr>
                <w:kern w:val="0"/>
                <w:sz w:val="24"/>
              </w:rPr>
              <w:t>MBBR工艺填料区污泥龄长，增大微生物种群的丰度，有利于难降解有机物的处理。低温、高盐、低基质等恶劣水质条件下，MBBR长泥龄及局部存在好氧、缺氧微环境，有利于其对于恶劣水质条件下，适应微生物的筛选与富集。</w:t>
            </w:r>
          </w:p>
          <w:p>
            <w:pPr>
              <w:spacing w:line="360" w:lineRule="auto"/>
              <w:ind w:firstLine="480" w:firstLineChars="200"/>
              <w:rPr>
                <w:kern w:val="0"/>
                <w:sz w:val="24"/>
              </w:rPr>
            </w:pPr>
            <w:r>
              <w:rPr>
                <w:kern w:val="0"/>
                <w:sz w:val="24"/>
              </w:rPr>
              <w:t>D、无活性污泥工艺易污泥膨胀等问题</w:t>
            </w:r>
          </w:p>
          <w:p>
            <w:pPr>
              <w:spacing w:line="360" w:lineRule="auto"/>
              <w:ind w:firstLine="480" w:firstLineChars="200"/>
              <w:rPr>
                <w:kern w:val="0"/>
                <w:sz w:val="24"/>
              </w:rPr>
            </w:pPr>
            <w:r>
              <w:rPr>
                <w:kern w:val="0"/>
                <w:sz w:val="24"/>
              </w:rPr>
              <w:t>采用活性污泥-悬浮填料复合工艺时，由于老化脱落的生物膜无机质比例较高，密度大易于沉降；且生物膜胞外聚合物比活性污泥更多，具有接触絮凝效果，提高污泥聚集性能，提高污泥沉降性能。</w:t>
            </w:r>
          </w:p>
          <w:p>
            <w:pPr>
              <w:spacing w:line="360" w:lineRule="auto"/>
              <w:ind w:firstLine="480" w:firstLineChars="200"/>
              <w:rPr>
                <w:kern w:val="0"/>
                <w:sz w:val="24"/>
              </w:rPr>
            </w:pPr>
            <w:r>
              <w:rPr>
                <w:kern w:val="0"/>
                <w:sz w:val="24"/>
              </w:rPr>
              <w:t>E、污泥产量较低，节约污泥处置费用</w:t>
            </w:r>
          </w:p>
          <w:p>
            <w:pPr>
              <w:spacing w:line="360" w:lineRule="auto"/>
              <w:ind w:firstLine="480" w:firstLineChars="200"/>
              <w:rPr>
                <w:kern w:val="0"/>
                <w:sz w:val="24"/>
              </w:rPr>
            </w:pPr>
            <w:r>
              <w:rPr>
                <w:kern w:val="0"/>
                <w:sz w:val="24"/>
              </w:rPr>
              <w:t>生物膜法的污泥产率仅为活性污泥工艺的一半，采用MBBR工艺可显著降低剩余污泥产量，且污泥沉降性能的提升，易于降低污泥含水率，可节约污泥处置费用。</w:t>
            </w:r>
          </w:p>
          <w:p>
            <w:pPr>
              <w:spacing w:line="360" w:lineRule="auto"/>
              <w:ind w:firstLine="480" w:firstLineChars="200"/>
              <w:rPr>
                <w:kern w:val="0"/>
                <w:sz w:val="24"/>
              </w:rPr>
            </w:pPr>
            <w:r>
              <w:rPr>
                <w:kern w:val="0"/>
                <w:sz w:val="24"/>
              </w:rPr>
              <w:t>F、无固定床生物膜工艺易堵塞、需反冲洗、滋生红虫等问题</w:t>
            </w:r>
          </w:p>
          <w:p>
            <w:pPr>
              <w:spacing w:line="360" w:lineRule="auto"/>
              <w:ind w:firstLine="480" w:firstLineChars="200"/>
              <w:rPr>
                <w:kern w:val="0"/>
                <w:sz w:val="24"/>
              </w:rPr>
            </w:pPr>
            <w:r>
              <w:rPr>
                <w:kern w:val="0"/>
                <w:sz w:val="24"/>
              </w:rPr>
              <w:t>固定床工艺经常出现配水不均匀易产生死区、需定期反冲洗额外耗能及需配套设施、受红虫困扰降低硝化性能等问题。由于填料和水流在生物池的整个容积内都能得到混合，从根本上杜绝了生物池的堵塞可能，池容得到完全利用，无需反冲洗。</w:t>
            </w:r>
          </w:p>
          <w:p>
            <w:pPr>
              <w:pStyle w:val="2"/>
              <w:spacing w:before="0" w:after="0" w:line="360" w:lineRule="auto"/>
              <w:ind w:right="0" w:firstLine="480" w:firstLineChars="200"/>
              <w:rPr>
                <w:sz w:val="24"/>
                <w:szCs w:val="24"/>
              </w:rPr>
            </w:pPr>
            <w:r>
              <w:rPr>
                <w:sz w:val="24"/>
                <w:szCs w:val="24"/>
              </w:rPr>
              <w:t>（3）MBR工艺</w:t>
            </w:r>
          </w:p>
          <w:p>
            <w:pPr>
              <w:pStyle w:val="2"/>
              <w:spacing w:before="0" w:after="0" w:line="360" w:lineRule="auto"/>
              <w:ind w:right="0" w:firstLine="480" w:firstLineChars="200"/>
              <w:rPr>
                <w:sz w:val="24"/>
                <w:szCs w:val="24"/>
              </w:rPr>
            </w:pPr>
            <w:r>
              <w:rPr>
                <w:sz w:val="24"/>
                <w:szCs w:val="24"/>
              </w:rPr>
              <w:t>MBR技术把传统生化处理的生物降解作用和膜的高效分离技术融为一体，具有出水水质好且稳定、处理负荷高、装置占地面积小、产泥量小、操作管理简单等特点。</w:t>
            </w:r>
          </w:p>
          <w:p>
            <w:pPr>
              <w:pStyle w:val="2"/>
              <w:spacing w:before="0" w:after="0" w:line="360" w:lineRule="auto"/>
              <w:ind w:right="0" w:firstLine="480" w:firstLineChars="200"/>
              <w:rPr>
                <w:sz w:val="24"/>
                <w:szCs w:val="24"/>
              </w:rPr>
            </w:pPr>
            <w:r>
              <w:rPr>
                <w:sz w:val="24"/>
                <w:szCs w:val="24"/>
              </w:rPr>
              <w:t>MBR可以在高浓度的活性污泥（7000~18000mg/L）条件下进行生物反应。在MBR中，含有更多有机组分的污水在短时间内或在更小的空间内可以被分解，生物反应速度快。MBR工艺，不需要二沉池，因此相比传统的活性污泥法来说，采用MBR工艺空间要小得多。它可以适用于既有设备的扩容改造，也可以减少新建设备的占地面积。膜分离不可能像沉降分离那样发生悬浮物泄漏的问题，而且一些微生物如大肠杆菌，隐孢子虫等均可被滤膜除去。</w:t>
            </w:r>
          </w:p>
          <w:p>
            <w:pPr>
              <w:pStyle w:val="2"/>
              <w:spacing w:before="0" w:after="0" w:line="360" w:lineRule="auto"/>
              <w:ind w:right="0"/>
              <w:jc w:val="center"/>
            </w:pPr>
            <w:r>
              <w:drawing>
                <wp:inline distT="0" distB="0" distL="114300" distR="114300">
                  <wp:extent cx="5037455" cy="3178175"/>
                  <wp:effectExtent l="0" t="0" r="10795" b="317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8"/>
                          <a:stretch>
                            <a:fillRect/>
                          </a:stretch>
                        </pic:blipFill>
                        <pic:spPr>
                          <a:xfrm>
                            <a:off x="0" y="0"/>
                            <a:ext cx="5037455" cy="3178175"/>
                          </a:xfrm>
                          <a:prstGeom prst="rect">
                            <a:avLst/>
                          </a:prstGeom>
                          <a:noFill/>
                          <a:ln>
                            <a:noFill/>
                          </a:ln>
                        </pic:spPr>
                      </pic:pic>
                    </a:graphicData>
                  </a:graphic>
                </wp:inline>
              </w:drawing>
            </w:r>
          </w:p>
          <w:p>
            <w:pPr>
              <w:pStyle w:val="2"/>
              <w:spacing w:before="0" w:after="0" w:line="360" w:lineRule="auto"/>
              <w:ind w:right="0"/>
              <w:jc w:val="center"/>
              <w:rPr>
                <w:rFonts w:eastAsia="黑体"/>
                <w:sz w:val="24"/>
                <w:szCs w:val="24"/>
              </w:rPr>
            </w:pPr>
            <w:r>
              <w:rPr>
                <w:rFonts w:eastAsia="黑体"/>
                <w:sz w:val="24"/>
                <w:szCs w:val="24"/>
              </w:rPr>
              <w:t>图2-6  MBR工艺与传统活性污泥工艺对比简图</w:t>
            </w:r>
          </w:p>
          <w:p>
            <w:pPr>
              <w:pStyle w:val="2"/>
              <w:spacing w:before="0" w:after="0" w:line="360" w:lineRule="auto"/>
              <w:ind w:right="0" w:firstLine="480" w:firstLineChars="200"/>
              <w:rPr>
                <w:sz w:val="24"/>
              </w:rPr>
            </w:pPr>
            <w:r>
              <w:rPr>
                <w:sz w:val="24"/>
              </w:rPr>
              <w:t>与许多传统的生物水处理工艺相比，MBR具有以下主要特点：</w:t>
            </w:r>
          </w:p>
          <w:p>
            <w:pPr>
              <w:pStyle w:val="2"/>
              <w:spacing w:before="0" w:after="0" w:line="360" w:lineRule="auto"/>
              <w:ind w:right="0" w:firstLine="480" w:firstLineChars="200"/>
              <w:rPr>
                <w:sz w:val="24"/>
              </w:rPr>
            </w:pPr>
            <w:r>
              <w:rPr>
                <w:sz w:val="24"/>
              </w:rPr>
              <w:t>①出水水质好：能够高效地进行固液分离，出水水质良好、稳定，悬浮物、浊度接近于零，可实现中水回用；同时，与传统生物处理工艺相比，其生物相活性污泥浓度提高了3倍以上，因此生化效率得到大大提高。</w:t>
            </w:r>
          </w:p>
          <w:p>
            <w:pPr>
              <w:pStyle w:val="2"/>
              <w:spacing w:before="0" w:after="0" w:line="360" w:lineRule="auto"/>
              <w:ind w:right="0" w:firstLine="480" w:firstLineChars="200"/>
              <w:rPr>
                <w:sz w:val="24"/>
              </w:rPr>
            </w:pPr>
            <w:r>
              <w:rPr>
                <w:sz w:val="24"/>
              </w:rPr>
              <w:t>②占地面积小：反应器内的微生物浓度高，大大提高容积负荷（可达2～5kgCOD/m</w:t>
            </w:r>
            <w:r>
              <w:rPr>
                <w:sz w:val="24"/>
                <w:vertAlign w:val="superscript"/>
              </w:rPr>
              <w:t>3</w:t>
            </w:r>
            <w:r>
              <w:rPr>
                <w:sz w:val="24"/>
              </w:rPr>
              <w:t>.d），减小了生化池容积；采用膜生物反应器一个处理构筑物，替代了传统污水处理工艺的曝气、二沉、混凝、沉淀、过滤等多个处理构筑物，大大减少了对土地的占用。</w:t>
            </w:r>
          </w:p>
          <w:p>
            <w:pPr>
              <w:pStyle w:val="2"/>
              <w:spacing w:before="0" w:after="0" w:line="360" w:lineRule="auto"/>
              <w:ind w:right="0" w:firstLine="480" w:firstLineChars="200"/>
              <w:rPr>
                <w:sz w:val="24"/>
              </w:rPr>
            </w:pPr>
            <w:r>
              <w:rPr>
                <w:sz w:val="24"/>
              </w:rPr>
              <w:t>③剩余污泥排放少：有机负荷低、泥龄长，污泥产率低。</w:t>
            </w:r>
          </w:p>
          <w:p>
            <w:pPr>
              <w:pStyle w:val="2"/>
              <w:spacing w:before="0" w:after="0" w:line="360" w:lineRule="auto"/>
              <w:ind w:right="0" w:firstLine="480" w:firstLineChars="200"/>
              <w:rPr>
                <w:sz w:val="24"/>
              </w:rPr>
            </w:pPr>
            <w:r>
              <w:rPr>
                <w:sz w:val="24"/>
              </w:rPr>
              <w:t>④不受污泥膨胀的影响。</w:t>
            </w:r>
          </w:p>
          <w:p>
            <w:pPr>
              <w:pStyle w:val="2"/>
              <w:spacing w:before="0" w:after="0" w:line="360" w:lineRule="auto"/>
              <w:ind w:right="0" w:firstLine="480" w:firstLineChars="200"/>
              <w:rPr>
                <w:sz w:val="24"/>
              </w:rPr>
            </w:pPr>
            <w:r>
              <w:rPr>
                <w:sz w:val="24"/>
              </w:rPr>
              <w:t>⑤氨氮去除率高：有利于增殖缓慢的硝化菌的截流、生长和繁殖，氨氮去除效果好。</w:t>
            </w:r>
          </w:p>
          <w:p>
            <w:pPr>
              <w:pStyle w:val="2"/>
              <w:spacing w:before="0" w:after="0" w:line="360" w:lineRule="auto"/>
              <w:ind w:right="0" w:firstLine="480" w:firstLineChars="200"/>
              <w:rPr>
                <w:sz w:val="24"/>
              </w:rPr>
            </w:pPr>
            <w:r>
              <w:rPr>
                <w:sz w:val="24"/>
              </w:rPr>
              <w:t>⑥除磷效果好：污泥浓度高，可以直接进行脱水，避免传统工艺沉淀池和污泥浓缩池缺氧状况下磷的释放。以生化除磷为主，必要时可辅助化学除磷确保达标。可以直接将铝盐和铁盐投入生化池中，形成的磷酸盐沉淀几乎被膜全部截留，随剩余污泥排放，而传统的混凝过滤难以避免部分磷酸盐沉淀随SS随水带出。</w:t>
            </w:r>
          </w:p>
          <w:p>
            <w:pPr>
              <w:pStyle w:val="2"/>
              <w:spacing w:before="0" w:after="0" w:line="360" w:lineRule="auto"/>
              <w:ind w:right="0" w:firstLine="480" w:firstLineChars="200"/>
              <w:rPr>
                <w:sz w:val="24"/>
                <w:szCs w:val="24"/>
              </w:rPr>
            </w:pPr>
            <w:r>
              <w:rPr>
                <w:sz w:val="24"/>
              </w:rPr>
              <w:t>⑦抗水质冲击负荷能力强：由于具有很高的生物相浓度，因此抗冲击负荷的能力很强，尤其对于保证水质变化较大的城市污水处理设施的稳定运行，尤显重</w:t>
            </w:r>
            <w:r>
              <w:rPr>
                <w:sz w:val="24"/>
                <w:szCs w:val="24"/>
              </w:rPr>
              <w:t>要。</w:t>
            </w:r>
          </w:p>
          <w:p>
            <w:pPr>
              <w:pStyle w:val="2"/>
              <w:spacing w:before="0" w:after="0" w:line="360" w:lineRule="auto"/>
              <w:ind w:right="0" w:firstLine="480" w:firstLineChars="200"/>
              <w:rPr>
                <w:sz w:val="24"/>
                <w:szCs w:val="24"/>
              </w:rPr>
            </w:pPr>
            <w:r>
              <w:rPr>
                <w:sz w:val="24"/>
                <w:szCs w:val="24"/>
              </w:rPr>
              <w:t>⑧生物相丰富：膜的高效截留作用，使微生物完全截留在反应器内，可以使得世代周期较长的微生物以及不易形成菌胶团的微生物得以富集和繁殖，可以在整个生物相内形成生物富集和共代谢作用，形成较为完整的微生物链，大大提高处理效率和系统的稳定性，而这在传统生化工艺中较为少见。</w:t>
            </w:r>
          </w:p>
          <w:p>
            <w:pPr>
              <w:pStyle w:val="2"/>
              <w:spacing w:before="0" w:after="0" w:line="360" w:lineRule="auto"/>
              <w:ind w:right="0" w:firstLine="480" w:firstLineChars="200"/>
              <w:rPr>
                <w:sz w:val="24"/>
                <w:szCs w:val="24"/>
              </w:rPr>
            </w:pPr>
            <w:r>
              <w:rPr>
                <w:sz w:val="24"/>
                <w:szCs w:val="24"/>
              </w:rPr>
              <w:t>⑨自动化程度高，运行管理简便。</w:t>
            </w:r>
          </w:p>
          <w:p>
            <w:pPr>
              <w:pStyle w:val="2"/>
              <w:spacing w:before="0" w:after="0" w:line="360" w:lineRule="auto"/>
              <w:ind w:right="0" w:firstLine="480" w:firstLineChars="200"/>
              <w:rPr>
                <w:sz w:val="24"/>
                <w:szCs w:val="24"/>
              </w:rPr>
            </w:pPr>
            <w:r>
              <w:rPr>
                <w:sz w:val="24"/>
                <w:szCs w:val="24"/>
              </w:rPr>
              <w:t>⑩模块化设计：由于膜生物反应器技术的模块化特征，因此它可以通过增加必要的膜</w:t>
            </w:r>
            <w:r>
              <w:rPr>
                <w:rFonts w:hint="eastAsia"/>
                <w:sz w:val="24"/>
                <w:szCs w:val="24"/>
              </w:rPr>
              <w:t>组件</w:t>
            </w:r>
            <w:r>
              <w:rPr>
                <w:sz w:val="24"/>
                <w:szCs w:val="24"/>
              </w:rPr>
              <w:t>模块，来应对处理水量的增长。</w:t>
            </w:r>
          </w:p>
          <w:p>
            <w:pPr>
              <w:pStyle w:val="2"/>
              <w:spacing w:before="0" w:after="0" w:line="360" w:lineRule="auto"/>
              <w:ind w:right="0" w:firstLine="482" w:firstLineChars="200"/>
              <w:rPr>
                <w:b/>
                <w:bCs/>
                <w:sz w:val="24"/>
                <w:szCs w:val="24"/>
              </w:rPr>
            </w:pPr>
            <w:r>
              <w:rPr>
                <w:b/>
                <w:bCs/>
                <w:sz w:val="24"/>
                <w:szCs w:val="24"/>
              </w:rPr>
              <w:t>（4）二级处理工艺的确定</w:t>
            </w:r>
          </w:p>
          <w:p>
            <w:pPr>
              <w:pStyle w:val="2"/>
              <w:spacing w:before="0" w:after="0" w:line="360" w:lineRule="auto"/>
              <w:ind w:right="0" w:firstLine="480" w:firstLineChars="200"/>
              <w:rPr>
                <w:sz w:val="24"/>
                <w:szCs w:val="24"/>
              </w:rPr>
            </w:pPr>
            <w:r>
              <w:rPr>
                <w:sz w:val="24"/>
                <w:szCs w:val="24"/>
              </w:rPr>
              <w:t>本项目进场地中央硬化区域可使用，用地比较紧张，因此需要设施紧凑、占地面积小，因此，选择效率高的处理工艺，可大幅度降低用地面积。从上述工艺可以看出AAO+MBBR工艺，由于采用了活性污泥法与膜法的结合，大大增加了好氧段的实际污泥浓度，效率较高，可以减小设施占地面积，因此，工艺采用AAO+MBBR工艺。</w:t>
            </w:r>
          </w:p>
          <w:p>
            <w:pPr>
              <w:pStyle w:val="2"/>
              <w:spacing w:before="0" w:after="0" w:line="360" w:lineRule="auto"/>
              <w:ind w:right="0" w:firstLine="480" w:firstLineChars="200"/>
              <w:rPr>
                <w:b/>
                <w:bCs/>
                <w:sz w:val="24"/>
                <w:szCs w:val="24"/>
              </w:rPr>
            </w:pPr>
            <w:r>
              <w:rPr>
                <w:sz w:val="24"/>
                <w:szCs w:val="24"/>
              </w:rPr>
              <w:t>3</w:t>
            </w:r>
            <w:r>
              <w:rPr>
                <w:b/>
                <w:bCs/>
                <w:sz w:val="24"/>
                <w:szCs w:val="24"/>
              </w:rPr>
              <w:t>、消毒方案选择</w:t>
            </w:r>
          </w:p>
          <w:p>
            <w:pPr>
              <w:pStyle w:val="2"/>
              <w:spacing w:before="0" w:after="0" w:line="360" w:lineRule="auto"/>
              <w:ind w:right="0" w:firstLine="480" w:firstLineChars="200"/>
              <w:rPr>
                <w:sz w:val="24"/>
              </w:rPr>
            </w:pPr>
            <w:r>
              <w:rPr>
                <w:sz w:val="24"/>
              </w:rPr>
              <w:t>为了有效地保护附近水体，有效防止传染性病原菌对人们的危害，降低受纳水体的总大肠菌群数，对污水处理站出水进行消毒是十分必要的。常用的消毒方法有加氯消毒、ClO</w:t>
            </w:r>
            <w:r>
              <w:rPr>
                <w:sz w:val="24"/>
                <w:vertAlign w:val="subscript"/>
              </w:rPr>
              <w:t>2</w:t>
            </w:r>
            <w:r>
              <w:rPr>
                <w:sz w:val="24"/>
              </w:rPr>
              <w:t>、紫外线、臭氧、热处理、膜过滤等。</w:t>
            </w:r>
          </w:p>
          <w:p>
            <w:pPr>
              <w:pStyle w:val="2"/>
              <w:spacing w:before="0" w:after="0" w:line="360" w:lineRule="auto"/>
              <w:ind w:right="0" w:firstLine="480" w:firstLineChars="200"/>
              <w:rPr>
                <w:sz w:val="24"/>
              </w:rPr>
            </w:pPr>
            <w:r>
              <w:rPr>
                <w:sz w:val="24"/>
                <w:lang w:eastAsia="ja-JP"/>
              </w:rPr>
              <w:t>①</w:t>
            </w:r>
            <w:r>
              <w:rPr>
                <w:sz w:val="24"/>
              </w:rPr>
              <w:t>加氯法</w:t>
            </w:r>
          </w:p>
          <w:p>
            <w:pPr>
              <w:spacing w:line="360" w:lineRule="auto"/>
              <w:ind w:firstLine="482"/>
              <w:rPr>
                <w:kern w:val="0"/>
                <w:sz w:val="24"/>
              </w:rPr>
            </w:pPr>
            <w:r>
              <w:rPr>
                <w:kern w:val="0"/>
                <w:sz w:val="24"/>
              </w:rPr>
              <w:t>加氯法主要是投加液氯或氯化合物。液氯是迄今为止最常用的方法，其特点是液氯成本低、工艺成熟、效果稳定可靠。由于加氯法一般要求不少于30min的接触时间，接触池容积较大；氯气是剧毒危险品，存储氯气的钢瓶属高压容器，有潜在威胁，需要按安全规定修建氯库和加氯间；液氯消毒将生成有害的有机氯化物，在国外和我国，污水采用液氯消毒往往是应急措施，只是季节性或疫病流行时使用。含氯化合物包括次氯酸钠、漂白粉和二氧化氯等。其特点与液氯相似，但危险性小，对环境影响较小，但运行成本较高。在法国，离海岸较近的部分污水排放口和南部的几个排河二级污水处理厂采用了ClO</w:t>
            </w:r>
            <w:r>
              <w:rPr>
                <w:kern w:val="0"/>
                <w:sz w:val="24"/>
                <w:vertAlign w:val="subscript"/>
              </w:rPr>
              <w:t>2</w:t>
            </w:r>
            <w:r>
              <w:rPr>
                <w:kern w:val="0"/>
                <w:sz w:val="24"/>
              </w:rPr>
              <w:t>消毒。</w:t>
            </w:r>
          </w:p>
          <w:p>
            <w:pPr>
              <w:spacing w:line="360" w:lineRule="auto"/>
              <w:ind w:firstLine="482"/>
              <w:rPr>
                <w:kern w:val="0"/>
                <w:sz w:val="24"/>
              </w:rPr>
            </w:pPr>
            <w:r>
              <w:rPr>
                <w:kern w:val="0"/>
                <w:sz w:val="24"/>
              </w:rPr>
              <w:t>②氧化法</w:t>
            </w:r>
          </w:p>
          <w:p>
            <w:pPr>
              <w:spacing w:line="360" w:lineRule="auto"/>
              <w:ind w:firstLine="482"/>
              <w:rPr>
                <w:kern w:val="0"/>
                <w:sz w:val="24"/>
              </w:rPr>
            </w:pPr>
            <w:r>
              <w:rPr>
                <w:kern w:val="0"/>
                <w:sz w:val="24"/>
              </w:rPr>
              <w:t>氧化剂可以作为二级处理出水的消毒剂，最常用的是臭氧。臭氧消毒是杀菌彻底可靠，危险性较小，对环境基本上无副作用，接触时间比加氯法小。缺点是基建投资大，运行成本高。目前，一般只用于游泳池水和饮用水的消毒。北美个别污水处理厂采用O</w:t>
            </w:r>
            <w:r>
              <w:rPr>
                <w:kern w:val="0"/>
                <w:sz w:val="24"/>
                <w:vertAlign w:val="subscript"/>
              </w:rPr>
              <w:t>3</w:t>
            </w:r>
            <w:r>
              <w:rPr>
                <w:kern w:val="0"/>
                <w:sz w:val="24"/>
              </w:rPr>
              <w:t>消毒污水，德国有几个污水处理厂在结合紫外线照射法做试验。</w:t>
            </w:r>
          </w:p>
          <w:p>
            <w:pPr>
              <w:spacing w:line="360" w:lineRule="auto"/>
              <w:ind w:firstLine="482"/>
              <w:rPr>
                <w:kern w:val="0"/>
                <w:sz w:val="24"/>
              </w:rPr>
            </w:pPr>
            <w:r>
              <w:rPr>
                <w:kern w:val="0"/>
                <w:sz w:val="24"/>
                <w:lang w:eastAsia="ja-JP"/>
              </w:rPr>
              <w:t>③</w:t>
            </w:r>
            <w:r>
              <w:rPr>
                <w:kern w:val="0"/>
                <w:sz w:val="24"/>
              </w:rPr>
              <w:t>紫外线消毒法</w:t>
            </w:r>
          </w:p>
          <w:p>
            <w:pPr>
              <w:spacing w:line="360" w:lineRule="auto"/>
              <w:ind w:firstLine="482"/>
              <w:rPr>
                <w:kern w:val="0"/>
                <w:sz w:val="24"/>
              </w:rPr>
            </w:pPr>
            <w:r>
              <w:rPr>
                <w:kern w:val="0"/>
                <w:sz w:val="24"/>
              </w:rPr>
              <w:t>紫外线是近十多年来发展</w:t>
            </w:r>
            <w:r>
              <w:rPr>
                <w:rFonts w:hint="eastAsia"/>
                <w:kern w:val="0"/>
                <w:sz w:val="24"/>
              </w:rPr>
              <w:t>的</w:t>
            </w:r>
            <w:r>
              <w:rPr>
                <w:kern w:val="0"/>
                <w:sz w:val="24"/>
              </w:rPr>
              <w:t>最快的一种方法。在一些国家，紫外线有逐步取代氯消毒、成为污水处理厂主要消毒方式的趋势。</w:t>
            </w:r>
          </w:p>
          <w:p>
            <w:pPr>
              <w:spacing w:line="360" w:lineRule="auto"/>
              <w:ind w:firstLine="482"/>
              <w:rPr>
                <w:kern w:val="0"/>
                <w:sz w:val="24"/>
              </w:rPr>
            </w:pPr>
            <w:r>
              <w:rPr>
                <w:kern w:val="0"/>
                <w:sz w:val="24"/>
              </w:rPr>
              <w:t>紫外线消毒的基本原理为：紫外线对微生物的遗传物质（即DNA）有畸变作用，在吸收了一定剂量的紫外线后，DNA的结合键断裂，细胞失去活力，无法进行繁殖，细菌数量大幅度减少，达到灭菌的目的。因为当紫外线的波长为254mm时，DNA对紫外线的吸收达到最大，在这一波长具有最大能量输出的低压水银弧灯被广泛使用，在水量较大时，也使用中压或高压水银弧灯。</w:t>
            </w:r>
          </w:p>
          <w:p>
            <w:pPr>
              <w:spacing w:line="360" w:lineRule="auto"/>
              <w:ind w:firstLine="482"/>
              <w:rPr>
                <w:kern w:val="0"/>
                <w:sz w:val="24"/>
              </w:rPr>
            </w:pPr>
            <w:r>
              <w:rPr>
                <w:kern w:val="0"/>
                <w:sz w:val="24"/>
              </w:rPr>
              <w:t>紫外线消毒的主要优点是灭菌效率高，作用时间短，危险性小，无二次污染等。并且消毒时间短，不需建造较大的接触池，建消毒渠即可，占地面积和土建费用大大减少。缺点是设备投资高，灯管寿命短，运行费用高，管理维修麻烦，抗悬浮固体干扰的能力差，对水中SS浓度有严格要求。</w:t>
            </w:r>
          </w:p>
          <w:p>
            <w:pPr>
              <w:spacing w:line="360" w:lineRule="auto"/>
              <w:ind w:firstLine="482"/>
              <w:rPr>
                <w:kern w:val="0"/>
                <w:sz w:val="24"/>
              </w:rPr>
            </w:pPr>
            <w:r>
              <w:rPr>
                <w:kern w:val="0"/>
                <w:sz w:val="24"/>
                <w:lang w:eastAsia="ja-JP"/>
              </w:rPr>
              <w:t>④</w:t>
            </w:r>
            <w:r>
              <w:rPr>
                <w:kern w:val="0"/>
                <w:sz w:val="24"/>
              </w:rPr>
              <w:t>热处理法</w:t>
            </w:r>
          </w:p>
          <w:p>
            <w:pPr>
              <w:spacing w:line="360" w:lineRule="auto"/>
              <w:ind w:firstLine="482"/>
              <w:rPr>
                <w:kern w:val="0"/>
                <w:sz w:val="24"/>
              </w:rPr>
            </w:pPr>
            <w:r>
              <w:rPr>
                <w:kern w:val="0"/>
                <w:sz w:val="24"/>
              </w:rPr>
              <w:t>热处理法是最彻底的消毒方法，也是最昂贵的方法。为保证可靠的灭菌效果，废水要在高压、100℃以上的条件下加热一定时间，排放前又要降低到排放要求的温度，能耗很高。运行方式常为间歇运行方式，水量较大时也采用连续运行方式。一般都安装了热交换器，回收余热。目前，该法只用于一些要求高、危险性大的废水。在德国，热处理法用于医院、基因工程工厂、动物尸体销毁站的废水消毒。</w:t>
            </w:r>
          </w:p>
          <w:p>
            <w:pPr>
              <w:spacing w:line="360" w:lineRule="auto"/>
              <w:ind w:firstLine="482"/>
              <w:rPr>
                <w:kern w:val="0"/>
                <w:sz w:val="24"/>
              </w:rPr>
            </w:pPr>
            <w:r>
              <w:rPr>
                <w:kern w:val="0"/>
                <w:sz w:val="24"/>
                <w:lang w:eastAsia="ja-JP"/>
              </w:rPr>
              <w:t>⑤</w:t>
            </w:r>
            <w:r>
              <w:rPr>
                <w:kern w:val="0"/>
                <w:sz w:val="24"/>
              </w:rPr>
              <w:t>膜过滤法</w:t>
            </w:r>
          </w:p>
          <w:p>
            <w:pPr>
              <w:spacing w:line="500" w:lineRule="exact"/>
              <w:ind w:firstLine="482"/>
              <w:rPr>
                <w:kern w:val="0"/>
                <w:sz w:val="24"/>
              </w:rPr>
            </w:pPr>
            <w:r>
              <w:rPr>
                <w:kern w:val="0"/>
                <w:sz w:val="24"/>
              </w:rPr>
              <w:t>膜过滤法主要用于饮用水和特种工业用水的消毒处理，用于废水消毒的只有英国和澳大利亚，各有一个厂在运行，德国有几个厂在试验中。该法的特点是除消毒外，还可去除其它杂质。由于孔易堵塞，膜易积垢且冲洗困难，能耗高，化学药昂贵，成本也高，目前无法推广。</w:t>
            </w:r>
          </w:p>
          <w:p>
            <w:pPr>
              <w:spacing w:line="500" w:lineRule="atLeast"/>
              <w:ind w:firstLine="480" w:firstLineChars="200"/>
              <w:rPr>
                <w:kern w:val="0"/>
                <w:sz w:val="24"/>
              </w:rPr>
            </w:pPr>
            <w:r>
              <w:rPr>
                <w:kern w:val="0"/>
                <w:sz w:val="24"/>
              </w:rPr>
              <w:t>上述几种消毒法的比较见下表。</w:t>
            </w:r>
          </w:p>
          <w:p>
            <w:pPr>
              <w:spacing w:line="500" w:lineRule="exact"/>
              <w:jc w:val="center"/>
              <w:rPr>
                <w:rFonts w:eastAsia="黑体"/>
                <w:bCs/>
                <w:kern w:val="0"/>
                <w:sz w:val="24"/>
              </w:rPr>
            </w:pPr>
            <w:r>
              <w:rPr>
                <w:rFonts w:eastAsia="黑体"/>
                <w:bCs/>
                <w:kern w:val="0"/>
                <w:sz w:val="24"/>
              </w:rPr>
              <w:t>表2-8  各种消毒技术的比较</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715"/>
              <w:gridCol w:w="888"/>
              <w:gridCol w:w="1202"/>
              <w:gridCol w:w="1331"/>
              <w:gridCol w:w="1331"/>
              <w:gridCol w:w="1200"/>
              <w:gridCol w:w="799"/>
              <w:gridCol w:w="95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blHeader/>
                <w:jc w:val="center"/>
              </w:trPr>
              <w:tc>
                <w:tcPr>
                  <w:tcW w:w="424" w:type="pct"/>
                  <w:shd w:val="clear" w:color="auto" w:fill="CCFFFF"/>
                  <w:noWrap w:val="0"/>
                  <w:vAlign w:val="center"/>
                </w:tcPr>
                <w:p>
                  <w:pPr>
                    <w:adjustRightInd w:val="0"/>
                    <w:snapToGrid w:val="0"/>
                    <w:spacing w:line="240" w:lineRule="atLeast"/>
                    <w:jc w:val="center"/>
                    <w:rPr>
                      <w:b/>
                      <w:kern w:val="0"/>
                      <w:szCs w:val="21"/>
                    </w:rPr>
                  </w:pPr>
                  <w:r>
                    <w:rPr>
                      <w:b/>
                      <w:kern w:val="0"/>
                      <w:szCs w:val="21"/>
                    </w:rPr>
                    <w:t>类型</w:t>
                  </w:r>
                </w:p>
              </w:tc>
              <w:tc>
                <w:tcPr>
                  <w:tcW w:w="527" w:type="pct"/>
                  <w:shd w:val="clear" w:color="auto" w:fill="CCFFFF"/>
                  <w:noWrap w:val="0"/>
                  <w:vAlign w:val="center"/>
                </w:tcPr>
                <w:p>
                  <w:pPr>
                    <w:adjustRightInd w:val="0"/>
                    <w:snapToGrid w:val="0"/>
                    <w:spacing w:line="240" w:lineRule="atLeast"/>
                    <w:jc w:val="center"/>
                    <w:rPr>
                      <w:b/>
                      <w:kern w:val="0"/>
                      <w:szCs w:val="21"/>
                    </w:rPr>
                  </w:pPr>
                  <w:r>
                    <w:rPr>
                      <w:b/>
                      <w:kern w:val="0"/>
                      <w:szCs w:val="21"/>
                    </w:rPr>
                    <w:t>液氯</w:t>
                  </w:r>
                </w:p>
              </w:tc>
              <w:tc>
                <w:tcPr>
                  <w:tcW w:w="713" w:type="pct"/>
                  <w:shd w:val="clear" w:color="auto" w:fill="CCFFFF"/>
                  <w:noWrap w:val="0"/>
                  <w:vAlign w:val="center"/>
                </w:tcPr>
                <w:p>
                  <w:pPr>
                    <w:adjustRightInd w:val="0"/>
                    <w:snapToGrid w:val="0"/>
                    <w:spacing w:line="240" w:lineRule="atLeast"/>
                    <w:jc w:val="center"/>
                    <w:rPr>
                      <w:b/>
                      <w:kern w:val="0"/>
                      <w:szCs w:val="21"/>
                    </w:rPr>
                  </w:pPr>
                  <w:r>
                    <w:rPr>
                      <w:b/>
                      <w:kern w:val="0"/>
                      <w:szCs w:val="21"/>
                    </w:rPr>
                    <w:t>含氯化</w:t>
                  </w:r>
                </w:p>
                <w:p>
                  <w:pPr>
                    <w:adjustRightInd w:val="0"/>
                    <w:snapToGrid w:val="0"/>
                    <w:spacing w:line="240" w:lineRule="atLeast"/>
                    <w:jc w:val="center"/>
                    <w:rPr>
                      <w:b/>
                      <w:kern w:val="0"/>
                      <w:szCs w:val="21"/>
                    </w:rPr>
                  </w:pPr>
                  <w:r>
                    <w:rPr>
                      <w:b/>
                      <w:kern w:val="0"/>
                      <w:szCs w:val="21"/>
                    </w:rPr>
                    <w:t>合物</w:t>
                  </w:r>
                </w:p>
              </w:tc>
              <w:tc>
                <w:tcPr>
                  <w:tcW w:w="790" w:type="pct"/>
                  <w:shd w:val="clear" w:color="auto" w:fill="CCFFFF"/>
                  <w:noWrap w:val="0"/>
                  <w:vAlign w:val="center"/>
                </w:tcPr>
                <w:p>
                  <w:pPr>
                    <w:adjustRightInd w:val="0"/>
                    <w:snapToGrid w:val="0"/>
                    <w:spacing w:line="240" w:lineRule="atLeast"/>
                    <w:jc w:val="center"/>
                    <w:rPr>
                      <w:b/>
                      <w:kern w:val="0"/>
                      <w:szCs w:val="21"/>
                    </w:rPr>
                  </w:pPr>
                  <w:r>
                    <w:rPr>
                      <w:b/>
                      <w:kern w:val="0"/>
                      <w:szCs w:val="21"/>
                    </w:rPr>
                    <w:t>臭氧</w:t>
                  </w:r>
                </w:p>
              </w:tc>
              <w:tc>
                <w:tcPr>
                  <w:tcW w:w="790" w:type="pct"/>
                  <w:shd w:val="clear" w:color="auto" w:fill="CCFFFF"/>
                  <w:noWrap w:val="0"/>
                  <w:vAlign w:val="center"/>
                </w:tcPr>
                <w:p>
                  <w:pPr>
                    <w:adjustRightInd w:val="0"/>
                    <w:snapToGrid w:val="0"/>
                    <w:spacing w:line="240" w:lineRule="atLeast"/>
                    <w:jc w:val="center"/>
                    <w:rPr>
                      <w:b/>
                      <w:kern w:val="0"/>
                      <w:szCs w:val="21"/>
                    </w:rPr>
                  </w:pPr>
                  <w:r>
                    <w:rPr>
                      <w:rFonts w:hint="eastAsia"/>
                      <w:b/>
                      <w:kern w:val="0"/>
                      <w:szCs w:val="21"/>
                    </w:rPr>
                    <w:t>过氧乙酸</w:t>
                  </w:r>
                </w:p>
              </w:tc>
              <w:tc>
                <w:tcPr>
                  <w:tcW w:w="712" w:type="pct"/>
                  <w:shd w:val="clear" w:color="auto" w:fill="CCFFFF"/>
                  <w:noWrap w:val="0"/>
                  <w:vAlign w:val="center"/>
                </w:tcPr>
                <w:p>
                  <w:pPr>
                    <w:adjustRightInd w:val="0"/>
                    <w:snapToGrid w:val="0"/>
                    <w:spacing w:line="240" w:lineRule="atLeast"/>
                    <w:jc w:val="center"/>
                    <w:rPr>
                      <w:b/>
                      <w:kern w:val="0"/>
                      <w:szCs w:val="21"/>
                    </w:rPr>
                  </w:pPr>
                  <w:r>
                    <w:rPr>
                      <w:b/>
                      <w:kern w:val="0"/>
                      <w:szCs w:val="21"/>
                    </w:rPr>
                    <w:t>紫外线</w:t>
                  </w:r>
                </w:p>
                <w:p>
                  <w:pPr>
                    <w:adjustRightInd w:val="0"/>
                    <w:snapToGrid w:val="0"/>
                    <w:spacing w:line="240" w:lineRule="atLeast"/>
                    <w:jc w:val="center"/>
                    <w:rPr>
                      <w:b/>
                      <w:kern w:val="0"/>
                      <w:szCs w:val="21"/>
                    </w:rPr>
                  </w:pPr>
                  <w:r>
                    <w:rPr>
                      <w:b/>
                      <w:kern w:val="0"/>
                      <w:szCs w:val="21"/>
                    </w:rPr>
                    <w:t>照射</w:t>
                  </w:r>
                </w:p>
              </w:tc>
              <w:tc>
                <w:tcPr>
                  <w:tcW w:w="474" w:type="pct"/>
                  <w:shd w:val="clear" w:color="auto" w:fill="CCFFFF"/>
                  <w:noWrap w:val="0"/>
                  <w:vAlign w:val="center"/>
                </w:tcPr>
                <w:p>
                  <w:pPr>
                    <w:adjustRightInd w:val="0"/>
                    <w:snapToGrid w:val="0"/>
                    <w:spacing w:line="240" w:lineRule="atLeast"/>
                    <w:jc w:val="center"/>
                    <w:rPr>
                      <w:b/>
                      <w:kern w:val="0"/>
                      <w:szCs w:val="21"/>
                    </w:rPr>
                  </w:pPr>
                  <w:r>
                    <w:rPr>
                      <w:b/>
                      <w:kern w:val="0"/>
                      <w:szCs w:val="21"/>
                    </w:rPr>
                    <w:t>热处理</w:t>
                  </w:r>
                </w:p>
              </w:tc>
              <w:tc>
                <w:tcPr>
                  <w:tcW w:w="565" w:type="pct"/>
                  <w:shd w:val="clear" w:color="auto" w:fill="CCFFFF"/>
                  <w:noWrap w:val="0"/>
                  <w:vAlign w:val="center"/>
                </w:tcPr>
                <w:p>
                  <w:pPr>
                    <w:adjustRightInd w:val="0"/>
                    <w:snapToGrid w:val="0"/>
                    <w:spacing w:line="240" w:lineRule="atLeast"/>
                    <w:jc w:val="center"/>
                    <w:rPr>
                      <w:b/>
                      <w:kern w:val="0"/>
                      <w:szCs w:val="21"/>
                    </w:rPr>
                  </w:pPr>
                  <w:r>
                    <w:rPr>
                      <w:b/>
                      <w:kern w:val="0"/>
                      <w:szCs w:val="21"/>
                    </w:rPr>
                    <w:t>膜过滤</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424" w:type="pct"/>
                  <w:noWrap w:val="0"/>
                  <w:vAlign w:val="center"/>
                </w:tcPr>
                <w:p>
                  <w:pPr>
                    <w:adjustRightInd w:val="0"/>
                    <w:snapToGrid w:val="0"/>
                    <w:spacing w:line="240" w:lineRule="atLeast"/>
                    <w:jc w:val="center"/>
                    <w:rPr>
                      <w:kern w:val="0"/>
                      <w:szCs w:val="21"/>
                    </w:rPr>
                  </w:pPr>
                  <w:r>
                    <w:rPr>
                      <w:kern w:val="0"/>
                      <w:szCs w:val="21"/>
                    </w:rPr>
                    <w:t>应用范围</w:t>
                  </w:r>
                </w:p>
              </w:tc>
              <w:tc>
                <w:tcPr>
                  <w:tcW w:w="527" w:type="pct"/>
                  <w:noWrap w:val="0"/>
                  <w:vAlign w:val="center"/>
                </w:tcPr>
                <w:p>
                  <w:pPr>
                    <w:adjustRightInd w:val="0"/>
                    <w:snapToGrid w:val="0"/>
                    <w:spacing w:line="240" w:lineRule="atLeast"/>
                    <w:jc w:val="center"/>
                    <w:rPr>
                      <w:kern w:val="0"/>
                      <w:szCs w:val="21"/>
                    </w:rPr>
                  </w:pPr>
                  <w:r>
                    <w:rPr>
                      <w:kern w:val="0"/>
                      <w:szCs w:val="21"/>
                    </w:rPr>
                    <w:t>自来水和各种废水</w:t>
                  </w:r>
                </w:p>
              </w:tc>
              <w:tc>
                <w:tcPr>
                  <w:tcW w:w="713" w:type="pct"/>
                  <w:noWrap w:val="0"/>
                  <w:vAlign w:val="center"/>
                </w:tcPr>
                <w:p>
                  <w:pPr>
                    <w:adjustRightInd w:val="0"/>
                    <w:snapToGrid w:val="0"/>
                    <w:spacing w:line="240" w:lineRule="atLeast"/>
                    <w:jc w:val="center"/>
                    <w:rPr>
                      <w:kern w:val="0"/>
                      <w:szCs w:val="21"/>
                    </w:rPr>
                  </w:pPr>
                  <w:r>
                    <w:rPr>
                      <w:kern w:val="0"/>
                      <w:szCs w:val="21"/>
                    </w:rPr>
                    <w:t>自来水和各种废水</w:t>
                  </w:r>
                </w:p>
              </w:tc>
              <w:tc>
                <w:tcPr>
                  <w:tcW w:w="790" w:type="pct"/>
                  <w:noWrap w:val="0"/>
                  <w:vAlign w:val="center"/>
                </w:tcPr>
                <w:p>
                  <w:pPr>
                    <w:adjustRightInd w:val="0"/>
                    <w:snapToGrid w:val="0"/>
                    <w:spacing w:line="240" w:lineRule="atLeast"/>
                    <w:jc w:val="center"/>
                    <w:rPr>
                      <w:kern w:val="0"/>
                      <w:szCs w:val="21"/>
                    </w:rPr>
                  </w:pPr>
                  <w:r>
                    <w:rPr>
                      <w:kern w:val="0"/>
                      <w:szCs w:val="21"/>
                    </w:rPr>
                    <w:t>饮用水和游泳池水</w:t>
                  </w:r>
                </w:p>
              </w:tc>
              <w:tc>
                <w:tcPr>
                  <w:tcW w:w="790" w:type="pct"/>
                  <w:noWrap w:val="0"/>
                  <w:vAlign w:val="center"/>
                </w:tcPr>
                <w:p>
                  <w:pPr>
                    <w:adjustRightInd w:val="0"/>
                    <w:snapToGrid w:val="0"/>
                    <w:spacing w:line="240" w:lineRule="atLeast"/>
                    <w:jc w:val="center"/>
                    <w:rPr>
                      <w:kern w:val="0"/>
                      <w:szCs w:val="21"/>
                    </w:rPr>
                  </w:pPr>
                  <w:r>
                    <w:rPr>
                      <w:kern w:val="0"/>
                      <w:szCs w:val="21"/>
                    </w:rPr>
                    <w:t>各种废水</w:t>
                  </w:r>
                </w:p>
              </w:tc>
              <w:tc>
                <w:tcPr>
                  <w:tcW w:w="712" w:type="pct"/>
                  <w:noWrap w:val="0"/>
                  <w:vAlign w:val="center"/>
                </w:tcPr>
                <w:p>
                  <w:pPr>
                    <w:adjustRightInd w:val="0"/>
                    <w:snapToGrid w:val="0"/>
                    <w:spacing w:line="240" w:lineRule="atLeast"/>
                    <w:jc w:val="center"/>
                    <w:rPr>
                      <w:kern w:val="0"/>
                      <w:szCs w:val="21"/>
                    </w:rPr>
                  </w:pPr>
                  <w:r>
                    <w:rPr>
                      <w:kern w:val="0"/>
                      <w:szCs w:val="21"/>
                    </w:rPr>
                    <w:t>自来水和经二级或三级处理的废水</w:t>
                  </w:r>
                </w:p>
              </w:tc>
              <w:tc>
                <w:tcPr>
                  <w:tcW w:w="474" w:type="pct"/>
                  <w:noWrap w:val="0"/>
                  <w:vAlign w:val="center"/>
                </w:tcPr>
                <w:p>
                  <w:pPr>
                    <w:adjustRightInd w:val="0"/>
                    <w:snapToGrid w:val="0"/>
                    <w:spacing w:line="240" w:lineRule="atLeast"/>
                    <w:jc w:val="center"/>
                    <w:rPr>
                      <w:kern w:val="0"/>
                      <w:szCs w:val="21"/>
                    </w:rPr>
                  </w:pPr>
                  <w:r>
                    <w:rPr>
                      <w:kern w:val="0"/>
                      <w:szCs w:val="21"/>
                    </w:rPr>
                    <w:t>医院、屠宰场等含病原菌的污水</w:t>
                  </w:r>
                </w:p>
              </w:tc>
              <w:tc>
                <w:tcPr>
                  <w:tcW w:w="565" w:type="pct"/>
                  <w:noWrap w:val="0"/>
                  <w:vAlign w:val="center"/>
                </w:tcPr>
                <w:p>
                  <w:pPr>
                    <w:adjustRightInd w:val="0"/>
                    <w:snapToGrid w:val="0"/>
                    <w:spacing w:line="240" w:lineRule="atLeast"/>
                    <w:jc w:val="center"/>
                    <w:rPr>
                      <w:kern w:val="0"/>
                      <w:szCs w:val="21"/>
                    </w:rPr>
                  </w:pPr>
                  <w:r>
                    <w:rPr>
                      <w:kern w:val="0"/>
                      <w:szCs w:val="21"/>
                    </w:rPr>
                    <w:t>饮用水和特种工业用水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424" w:type="pct"/>
                  <w:noWrap w:val="0"/>
                  <w:vAlign w:val="center"/>
                </w:tcPr>
                <w:p>
                  <w:pPr>
                    <w:adjustRightInd w:val="0"/>
                    <w:snapToGrid w:val="0"/>
                    <w:spacing w:line="240" w:lineRule="atLeast"/>
                    <w:jc w:val="center"/>
                    <w:rPr>
                      <w:kern w:val="0"/>
                      <w:szCs w:val="21"/>
                    </w:rPr>
                  </w:pPr>
                  <w:r>
                    <w:rPr>
                      <w:kern w:val="0"/>
                      <w:szCs w:val="21"/>
                    </w:rPr>
                    <w:t>应用国家</w:t>
                  </w:r>
                </w:p>
              </w:tc>
              <w:tc>
                <w:tcPr>
                  <w:tcW w:w="527" w:type="pct"/>
                  <w:noWrap w:val="0"/>
                  <w:vAlign w:val="center"/>
                </w:tcPr>
                <w:p>
                  <w:pPr>
                    <w:adjustRightInd w:val="0"/>
                    <w:snapToGrid w:val="0"/>
                    <w:spacing w:line="240" w:lineRule="atLeast"/>
                    <w:jc w:val="center"/>
                    <w:rPr>
                      <w:kern w:val="0"/>
                      <w:szCs w:val="21"/>
                    </w:rPr>
                  </w:pPr>
                  <w:r>
                    <w:rPr>
                      <w:kern w:val="0"/>
                      <w:szCs w:val="21"/>
                    </w:rPr>
                    <w:t>各界各国</w:t>
                  </w:r>
                </w:p>
              </w:tc>
              <w:tc>
                <w:tcPr>
                  <w:tcW w:w="713" w:type="pct"/>
                  <w:noWrap w:val="0"/>
                  <w:vAlign w:val="center"/>
                </w:tcPr>
                <w:p>
                  <w:pPr>
                    <w:adjustRightInd w:val="0"/>
                    <w:snapToGrid w:val="0"/>
                    <w:spacing w:line="240" w:lineRule="atLeast"/>
                    <w:jc w:val="center"/>
                    <w:rPr>
                      <w:kern w:val="0"/>
                      <w:szCs w:val="21"/>
                    </w:rPr>
                  </w:pPr>
                  <w:r>
                    <w:rPr>
                      <w:kern w:val="0"/>
                      <w:szCs w:val="21"/>
                    </w:rPr>
                    <w:t>法国</w:t>
                  </w:r>
                </w:p>
              </w:tc>
              <w:tc>
                <w:tcPr>
                  <w:tcW w:w="790" w:type="pct"/>
                  <w:noWrap w:val="0"/>
                  <w:vAlign w:val="center"/>
                </w:tcPr>
                <w:p>
                  <w:pPr>
                    <w:adjustRightInd w:val="0"/>
                    <w:snapToGrid w:val="0"/>
                    <w:spacing w:line="240" w:lineRule="atLeast"/>
                    <w:jc w:val="center"/>
                    <w:rPr>
                      <w:kern w:val="0"/>
                      <w:szCs w:val="21"/>
                    </w:rPr>
                  </w:pPr>
                  <w:r>
                    <w:rPr>
                      <w:kern w:val="0"/>
                      <w:szCs w:val="21"/>
                    </w:rPr>
                    <w:t>北美</w:t>
                  </w:r>
                </w:p>
              </w:tc>
              <w:tc>
                <w:tcPr>
                  <w:tcW w:w="790" w:type="pct"/>
                  <w:noWrap w:val="0"/>
                  <w:vAlign w:val="center"/>
                </w:tcPr>
                <w:p>
                  <w:pPr>
                    <w:adjustRightInd w:val="0"/>
                    <w:snapToGrid w:val="0"/>
                    <w:spacing w:line="240" w:lineRule="atLeast"/>
                    <w:jc w:val="center"/>
                    <w:rPr>
                      <w:kern w:val="0"/>
                      <w:szCs w:val="21"/>
                    </w:rPr>
                  </w:pPr>
                  <w:r>
                    <w:rPr>
                      <w:kern w:val="0"/>
                      <w:szCs w:val="21"/>
                    </w:rPr>
                    <w:t>英国</w:t>
                  </w:r>
                </w:p>
              </w:tc>
              <w:tc>
                <w:tcPr>
                  <w:tcW w:w="712" w:type="pct"/>
                  <w:noWrap w:val="0"/>
                  <w:vAlign w:val="center"/>
                </w:tcPr>
                <w:p>
                  <w:pPr>
                    <w:adjustRightInd w:val="0"/>
                    <w:snapToGrid w:val="0"/>
                    <w:spacing w:line="240" w:lineRule="atLeast"/>
                    <w:jc w:val="center"/>
                    <w:rPr>
                      <w:kern w:val="0"/>
                      <w:szCs w:val="21"/>
                    </w:rPr>
                  </w:pPr>
                  <w:r>
                    <w:rPr>
                      <w:kern w:val="0"/>
                      <w:szCs w:val="21"/>
                    </w:rPr>
                    <w:t>北美和欧洲</w:t>
                  </w:r>
                </w:p>
              </w:tc>
              <w:tc>
                <w:tcPr>
                  <w:tcW w:w="474" w:type="pct"/>
                  <w:noWrap w:val="0"/>
                  <w:vAlign w:val="center"/>
                </w:tcPr>
                <w:p>
                  <w:pPr>
                    <w:adjustRightInd w:val="0"/>
                    <w:snapToGrid w:val="0"/>
                    <w:spacing w:line="240" w:lineRule="atLeast"/>
                    <w:jc w:val="center"/>
                    <w:rPr>
                      <w:kern w:val="0"/>
                      <w:szCs w:val="21"/>
                    </w:rPr>
                  </w:pPr>
                  <w:r>
                    <w:rPr>
                      <w:kern w:val="0"/>
                      <w:szCs w:val="21"/>
                    </w:rPr>
                    <w:t>德国</w:t>
                  </w:r>
                </w:p>
              </w:tc>
              <w:tc>
                <w:tcPr>
                  <w:tcW w:w="565" w:type="pct"/>
                  <w:noWrap w:val="0"/>
                  <w:vAlign w:val="center"/>
                </w:tcPr>
                <w:p>
                  <w:pPr>
                    <w:adjustRightInd w:val="0"/>
                    <w:snapToGrid w:val="0"/>
                    <w:spacing w:line="240" w:lineRule="atLeast"/>
                    <w:jc w:val="center"/>
                    <w:rPr>
                      <w:kern w:val="0"/>
                      <w:szCs w:val="21"/>
                    </w:rPr>
                  </w:pPr>
                  <w:r>
                    <w:rPr>
                      <w:kern w:val="0"/>
                      <w:szCs w:val="21"/>
                    </w:rPr>
                    <w:t>英国、澳大利亚、德国</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424" w:type="pct"/>
                  <w:noWrap w:val="0"/>
                  <w:vAlign w:val="center"/>
                </w:tcPr>
                <w:p>
                  <w:pPr>
                    <w:adjustRightInd w:val="0"/>
                    <w:snapToGrid w:val="0"/>
                    <w:spacing w:line="240" w:lineRule="atLeast"/>
                    <w:jc w:val="center"/>
                    <w:rPr>
                      <w:kern w:val="0"/>
                      <w:szCs w:val="21"/>
                    </w:rPr>
                  </w:pPr>
                  <w:r>
                    <w:rPr>
                      <w:kern w:val="0"/>
                      <w:szCs w:val="21"/>
                    </w:rPr>
                    <w:t>优点</w:t>
                  </w:r>
                </w:p>
              </w:tc>
              <w:tc>
                <w:tcPr>
                  <w:tcW w:w="527" w:type="pct"/>
                  <w:noWrap w:val="0"/>
                  <w:vAlign w:val="center"/>
                </w:tcPr>
                <w:p>
                  <w:pPr>
                    <w:adjustRightInd w:val="0"/>
                    <w:snapToGrid w:val="0"/>
                    <w:spacing w:line="240" w:lineRule="atLeast"/>
                    <w:jc w:val="center"/>
                    <w:rPr>
                      <w:kern w:val="0"/>
                      <w:szCs w:val="21"/>
                    </w:rPr>
                  </w:pPr>
                  <w:r>
                    <w:rPr>
                      <w:kern w:val="0"/>
                      <w:szCs w:val="21"/>
                    </w:rPr>
                    <w:t>工艺成熟、处理效果稳定，设备投资和运行费用低</w:t>
                  </w:r>
                </w:p>
              </w:tc>
              <w:tc>
                <w:tcPr>
                  <w:tcW w:w="713" w:type="pct"/>
                  <w:noWrap w:val="0"/>
                  <w:vAlign w:val="center"/>
                </w:tcPr>
                <w:p>
                  <w:pPr>
                    <w:adjustRightInd w:val="0"/>
                    <w:snapToGrid w:val="0"/>
                    <w:spacing w:line="240" w:lineRule="atLeast"/>
                    <w:jc w:val="center"/>
                    <w:rPr>
                      <w:kern w:val="0"/>
                      <w:szCs w:val="21"/>
                    </w:rPr>
                  </w:pPr>
                  <w:r>
                    <w:rPr>
                      <w:kern w:val="0"/>
                      <w:szCs w:val="21"/>
                    </w:rPr>
                    <w:t>处理效果稳定，设备投资少，对环境影响较液氯小</w:t>
                  </w:r>
                </w:p>
              </w:tc>
              <w:tc>
                <w:tcPr>
                  <w:tcW w:w="790" w:type="pct"/>
                  <w:noWrap w:val="0"/>
                  <w:vAlign w:val="center"/>
                </w:tcPr>
                <w:p>
                  <w:pPr>
                    <w:adjustRightInd w:val="0"/>
                    <w:snapToGrid w:val="0"/>
                    <w:spacing w:line="240" w:lineRule="atLeast"/>
                    <w:jc w:val="center"/>
                    <w:rPr>
                      <w:kern w:val="0"/>
                      <w:szCs w:val="21"/>
                    </w:rPr>
                  </w:pPr>
                  <w:r>
                    <w:rPr>
                      <w:kern w:val="0"/>
                      <w:szCs w:val="21"/>
                    </w:rPr>
                    <w:t>占地面积小，杀菌效率高，有脱色和除臭效果，对环境影响小</w:t>
                  </w:r>
                </w:p>
              </w:tc>
              <w:tc>
                <w:tcPr>
                  <w:tcW w:w="790" w:type="pct"/>
                  <w:noWrap w:val="0"/>
                  <w:vAlign w:val="center"/>
                </w:tcPr>
                <w:p>
                  <w:pPr>
                    <w:adjustRightInd w:val="0"/>
                    <w:snapToGrid w:val="0"/>
                    <w:spacing w:line="240" w:lineRule="atLeast"/>
                    <w:jc w:val="center"/>
                    <w:rPr>
                      <w:kern w:val="0"/>
                      <w:szCs w:val="21"/>
                    </w:rPr>
                  </w:pPr>
                  <w:r>
                    <w:rPr>
                      <w:kern w:val="0"/>
                      <w:szCs w:val="21"/>
                    </w:rPr>
                    <w:t>占地面积小，杀菌效率高，并有除臭和控制污泥膨胀的效果</w:t>
                  </w:r>
                </w:p>
              </w:tc>
              <w:tc>
                <w:tcPr>
                  <w:tcW w:w="712" w:type="pct"/>
                  <w:noWrap w:val="0"/>
                  <w:vAlign w:val="center"/>
                </w:tcPr>
                <w:p>
                  <w:pPr>
                    <w:adjustRightInd w:val="0"/>
                    <w:snapToGrid w:val="0"/>
                    <w:spacing w:line="240" w:lineRule="atLeast"/>
                    <w:jc w:val="center"/>
                    <w:rPr>
                      <w:kern w:val="0"/>
                      <w:szCs w:val="21"/>
                    </w:rPr>
                  </w:pPr>
                  <w:r>
                    <w:rPr>
                      <w:kern w:val="0"/>
                      <w:szCs w:val="21"/>
                    </w:rPr>
                    <w:t>占地面积小，杀菌效率高，危险性小，无二次污染</w:t>
                  </w:r>
                </w:p>
              </w:tc>
              <w:tc>
                <w:tcPr>
                  <w:tcW w:w="474" w:type="pct"/>
                  <w:noWrap w:val="0"/>
                  <w:vAlign w:val="center"/>
                </w:tcPr>
                <w:p>
                  <w:pPr>
                    <w:adjustRightInd w:val="0"/>
                    <w:snapToGrid w:val="0"/>
                    <w:spacing w:line="240" w:lineRule="atLeast"/>
                    <w:jc w:val="center"/>
                    <w:rPr>
                      <w:kern w:val="0"/>
                      <w:szCs w:val="21"/>
                    </w:rPr>
                  </w:pPr>
                  <w:r>
                    <w:rPr>
                      <w:kern w:val="0"/>
                      <w:szCs w:val="21"/>
                    </w:rPr>
                    <w:t>杀菌彻底</w:t>
                  </w:r>
                </w:p>
              </w:tc>
              <w:tc>
                <w:tcPr>
                  <w:tcW w:w="565" w:type="pct"/>
                  <w:noWrap w:val="0"/>
                  <w:vAlign w:val="center"/>
                </w:tcPr>
                <w:p>
                  <w:pPr>
                    <w:adjustRightInd w:val="0"/>
                    <w:snapToGrid w:val="0"/>
                    <w:spacing w:line="240" w:lineRule="atLeast"/>
                    <w:jc w:val="center"/>
                    <w:rPr>
                      <w:kern w:val="0"/>
                      <w:szCs w:val="21"/>
                    </w:rPr>
                  </w:pPr>
                  <w:r>
                    <w:rPr>
                      <w:kern w:val="0"/>
                      <w:szCs w:val="21"/>
                    </w:rPr>
                    <w:t>可过滤其他杂质，无危险性，无副作用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424" w:type="pct"/>
                  <w:noWrap w:val="0"/>
                  <w:vAlign w:val="center"/>
                </w:tcPr>
                <w:p>
                  <w:pPr>
                    <w:adjustRightInd w:val="0"/>
                    <w:snapToGrid w:val="0"/>
                    <w:spacing w:line="240" w:lineRule="atLeast"/>
                    <w:jc w:val="center"/>
                    <w:rPr>
                      <w:kern w:val="0"/>
                      <w:szCs w:val="21"/>
                    </w:rPr>
                  </w:pPr>
                  <w:r>
                    <w:rPr>
                      <w:kern w:val="0"/>
                      <w:szCs w:val="21"/>
                    </w:rPr>
                    <w:t>缺点</w:t>
                  </w:r>
                </w:p>
              </w:tc>
              <w:tc>
                <w:tcPr>
                  <w:tcW w:w="527" w:type="pct"/>
                  <w:noWrap w:val="0"/>
                  <w:vAlign w:val="center"/>
                </w:tcPr>
                <w:p>
                  <w:pPr>
                    <w:adjustRightInd w:val="0"/>
                    <w:snapToGrid w:val="0"/>
                    <w:spacing w:line="240" w:lineRule="atLeast"/>
                    <w:jc w:val="center"/>
                    <w:rPr>
                      <w:kern w:val="0"/>
                      <w:szCs w:val="21"/>
                    </w:rPr>
                  </w:pPr>
                  <w:r>
                    <w:rPr>
                      <w:kern w:val="0"/>
                      <w:szCs w:val="21"/>
                    </w:rPr>
                    <w:t>占地面积大，有潜在危险性和二次污染</w:t>
                  </w:r>
                </w:p>
              </w:tc>
              <w:tc>
                <w:tcPr>
                  <w:tcW w:w="713" w:type="pct"/>
                  <w:noWrap w:val="0"/>
                  <w:vAlign w:val="center"/>
                </w:tcPr>
                <w:p>
                  <w:pPr>
                    <w:adjustRightInd w:val="0"/>
                    <w:snapToGrid w:val="0"/>
                    <w:spacing w:line="240" w:lineRule="atLeast"/>
                    <w:jc w:val="center"/>
                    <w:rPr>
                      <w:kern w:val="0"/>
                      <w:szCs w:val="21"/>
                    </w:rPr>
                  </w:pPr>
                  <w:r>
                    <w:rPr>
                      <w:kern w:val="0"/>
                      <w:szCs w:val="21"/>
                    </w:rPr>
                    <w:t>占地面积大，运行费用比液氯高，有二次污染</w:t>
                  </w:r>
                </w:p>
              </w:tc>
              <w:tc>
                <w:tcPr>
                  <w:tcW w:w="790" w:type="pct"/>
                  <w:noWrap w:val="0"/>
                  <w:vAlign w:val="center"/>
                </w:tcPr>
                <w:p>
                  <w:pPr>
                    <w:adjustRightInd w:val="0"/>
                    <w:snapToGrid w:val="0"/>
                    <w:spacing w:line="240" w:lineRule="atLeast"/>
                    <w:jc w:val="center"/>
                    <w:rPr>
                      <w:kern w:val="0"/>
                      <w:szCs w:val="21"/>
                    </w:rPr>
                  </w:pPr>
                  <w:r>
                    <w:rPr>
                      <w:kern w:val="0"/>
                      <w:szCs w:val="21"/>
                    </w:rPr>
                    <w:t>设备投资大，运行费用高</w:t>
                  </w:r>
                </w:p>
              </w:tc>
              <w:tc>
                <w:tcPr>
                  <w:tcW w:w="790" w:type="pct"/>
                  <w:noWrap w:val="0"/>
                  <w:vAlign w:val="center"/>
                </w:tcPr>
                <w:p>
                  <w:pPr>
                    <w:adjustRightInd w:val="0"/>
                    <w:snapToGrid w:val="0"/>
                    <w:spacing w:line="240" w:lineRule="atLeast"/>
                    <w:jc w:val="center"/>
                    <w:rPr>
                      <w:kern w:val="0"/>
                      <w:szCs w:val="21"/>
                    </w:rPr>
                  </w:pPr>
                  <w:r>
                    <w:rPr>
                      <w:kern w:val="0"/>
                      <w:szCs w:val="21"/>
                    </w:rPr>
                    <w:t>运行费用高</w:t>
                  </w:r>
                </w:p>
              </w:tc>
              <w:tc>
                <w:tcPr>
                  <w:tcW w:w="712" w:type="pct"/>
                  <w:noWrap w:val="0"/>
                  <w:vAlign w:val="center"/>
                </w:tcPr>
                <w:p>
                  <w:pPr>
                    <w:adjustRightInd w:val="0"/>
                    <w:snapToGrid w:val="0"/>
                    <w:spacing w:line="240" w:lineRule="atLeast"/>
                    <w:jc w:val="center"/>
                    <w:rPr>
                      <w:kern w:val="0"/>
                      <w:szCs w:val="21"/>
                    </w:rPr>
                  </w:pPr>
                  <w:r>
                    <w:rPr>
                      <w:kern w:val="0"/>
                      <w:szCs w:val="21"/>
                    </w:rPr>
                    <w:t>设备费用高，运行费高，灯管寿命短，受水质影响大</w:t>
                  </w:r>
                </w:p>
              </w:tc>
              <w:tc>
                <w:tcPr>
                  <w:tcW w:w="474" w:type="pct"/>
                  <w:noWrap w:val="0"/>
                  <w:vAlign w:val="center"/>
                </w:tcPr>
                <w:p>
                  <w:pPr>
                    <w:adjustRightInd w:val="0"/>
                    <w:snapToGrid w:val="0"/>
                    <w:spacing w:line="240" w:lineRule="atLeast"/>
                    <w:jc w:val="center"/>
                    <w:rPr>
                      <w:kern w:val="0"/>
                      <w:szCs w:val="21"/>
                    </w:rPr>
                  </w:pPr>
                  <w:r>
                    <w:rPr>
                      <w:kern w:val="0"/>
                      <w:szCs w:val="21"/>
                    </w:rPr>
                    <w:t>能耗大，操作复杂</w:t>
                  </w:r>
                </w:p>
              </w:tc>
              <w:tc>
                <w:tcPr>
                  <w:tcW w:w="565" w:type="pct"/>
                  <w:noWrap w:val="0"/>
                  <w:vAlign w:val="center"/>
                </w:tcPr>
                <w:p>
                  <w:pPr>
                    <w:adjustRightInd w:val="0"/>
                    <w:snapToGrid w:val="0"/>
                    <w:spacing w:line="240" w:lineRule="atLeast"/>
                    <w:jc w:val="center"/>
                    <w:rPr>
                      <w:kern w:val="0"/>
                      <w:szCs w:val="21"/>
                    </w:rPr>
                  </w:pPr>
                  <w:r>
                    <w:rPr>
                      <w:kern w:val="0"/>
                      <w:szCs w:val="21"/>
                    </w:rPr>
                    <w:t>效果不稳定，操作复杂，运行费用高</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424" w:type="pct"/>
                  <w:noWrap w:val="0"/>
                  <w:vAlign w:val="center"/>
                </w:tcPr>
                <w:p>
                  <w:pPr>
                    <w:adjustRightInd w:val="0"/>
                    <w:snapToGrid w:val="0"/>
                    <w:spacing w:line="240" w:lineRule="atLeast"/>
                    <w:jc w:val="center"/>
                    <w:rPr>
                      <w:kern w:val="0"/>
                      <w:szCs w:val="21"/>
                    </w:rPr>
                  </w:pPr>
                  <w:r>
                    <w:rPr>
                      <w:kern w:val="0"/>
                      <w:szCs w:val="21"/>
                    </w:rPr>
                    <w:t>基建</w:t>
                  </w:r>
                </w:p>
                <w:p>
                  <w:pPr>
                    <w:adjustRightInd w:val="0"/>
                    <w:snapToGrid w:val="0"/>
                    <w:spacing w:line="240" w:lineRule="atLeast"/>
                    <w:jc w:val="center"/>
                    <w:rPr>
                      <w:kern w:val="0"/>
                      <w:szCs w:val="21"/>
                    </w:rPr>
                  </w:pPr>
                  <w:r>
                    <w:rPr>
                      <w:kern w:val="0"/>
                      <w:szCs w:val="21"/>
                    </w:rPr>
                    <w:t>投资</w:t>
                  </w:r>
                </w:p>
              </w:tc>
              <w:tc>
                <w:tcPr>
                  <w:tcW w:w="527" w:type="pct"/>
                  <w:noWrap w:val="0"/>
                  <w:vAlign w:val="center"/>
                </w:tcPr>
                <w:p>
                  <w:pPr>
                    <w:adjustRightInd w:val="0"/>
                    <w:snapToGrid w:val="0"/>
                    <w:spacing w:line="240" w:lineRule="atLeast"/>
                    <w:jc w:val="center"/>
                    <w:rPr>
                      <w:kern w:val="0"/>
                      <w:szCs w:val="21"/>
                    </w:rPr>
                  </w:pPr>
                  <w:r>
                    <w:rPr>
                      <w:kern w:val="0"/>
                      <w:szCs w:val="21"/>
                    </w:rPr>
                    <w:t>中</w:t>
                  </w:r>
                </w:p>
              </w:tc>
              <w:tc>
                <w:tcPr>
                  <w:tcW w:w="713" w:type="pct"/>
                  <w:noWrap w:val="0"/>
                  <w:vAlign w:val="center"/>
                </w:tcPr>
                <w:p>
                  <w:pPr>
                    <w:adjustRightInd w:val="0"/>
                    <w:snapToGrid w:val="0"/>
                    <w:spacing w:line="240" w:lineRule="atLeast"/>
                    <w:jc w:val="center"/>
                    <w:rPr>
                      <w:kern w:val="0"/>
                      <w:szCs w:val="21"/>
                    </w:rPr>
                  </w:pPr>
                  <w:r>
                    <w:rPr>
                      <w:kern w:val="0"/>
                      <w:szCs w:val="21"/>
                    </w:rPr>
                    <w:t>低</w:t>
                  </w:r>
                </w:p>
              </w:tc>
              <w:tc>
                <w:tcPr>
                  <w:tcW w:w="790" w:type="pct"/>
                  <w:noWrap w:val="0"/>
                  <w:vAlign w:val="center"/>
                </w:tcPr>
                <w:p>
                  <w:pPr>
                    <w:adjustRightInd w:val="0"/>
                    <w:snapToGrid w:val="0"/>
                    <w:spacing w:line="240" w:lineRule="atLeast"/>
                    <w:jc w:val="center"/>
                    <w:rPr>
                      <w:kern w:val="0"/>
                      <w:szCs w:val="21"/>
                    </w:rPr>
                  </w:pPr>
                  <w:r>
                    <w:rPr>
                      <w:kern w:val="0"/>
                      <w:szCs w:val="21"/>
                    </w:rPr>
                    <w:t>高</w:t>
                  </w:r>
                </w:p>
              </w:tc>
              <w:tc>
                <w:tcPr>
                  <w:tcW w:w="790" w:type="pct"/>
                  <w:noWrap w:val="0"/>
                  <w:vAlign w:val="center"/>
                </w:tcPr>
                <w:p>
                  <w:pPr>
                    <w:adjustRightInd w:val="0"/>
                    <w:snapToGrid w:val="0"/>
                    <w:spacing w:line="240" w:lineRule="atLeast"/>
                    <w:jc w:val="center"/>
                    <w:rPr>
                      <w:kern w:val="0"/>
                      <w:szCs w:val="21"/>
                    </w:rPr>
                  </w:pPr>
                  <w:r>
                    <w:rPr>
                      <w:kern w:val="0"/>
                      <w:szCs w:val="21"/>
                    </w:rPr>
                    <w:t>低</w:t>
                  </w:r>
                </w:p>
              </w:tc>
              <w:tc>
                <w:tcPr>
                  <w:tcW w:w="712" w:type="pct"/>
                  <w:noWrap w:val="0"/>
                  <w:vAlign w:val="center"/>
                </w:tcPr>
                <w:p>
                  <w:pPr>
                    <w:adjustRightInd w:val="0"/>
                    <w:snapToGrid w:val="0"/>
                    <w:spacing w:line="240" w:lineRule="atLeast"/>
                    <w:jc w:val="center"/>
                    <w:rPr>
                      <w:kern w:val="0"/>
                      <w:szCs w:val="21"/>
                    </w:rPr>
                  </w:pPr>
                  <w:r>
                    <w:rPr>
                      <w:kern w:val="0"/>
                      <w:szCs w:val="21"/>
                    </w:rPr>
                    <w:t>高</w:t>
                  </w:r>
                </w:p>
              </w:tc>
              <w:tc>
                <w:tcPr>
                  <w:tcW w:w="474" w:type="pct"/>
                  <w:noWrap w:val="0"/>
                  <w:vAlign w:val="center"/>
                </w:tcPr>
                <w:p>
                  <w:pPr>
                    <w:adjustRightInd w:val="0"/>
                    <w:snapToGrid w:val="0"/>
                    <w:spacing w:line="240" w:lineRule="atLeast"/>
                    <w:jc w:val="center"/>
                    <w:rPr>
                      <w:kern w:val="0"/>
                      <w:szCs w:val="21"/>
                    </w:rPr>
                  </w:pPr>
                  <w:r>
                    <w:rPr>
                      <w:kern w:val="0"/>
                      <w:szCs w:val="21"/>
                    </w:rPr>
                    <w:t>高</w:t>
                  </w:r>
                </w:p>
              </w:tc>
              <w:tc>
                <w:tcPr>
                  <w:tcW w:w="565" w:type="pct"/>
                  <w:noWrap w:val="0"/>
                  <w:vAlign w:val="center"/>
                </w:tcPr>
                <w:p>
                  <w:pPr>
                    <w:adjustRightInd w:val="0"/>
                    <w:snapToGrid w:val="0"/>
                    <w:spacing w:line="240" w:lineRule="atLeast"/>
                    <w:jc w:val="center"/>
                    <w:rPr>
                      <w:kern w:val="0"/>
                      <w:szCs w:val="21"/>
                    </w:rPr>
                  </w:pPr>
                  <w:r>
                    <w:rPr>
                      <w:kern w:val="0"/>
                      <w:szCs w:val="21"/>
                    </w:rPr>
                    <w:t>高</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424" w:type="pct"/>
                  <w:noWrap w:val="0"/>
                  <w:vAlign w:val="center"/>
                </w:tcPr>
                <w:p>
                  <w:pPr>
                    <w:adjustRightInd w:val="0"/>
                    <w:snapToGrid w:val="0"/>
                    <w:spacing w:line="240" w:lineRule="atLeast"/>
                    <w:jc w:val="center"/>
                    <w:rPr>
                      <w:kern w:val="0"/>
                      <w:szCs w:val="21"/>
                    </w:rPr>
                  </w:pPr>
                  <w:r>
                    <w:rPr>
                      <w:kern w:val="0"/>
                      <w:szCs w:val="21"/>
                    </w:rPr>
                    <w:t>运行费</w:t>
                  </w:r>
                </w:p>
              </w:tc>
              <w:tc>
                <w:tcPr>
                  <w:tcW w:w="527" w:type="pct"/>
                  <w:noWrap w:val="0"/>
                  <w:vAlign w:val="center"/>
                </w:tcPr>
                <w:p>
                  <w:pPr>
                    <w:adjustRightInd w:val="0"/>
                    <w:snapToGrid w:val="0"/>
                    <w:spacing w:line="240" w:lineRule="atLeast"/>
                    <w:jc w:val="center"/>
                    <w:rPr>
                      <w:kern w:val="0"/>
                      <w:szCs w:val="21"/>
                    </w:rPr>
                  </w:pPr>
                  <w:r>
                    <w:rPr>
                      <w:kern w:val="0"/>
                      <w:szCs w:val="21"/>
                    </w:rPr>
                    <w:t>低</w:t>
                  </w:r>
                </w:p>
              </w:tc>
              <w:tc>
                <w:tcPr>
                  <w:tcW w:w="713" w:type="pct"/>
                  <w:noWrap w:val="0"/>
                  <w:vAlign w:val="center"/>
                </w:tcPr>
                <w:p>
                  <w:pPr>
                    <w:adjustRightInd w:val="0"/>
                    <w:snapToGrid w:val="0"/>
                    <w:spacing w:line="240" w:lineRule="atLeast"/>
                    <w:jc w:val="center"/>
                    <w:rPr>
                      <w:kern w:val="0"/>
                      <w:szCs w:val="21"/>
                    </w:rPr>
                  </w:pPr>
                  <w:r>
                    <w:rPr>
                      <w:kern w:val="0"/>
                      <w:szCs w:val="21"/>
                    </w:rPr>
                    <w:t>中</w:t>
                  </w:r>
                </w:p>
              </w:tc>
              <w:tc>
                <w:tcPr>
                  <w:tcW w:w="790" w:type="pct"/>
                  <w:noWrap w:val="0"/>
                  <w:vAlign w:val="center"/>
                </w:tcPr>
                <w:p>
                  <w:pPr>
                    <w:adjustRightInd w:val="0"/>
                    <w:snapToGrid w:val="0"/>
                    <w:spacing w:line="240" w:lineRule="atLeast"/>
                    <w:jc w:val="center"/>
                    <w:rPr>
                      <w:kern w:val="0"/>
                      <w:szCs w:val="21"/>
                    </w:rPr>
                  </w:pPr>
                  <w:r>
                    <w:rPr>
                      <w:kern w:val="0"/>
                      <w:szCs w:val="21"/>
                    </w:rPr>
                    <w:t>高</w:t>
                  </w:r>
                </w:p>
              </w:tc>
              <w:tc>
                <w:tcPr>
                  <w:tcW w:w="790" w:type="pct"/>
                  <w:noWrap w:val="0"/>
                  <w:vAlign w:val="center"/>
                </w:tcPr>
                <w:p>
                  <w:pPr>
                    <w:adjustRightInd w:val="0"/>
                    <w:snapToGrid w:val="0"/>
                    <w:spacing w:line="240" w:lineRule="atLeast"/>
                    <w:jc w:val="center"/>
                    <w:rPr>
                      <w:kern w:val="0"/>
                      <w:szCs w:val="21"/>
                    </w:rPr>
                  </w:pPr>
                  <w:r>
                    <w:rPr>
                      <w:kern w:val="0"/>
                      <w:szCs w:val="21"/>
                    </w:rPr>
                    <w:t>高</w:t>
                  </w:r>
                </w:p>
              </w:tc>
              <w:tc>
                <w:tcPr>
                  <w:tcW w:w="712" w:type="pct"/>
                  <w:noWrap w:val="0"/>
                  <w:vAlign w:val="center"/>
                </w:tcPr>
                <w:p>
                  <w:pPr>
                    <w:adjustRightInd w:val="0"/>
                    <w:snapToGrid w:val="0"/>
                    <w:spacing w:line="240" w:lineRule="atLeast"/>
                    <w:jc w:val="center"/>
                    <w:rPr>
                      <w:kern w:val="0"/>
                      <w:szCs w:val="21"/>
                    </w:rPr>
                  </w:pPr>
                  <w:r>
                    <w:rPr>
                      <w:kern w:val="0"/>
                      <w:szCs w:val="21"/>
                    </w:rPr>
                    <w:t>较高</w:t>
                  </w:r>
                </w:p>
              </w:tc>
              <w:tc>
                <w:tcPr>
                  <w:tcW w:w="474" w:type="pct"/>
                  <w:noWrap w:val="0"/>
                  <w:vAlign w:val="center"/>
                </w:tcPr>
                <w:p>
                  <w:pPr>
                    <w:adjustRightInd w:val="0"/>
                    <w:snapToGrid w:val="0"/>
                    <w:spacing w:line="240" w:lineRule="atLeast"/>
                    <w:jc w:val="center"/>
                    <w:rPr>
                      <w:kern w:val="0"/>
                      <w:szCs w:val="21"/>
                    </w:rPr>
                  </w:pPr>
                  <w:r>
                    <w:rPr>
                      <w:kern w:val="0"/>
                      <w:szCs w:val="21"/>
                    </w:rPr>
                    <w:t>高</w:t>
                  </w:r>
                </w:p>
              </w:tc>
              <w:tc>
                <w:tcPr>
                  <w:tcW w:w="565" w:type="pct"/>
                  <w:noWrap w:val="0"/>
                  <w:vAlign w:val="center"/>
                </w:tcPr>
                <w:p>
                  <w:pPr>
                    <w:adjustRightInd w:val="0"/>
                    <w:snapToGrid w:val="0"/>
                    <w:spacing w:line="240" w:lineRule="atLeast"/>
                    <w:jc w:val="center"/>
                    <w:rPr>
                      <w:kern w:val="0"/>
                      <w:szCs w:val="21"/>
                    </w:rPr>
                  </w:pPr>
                  <w:r>
                    <w:rPr>
                      <w:kern w:val="0"/>
                      <w:szCs w:val="21"/>
                    </w:rPr>
                    <w:t>高</w:t>
                  </w:r>
                </w:p>
              </w:tc>
            </w:tr>
          </w:tbl>
          <w:p>
            <w:pPr>
              <w:pStyle w:val="2"/>
              <w:spacing w:before="0" w:after="0" w:line="360" w:lineRule="auto"/>
              <w:ind w:right="0" w:firstLine="480" w:firstLineChars="200"/>
              <w:rPr>
                <w:b/>
                <w:bCs/>
                <w:sz w:val="24"/>
                <w:szCs w:val="24"/>
              </w:rPr>
            </w:pPr>
            <w:r>
              <w:rPr>
                <w:sz w:val="24"/>
                <w:szCs w:val="24"/>
              </w:rPr>
              <w:t>经过以上初步比较，尽管紫外线消毒法一次性投资较高，但其占地面积小、杀菌效率高、安全、无二次污染、运行管理简单。考虑到本工程规模较小，分散较广，为便于统一维护管理，</w:t>
            </w:r>
            <w:r>
              <w:rPr>
                <w:b/>
                <w:bCs/>
                <w:sz w:val="24"/>
                <w:szCs w:val="24"/>
              </w:rPr>
              <w:t>本方案设计推荐采用紫外线消毒的方式。</w:t>
            </w:r>
          </w:p>
          <w:p>
            <w:pPr>
              <w:pStyle w:val="2"/>
              <w:spacing w:before="0" w:after="0" w:line="360" w:lineRule="auto"/>
              <w:ind w:right="0" w:firstLine="482" w:firstLineChars="200"/>
              <w:rPr>
                <w:b/>
                <w:bCs/>
                <w:sz w:val="24"/>
                <w:szCs w:val="24"/>
              </w:rPr>
            </w:pPr>
            <w:r>
              <w:rPr>
                <w:b/>
                <w:bCs/>
                <w:sz w:val="24"/>
                <w:szCs w:val="24"/>
              </w:rPr>
              <w:t>4、污泥脱水工艺</w:t>
            </w:r>
          </w:p>
          <w:p>
            <w:pPr>
              <w:pStyle w:val="104"/>
            </w:pPr>
            <w:r>
              <w:t>就机械处理污泥而言，分析国内外脱水机械应用情况，对于该规模的污水厂，目前应用较多的是带式压滤机、板框压滤机和叠螺脱水机三种。</w:t>
            </w:r>
          </w:p>
          <w:p>
            <w:pPr>
              <w:pStyle w:val="104"/>
            </w:pPr>
            <w:r>
              <w:t>板框压滤机一般为间歇操作，不能24小时连续运行，因不断加厚的泥饼产生的过滤比阻大、为达到相应的污泥脱水干度而进行的保压过滤所带来的能耗也较大；由于其卸泥方式为打开板框后泥饼往下坠落的方式，所以其主体设备一般设置在楼上，楼下设置泥饼输送机。但该型脱水机脱水效果好，泥饼含水率在</w:t>
            </w:r>
            <w:r>
              <w:rPr>
                <w:rFonts w:hint="eastAsia"/>
                <w:lang w:eastAsia="zh-CN"/>
              </w:rPr>
              <w:t>60%～70%</w:t>
            </w:r>
            <w:r>
              <w:t>以下，运输量较小，可节省运输费用。适合于污泥量小的污水处理厂。在污泥填埋费用较高、运距较远的情况下该种污泥脱水设备具有一定优势。</w:t>
            </w:r>
          </w:p>
          <w:p>
            <w:pPr>
              <w:pStyle w:val="104"/>
            </w:pPr>
            <w:r>
              <w:t>带式压滤机具有能源省，投资省等优点，应用实例众多，脱水后泥饼含水率一般为</w:t>
            </w:r>
            <w:r>
              <w:rPr>
                <w:rFonts w:hint="eastAsia"/>
                <w:lang w:eastAsia="zh-CN"/>
              </w:rPr>
              <w:t>78%～80%</w:t>
            </w:r>
            <w:r>
              <w:t>，但由于其敞开脱水的构造，具有脱水间卫生条件差的缺点。适合污泥量较大的污水处理厂。</w:t>
            </w:r>
          </w:p>
          <w:p>
            <w:pPr>
              <w:pStyle w:val="104"/>
            </w:pPr>
            <w:r>
              <w:t>叠螺脱水机结构简单，利用轴心和动定环的相对运行，挤出滤液，降低含水率，运行方便，可连续出泥，无需清洗滤布。没有板框压滤机的间歇性和带式压滤机的滤带跑偏等问题。</w:t>
            </w:r>
          </w:p>
          <w:p>
            <w:pPr>
              <w:pStyle w:val="104"/>
              <w:spacing w:line="240" w:lineRule="auto"/>
              <w:ind w:firstLine="0"/>
              <w:jc w:val="center"/>
              <w:rPr>
                <w:rFonts w:eastAsia="黑体"/>
              </w:rPr>
            </w:pPr>
            <w:r>
              <w:rPr>
                <w:rFonts w:eastAsia="黑体"/>
              </w:rPr>
              <w:t>表2-9  污泥脱水工艺对比表</w:t>
            </w:r>
          </w:p>
          <w:tbl>
            <w:tblPr>
              <w:tblStyle w:val="3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85" w:type="dxa"/>
                <w:bottom w:w="0" w:type="dxa"/>
                <w:right w:w="85" w:type="dxa"/>
              </w:tblCellMar>
            </w:tblPr>
            <w:tblGrid>
              <w:gridCol w:w="530"/>
              <w:gridCol w:w="1795"/>
              <w:gridCol w:w="2032"/>
              <w:gridCol w:w="2032"/>
              <w:gridCol w:w="20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c>
                <w:tcPr>
                  <w:tcW w:w="534" w:type="dxa"/>
                  <w:shd w:val="clear" w:color="auto" w:fill="CCFFFF"/>
                  <w:noWrap w:val="0"/>
                  <w:vAlign w:val="center"/>
                </w:tcPr>
                <w:p>
                  <w:pPr>
                    <w:adjustRightInd w:val="0"/>
                    <w:snapToGrid w:val="0"/>
                    <w:spacing w:line="240" w:lineRule="atLeast"/>
                    <w:jc w:val="center"/>
                    <w:rPr>
                      <w:b/>
                      <w:bCs/>
                      <w:szCs w:val="21"/>
                    </w:rPr>
                  </w:pPr>
                  <w:r>
                    <w:rPr>
                      <w:b/>
                      <w:bCs/>
                      <w:szCs w:val="21"/>
                    </w:rPr>
                    <w:t>序号</w:t>
                  </w:r>
                </w:p>
              </w:tc>
              <w:tc>
                <w:tcPr>
                  <w:tcW w:w="1809" w:type="dxa"/>
                  <w:shd w:val="clear" w:color="auto" w:fill="CCFFFF"/>
                  <w:noWrap w:val="0"/>
                  <w:vAlign w:val="center"/>
                </w:tcPr>
                <w:p>
                  <w:pPr>
                    <w:adjustRightInd w:val="0"/>
                    <w:snapToGrid w:val="0"/>
                    <w:spacing w:line="240" w:lineRule="atLeast"/>
                    <w:jc w:val="center"/>
                    <w:rPr>
                      <w:b/>
                      <w:bCs/>
                      <w:szCs w:val="21"/>
                    </w:rPr>
                  </w:pPr>
                  <w:r>
                    <w:rPr>
                      <w:b/>
                      <w:bCs/>
                      <w:szCs w:val="21"/>
                    </w:rPr>
                    <w:t>比较项目</w:t>
                  </w:r>
                </w:p>
              </w:tc>
              <w:tc>
                <w:tcPr>
                  <w:tcW w:w="2061" w:type="dxa"/>
                  <w:shd w:val="clear" w:color="auto" w:fill="CCFFFF"/>
                  <w:noWrap w:val="0"/>
                  <w:vAlign w:val="center"/>
                </w:tcPr>
                <w:p>
                  <w:pPr>
                    <w:adjustRightInd w:val="0"/>
                    <w:snapToGrid w:val="0"/>
                    <w:spacing w:line="240" w:lineRule="atLeast"/>
                    <w:ind w:left="480"/>
                    <w:jc w:val="center"/>
                    <w:rPr>
                      <w:b/>
                      <w:bCs/>
                      <w:szCs w:val="21"/>
                    </w:rPr>
                  </w:pPr>
                  <w:r>
                    <w:rPr>
                      <w:b/>
                      <w:bCs/>
                      <w:szCs w:val="21"/>
                    </w:rPr>
                    <w:t>箱式压滤机</w:t>
                  </w:r>
                </w:p>
              </w:tc>
              <w:tc>
                <w:tcPr>
                  <w:tcW w:w="2061" w:type="dxa"/>
                  <w:shd w:val="clear" w:color="auto" w:fill="CCFFFF"/>
                  <w:noWrap w:val="0"/>
                  <w:vAlign w:val="center"/>
                </w:tcPr>
                <w:p>
                  <w:pPr>
                    <w:adjustRightInd w:val="0"/>
                    <w:snapToGrid w:val="0"/>
                    <w:spacing w:line="240" w:lineRule="atLeast"/>
                    <w:ind w:left="480"/>
                    <w:jc w:val="center"/>
                    <w:rPr>
                      <w:b/>
                      <w:bCs/>
                      <w:szCs w:val="21"/>
                    </w:rPr>
                  </w:pPr>
                  <w:r>
                    <w:rPr>
                      <w:b/>
                      <w:bCs/>
                      <w:szCs w:val="21"/>
                    </w:rPr>
                    <w:t>带式压滤机</w:t>
                  </w:r>
                </w:p>
              </w:tc>
              <w:tc>
                <w:tcPr>
                  <w:tcW w:w="2057" w:type="dxa"/>
                  <w:shd w:val="clear" w:color="auto" w:fill="CCFFFF"/>
                  <w:noWrap w:val="0"/>
                  <w:vAlign w:val="center"/>
                </w:tcPr>
                <w:p>
                  <w:pPr>
                    <w:adjustRightInd w:val="0"/>
                    <w:snapToGrid w:val="0"/>
                    <w:spacing w:line="240" w:lineRule="atLeast"/>
                    <w:ind w:left="480"/>
                    <w:jc w:val="center"/>
                    <w:rPr>
                      <w:b/>
                      <w:bCs/>
                      <w:szCs w:val="21"/>
                    </w:rPr>
                  </w:pPr>
                  <w:r>
                    <w:rPr>
                      <w:b/>
                      <w:bCs/>
                      <w:szCs w:val="21"/>
                    </w:rPr>
                    <w:t>叠螺压滤机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c>
                <w:tcPr>
                  <w:tcW w:w="534" w:type="dxa"/>
                  <w:vMerge w:val="restart"/>
                  <w:noWrap w:val="0"/>
                  <w:vAlign w:val="center"/>
                </w:tcPr>
                <w:p>
                  <w:pPr>
                    <w:adjustRightInd w:val="0"/>
                    <w:snapToGrid w:val="0"/>
                    <w:spacing w:line="240" w:lineRule="atLeast"/>
                    <w:jc w:val="center"/>
                    <w:rPr>
                      <w:szCs w:val="21"/>
                    </w:rPr>
                  </w:pPr>
                  <w:r>
                    <w:rPr>
                      <w:szCs w:val="21"/>
                    </w:rPr>
                    <w:t>1</w:t>
                  </w:r>
                </w:p>
              </w:tc>
              <w:tc>
                <w:tcPr>
                  <w:tcW w:w="1809" w:type="dxa"/>
                  <w:noWrap w:val="0"/>
                  <w:vAlign w:val="center"/>
                </w:tcPr>
                <w:p>
                  <w:pPr>
                    <w:adjustRightInd w:val="0"/>
                    <w:snapToGrid w:val="0"/>
                    <w:spacing w:line="240" w:lineRule="atLeast"/>
                    <w:jc w:val="center"/>
                    <w:rPr>
                      <w:szCs w:val="21"/>
                    </w:rPr>
                  </w:pPr>
                  <w:r>
                    <w:rPr>
                      <w:szCs w:val="21"/>
                    </w:rPr>
                    <w:t>泥饼含水率%</w:t>
                  </w:r>
                </w:p>
              </w:tc>
              <w:tc>
                <w:tcPr>
                  <w:tcW w:w="2061" w:type="dxa"/>
                  <w:noWrap w:val="0"/>
                  <w:vAlign w:val="center"/>
                </w:tcPr>
                <w:p>
                  <w:pPr>
                    <w:adjustRightInd w:val="0"/>
                    <w:snapToGrid w:val="0"/>
                    <w:spacing w:line="240" w:lineRule="atLeast"/>
                    <w:ind w:left="-2" w:leftChars="-3" w:hanging="4" w:hangingChars="2"/>
                    <w:jc w:val="center"/>
                    <w:rPr>
                      <w:szCs w:val="21"/>
                    </w:rPr>
                  </w:pPr>
                  <w:r>
                    <w:rPr>
                      <w:szCs w:val="21"/>
                    </w:rPr>
                    <w:t>60～70</w:t>
                  </w:r>
                </w:p>
              </w:tc>
              <w:tc>
                <w:tcPr>
                  <w:tcW w:w="2061" w:type="dxa"/>
                  <w:noWrap w:val="0"/>
                  <w:vAlign w:val="center"/>
                </w:tcPr>
                <w:p>
                  <w:pPr>
                    <w:adjustRightInd w:val="0"/>
                    <w:snapToGrid w:val="0"/>
                    <w:spacing w:line="240" w:lineRule="atLeast"/>
                    <w:ind w:left="8" w:leftChars="-22" w:hanging="54" w:hangingChars="26"/>
                    <w:jc w:val="center"/>
                    <w:rPr>
                      <w:szCs w:val="21"/>
                    </w:rPr>
                  </w:pPr>
                  <w:r>
                    <w:rPr>
                      <w:szCs w:val="21"/>
                    </w:rPr>
                    <w:t>78～80</w:t>
                  </w:r>
                </w:p>
              </w:tc>
              <w:tc>
                <w:tcPr>
                  <w:tcW w:w="2057" w:type="dxa"/>
                  <w:noWrap w:val="0"/>
                  <w:vAlign w:val="center"/>
                </w:tcPr>
                <w:p>
                  <w:pPr>
                    <w:adjustRightInd w:val="0"/>
                    <w:snapToGrid w:val="0"/>
                    <w:spacing w:line="240" w:lineRule="atLeast"/>
                    <w:ind w:left="317" w:leftChars="70" w:hanging="170" w:hangingChars="81"/>
                    <w:jc w:val="center"/>
                    <w:rPr>
                      <w:szCs w:val="21"/>
                    </w:rPr>
                  </w:pPr>
                  <w:r>
                    <w:rPr>
                      <w:szCs w:val="21"/>
                    </w:rPr>
                    <w:t>78～80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c>
                <w:tcPr>
                  <w:tcW w:w="534" w:type="dxa"/>
                  <w:vMerge w:val="continue"/>
                  <w:noWrap w:val="0"/>
                  <w:vAlign w:val="center"/>
                </w:tcPr>
                <w:p>
                  <w:pPr>
                    <w:adjustRightInd w:val="0"/>
                    <w:snapToGrid w:val="0"/>
                    <w:spacing w:line="240" w:lineRule="atLeast"/>
                    <w:ind w:left="480"/>
                    <w:jc w:val="center"/>
                    <w:rPr>
                      <w:szCs w:val="21"/>
                    </w:rPr>
                  </w:pPr>
                </w:p>
              </w:tc>
              <w:tc>
                <w:tcPr>
                  <w:tcW w:w="1809" w:type="dxa"/>
                  <w:noWrap w:val="0"/>
                  <w:vAlign w:val="center"/>
                </w:tcPr>
                <w:p>
                  <w:pPr>
                    <w:adjustRightInd w:val="0"/>
                    <w:snapToGrid w:val="0"/>
                    <w:spacing w:line="240" w:lineRule="atLeast"/>
                    <w:jc w:val="center"/>
                    <w:rPr>
                      <w:szCs w:val="21"/>
                    </w:rPr>
                  </w:pPr>
                  <w:r>
                    <w:rPr>
                      <w:szCs w:val="21"/>
                    </w:rPr>
                    <w:t>进泥浓度（g/L）</w:t>
                  </w:r>
                </w:p>
              </w:tc>
              <w:tc>
                <w:tcPr>
                  <w:tcW w:w="2061" w:type="dxa"/>
                  <w:noWrap w:val="0"/>
                  <w:vAlign w:val="center"/>
                </w:tcPr>
                <w:p>
                  <w:pPr>
                    <w:adjustRightInd w:val="0"/>
                    <w:snapToGrid w:val="0"/>
                    <w:spacing w:line="240" w:lineRule="atLeast"/>
                    <w:ind w:left="-2" w:leftChars="-3" w:hanging="4" w:hangingChars="2"/>
                    <w:jc w:val="center"/>
                    <w:rPr>
                      <w:szCs w:val="21"/>
                    </w:rPr>
                  </w:pPr>
                  <w:r>
                    <w:rPr>
                      <w:szCs w:val="21"/>
                    </w:rPr>
                    <w:t>2.5～3.0</w:t>
                  </w:r>
                </w:p>
              </w:tc>
              <w:tc>
                <w:tcPr>
                  <w:tcW w:w="2061" w:type="dxa"/>
                  <w:noWrap w:val="0"/>
                  <w:vAlign w:val="center"/>
                </w:tcPr>
                <w:p>
                  <w:pPr>
                    <w:adjustRightInd w:val="0"/>
                    <w:snapToGrid w:val="0"/>
                    <w:spacing w:line="240" w:lineRule="atLeast"/>
                    <w:ind w:left="8" w:leftChars="-22" w:hanging="54" w:hangingChars="26"/>
                    <w:jc w:val="center"/>
                    <w:rPr>
                      <w:szCs w:val="21"/>
                    </w:rPr>
                  </w:pPr>
                  <w:r>
                    <w:rPr>
                      <w:szCs w:val="21"/>
                    </w:rPr>
                    <w:t>3.0</w:t>
                  </w:r>
                </w:p>
              </w:tc>
              <w:tc>
                <w:tcPr>
                  <w:tcW w:w="2057" w:type="dxa"/>
                  <w:noWrap w:val="0"/>
                  <w:vAlign w:val="center"/>
                </w:tcPr>
                <w:p>
                  <w:pPr>
                    <w:adjustRightInd w:val="0"/>
                    <w:snapToGrid w:val="0"/>
                    <w:spacing w:line="240" w:lineRule="atLeast"/>
                    <w:ind w:left="317" w:leftChars="70" w:hanging="170" w:hangingChars="81"/>
                    <w:jc w:val="center"/>
                    <w:rPr>
                      <w:szCs w:val="21"/>
                    </w:rPr>
                  </w:pPr>
                  <w:bookmarkStart w:id="20" w:name="_Toc353785591"/>
                  <w:r>
                    <w:rPr>
                      <w:szCs w:val="21"/>
                    </w:rPr>
                    <w:t>3.0</w:t>
                  </w:r>
                  <w:bookmarkEnd w:id="20"/>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c>
                <w:tcPr>
                  <w:tcW w:w="534" w:type="dxa"/>
                  <w:noWrap w:val="0"/>
                  <w:vAlign w:val="center"/>
                </w:tcPr>
                <w:p>
                  <w:pPr>
                    <w:adjustRightInd w:val="0"/>
                    <w:snapToGrid w:val="0"/>
                    <w:spacing w:line="240" w:lineRule="atLeast"/>
                    <w:jc w:val="center"/>
                    <w:rPr>
                      <w:szCs w:val="21"/>
                    </w:rPr>
                  </w:pPr>
                  <w:r>
                    <w:rPr>
                      <w:szCs w:val="21"/>
                    </w:rPr>
                    <w:t>2</w:t>
                  </w:r>
                </w:p>
              </w:tc>
              <w:tc>
                <w:tcPr>
                  <w:tcW w:w="1809" w:type="dxa"/>
                  <w:noWrap w:val="0"/>
                  <w:vAlign w:val="center"/>
                </w:tcPr>
                <w:p>
                  <w:pPr>
                    <w:adjustRightInd w:val="0"/>
                    <w:snapToGrid w:val="0"/>
                    <w:spacing w:line="240" w:lineRule="atLeast"/>
                    <w:jc w:val="center"/>
                    <w:rPr>
                      <w:szCs w:val="21"/>
                    </w:rPr>
                  </w:pPr>
                  <w:r>
                    <w:rPr>
                      <w:szCs w:val="21"/>
                    </w:rPr>
                    <w:t>能耗(</w:t>
                  </w:r>
                  <w:r>
                    <w:rPr>
                      <w:rFonts w:hint="eastAsia"/>
                      <w:szCs w:val="21"/>
                    </w:rPr>
                    <w:t>kW</w:t>
                  </w:r>
                  <w:r>
                    <w:rPr>
                      <w:szCs w:val="21"/>
                    </w:rPr>
                    <w:t>·h/T·ds)</w:t>
                  </w:r>
                </w:p>
              </w:tc>
              <w:tc>
                <w:tcPr>
                  <w:tcW w:w="2061" w:type="dxa"/>
                  <w:noWrap w:val="0"/>
                  <w:vAlign w:val="center"/>
                </w:tcPr>
                <w:p>
                  <w:pPr>
                    <w:adjustRightInd w:val="0"/>
                    <w:snapToGrid w:val="0"/>
                    <w:spacing w:line="240" w:lineRule="atLeast"/>
                    <w:ind w:left="-2" w:leftChars="-3" w:hanging="4" w:hangingChars="2"/>
                    <w:jc w:val="center"/>
                    <w:rPr>
                      <w:szCs w:val="21"/>
                    </w:rPr>
                  </w:pPr>
                  <w:r>
                    <w:rPr>
                      <w:szCs w:val="21"/>
                    </w:rPr>
                    <w:t>14～40</w:t>
                  </w:r>
                </w:p>
              </w:tc>
              <w:tc>
                <w:tcPr>
                  <w:tcW w:w="2061" w:type="dxa"/>
                  <w:noWrap w:val="0"/>
                  <w:vAlign w:val="center"/>
                </w:tcPr>
                <w:p>
                  <w:pPr>
                    <w:adjustRightInd w:val="0"/>
                    <w:snapToGrid w:val="0"/>
                    <w:spacing w:line="240" w:lineRule="atLeast"/>
                    <w:ind w:left="8" w:leftChars="-22" w:hanging="54" w:hangingChars="26"/>
                    <w:jc w:val="center"/>
                    <w:rPr>
                      <w:szCs w:val="21"/>
                    </w:rPr>
                  </w:pPr>
                  <w:r>
                    <w:rPr>
                      <w:szCs w:val="21"/>
                    </w:rPr>
                    <w:t>＜10</w:t>
                  </w:r>
                </w:p>
              </w:tc>
              <w:tc>
                <w:tcPr>
                  <w:tcW w:w="2057" w:type="dxa"/>
                  <w:noWrap w:val="0"/>
                  <w:vAlign w:val="center"/>
                </w:tcPr>
                <w:p>
                  <w:pPr>
                    <w:adjustRightInd w:val="0"/>
                    <w:snapToGrid w:val="0"/>
                    <w:spacing w:line="240" w:lineRule="atLeast"/>
                    <w:ind w:left="317" w:leftChars="70" w:hanging="170" w:hangingChars="81"/>
                    <w:jc w:val="center"/>
                    <w:rPr>
                      <w:szCs w:val="21"/>
                    </w:rPr>
                  </w:pPr>
                  <w:r>
                    <w:rPr>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c>
                <w:tcPr>
                  <w:tcW w:w="534" w:type="dxa"/>
                  <w:noWrap w:val="0"/>
                  <w:vAlign w:val="center"/>
                </w:tcPr>
                <w:p>
                  <w:pPr>
                    <w:adjustRightInd w:val="0"/>
                    <w:snapToGrid w:val="0"/>
                    <w:spacing w:line="240" w:lineRule="atLeast"/>
                    <w:jc w:val="center"/>
                    <w:rPr>
                      <w:szCs w:val="21"/>
                    </w:rPr>
                  </w:pPr>
                  <w:r>
                    <w:rPr>
                      <w:szCs w:val="21"/>
                    </w:rPr>
                    <w:t>3</w:t>
                  </w:r>
                </w:p>
              </w:tc>
              <w:tc>
                <w:tcPr>
                  <w:tcW w:w="1809" w:type="dxa"/>
                  <w:noWrap w:val="0"/>
                  <w:vAlign w:val="center"/>
                </w:tcPr>
                <w:p>
                  <w:pPr>
                    <w:adjustRightInd w:val="0"/>
                    <w:snapToGrid w:val="0"/>
                    <w:spacing w:line="240" w:lineRule="atLeast"/>
                    <w:jc w:val="center"/>
                    <w:rPr>
                      <w:szCs w:val="21"/>
                    </w:rPr>
                  </w:pPr>
                  <w:r>
                    <w:rPr>
                      <w:szCs w:val="21"/>
                    </w:rPr>
                    <w:t>聚合物投量kg/T·ds</w:t>
                  </w:r>
                </w:p>
              </w:tc>
              <w:tc>
                <w:tcPr>
                  <w:tcW w:w="2061" w:type="dxa"/>
                  <w:noWrap w:val="0"/>
                  <w:vAlign w:val="center"/>
                </w:tcPr>
                <w:p>
                  <w:pPr>
                    <w:adjustRightInd w:val="0"/>
                    <w:snapToGrid w:val="0"/>
                    <w:spacing w:line="240" w:lineRule="atLeast"/>
                    <w:ind w:left="-2" w:leftChars="-3" w:hanging="4" w:hangingChars="2"/>
                    <w:jc w:val="center"/>
                    <w:rPr>
                      <w:szCs w:val="21"/>
                    </w:rPr>
                  </w:pPr>
                  <w:r>
                    <w:rPr>
                      <w:szCs w:val="21"/>
                    </w:rPr>
                    <w:t>3～5</w:t>
                  </w:r>
                </w:p>
              </w:tc>
              <w:tc>
                <w:tcPr>
                  <w:tcW w:w="2061" w:type="dxa"/>
                  <w:noWrap w:val="0"/>
                  <w:vAlign w:val="center"/>
                </w:tcPr>
                <w:p>
                  <w:pPr>
                    <w:adjustRightInd w:val="0"/>
                    <w:snapToGrid w:val="0"/>
                    <w:spacing w:line="240" w:lineRule="atLeast"/>
                    <w:ind w:left="8" w:leftChars="-22" w:hanging="54" w:hangingChars="26"/>
                    <w:jc w:val="center"/>
                    <w:rPr>
                      <w:szCs w:val="21"/>
                    </w:rPr>
                  </w:pPr>
                  <w:r>
                    <w:rPr>
                      <w:szCs w:val="21"/>
                    </w:rPr>
                    <w:t>3～5</w:t>
                  </w:r>
                </w:p>
              </w:tc>
              <w:tc>
                <w:tcPr>
                  <w:tcW w:w="2057" w:type="dxa"/>
                  <w:noWrap w:val="0"/>
                  <w:vAlign w:val="center"/>
                </w:tcPr>
                <w:p>
                  <w:pPr>
                    <w:adjustRightInd w:val="0"/>
                    <w:snapToGrid w:val="0"/>
                    <w:spacing w:line="240" w:lineRule="atLeast"/>
                    <w:ind w:left="317" w:leftChars="70" w:hanging="170" w:hangingChars="81"/>
                    <w:jc w:val="center"/>
                    <w:rPr>
                      <w:szCs w:val="21"/>
                    </w:rPr>
                  </w:pPr>
                  <w:r>
                    <w:rPr>
                      <w:szCs w:val="21"/>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c>
                <w:tcPr>
                  <w:tcW w:w="534" w:type="dxa"/>
                  <w:noWrap w:val="0"/>
                  <w:vAlign w:val="center"/>
                </w:tcPr>
                <w:p>
                  <w:pPr>
                    <w:adjustRightInd w:val="0"/>
                    <w:snapToGrid w:val="0"/>
                    <w:spacing w:line="240" w:lineRule="atLeast"/>
                    <w:jc w:val="center"/>
                    <w:rPr>
                      <w:szCs w:val="21"/>
                    </w:rPr>
                  </w:pPr>
                  <w:r>
                    <w:rPr>
                      <w:szCs w:val="21"/>
                    </w:rPr>
                    <w:t>4</w:t>
                  </w:r>
                </w:p>
              </w:tc>
              <w:tc>
                <w:tcPr>
                  <w:tcW w:w="1809" w:type="dxa"/>
                  <w:noWrap w:val="0"/>
                  <w:vAlign w:val="center"/>
                </w:tcPr>
                <w:p>
                  <w:pPr>
                    <w:adjustRightInd w:val="0"/>
                    <w:snapToGrid w:val="0"/>
                    <w:spacing w:line="240" w:lineRule="atLeast"/>
                    <w:jc w:val="center"/>
                    <w:rPr>
                      <w:szCs w:val="21"/>
                    </w:rPr>
                  </w:pPr>
                  <w:r>
                    <w:rPr>
                      <w:szCs w:val="21"/>
                    </w:rPr>
                    <w:t>工作方式</w:t>
                  </w:r>
                </w:p>
              </w:tc>
              <w:tc>
                <w:tcPr>
                  <w:tcW w:w="2061" w:type="dxa"/>
                  <w:noWrap w:val="0"/>
                  <w:vAlign w:val="center"/>
                </w:tcPr>
                <w:p>
                  <w:pPr>
                    <w:adjustRightInd w:val="0"/>
                    <w:snapToGrid w:val="0"/>
                    <w:spacing w:line="240" w:lineRule="atLeast"/>
                    <w:ind w:left="-2" w:leftChars="-3" w:hanging="4" w:hangingChars="2"/>
                    <w:jc w:val="center"/>
                    <w:rPr>
                      <w:szCs w:val="21"/>
                    </w:rPr>
                  </w:pPr>
                  <w:r>
                    <w:rPr>
                      <w:szCs w:val="21"/>
                    </w:rPr>
                    <w:t>间歇式</w:t>
                  </w:r>
                </w:p>
              </w:tc>
              <w:tc>
                <w:tcPr>
                  <w:tcW w:w="2061" w:type="dxa"/>
                  <w:noWrap w:val="0"/>
                  <w:vAlign w:val="center"/>
                </w:tcPr>
                <w:p>
                  <w:pPr>
                    <w:adjustRightInd w:val="0"/>
                    <w:snapToGrid w:val="0"/>
                    <w:spacing w:line="240" w:lineRule="atLeast"/>
                    <w:ind w:left="8" w:leftChars="-22" w:hanging="54" w:hangingChars="26"/>
                    <w:jc w:val="center"/>
                    <w:rPr>
                      <w:szCs w:val="21"/>
                    </w:rPr>
                  </w:pPr>
                  <w:r>
                    <w:rPr>
                      <w:szCs w:val="21"/>
                    </w:rPr>
                    <w:t>连续</w:t>
                  </w:r>
                </w:p>
              </w:tc>
              <w:tc>
                <w:tcPr>
                  <w:tcW w:w="2057" w:type="dxa"/>
                  <w:noWrap w:val="0"/>
                  <w:vAlign w:val="center"/>
                </w:tcPr>
                <w:p>
                  <w:pPr>
                    <w:adjustRightInd w:val="0"/>
                    <w:snapToGrid w:val="0"/>
                    <w:spacing w:line="240" w:lineRule="atLeast"/>
                    <w:ind w:left="317" w:leftChars="70" w:hanging="170" w:hangingChars="81"/>
                    <w:jc w:val="center"/>
                    <w:rPr>
                      <w:szCs w:val="21"/>
                    </w:rPr>
                  </w:pPr>
                  <w:r>
                    <w:rPr>
                      <w:szCs w:val="21"/>
                    </w:rPr>
                    <w:t>连续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c>
                <w:tcPr>
                  <w:tcW w:w="534" w:type="dxa"/>
                  <w:noWrap w:val="0"/>
                  <w:vAlign w:val="center"/>
                </w:tcPr>
                <w:p>
                  <w:pPr>
                    <w:adjustRightInd w:val="0"/>
                    <w:snapToGrid w:val="0"/>
                    <w:spacing w:line="240" w:lineRule="atLeast"/>
                    <w:jc w:val="center"/>
                    <w:rPr>
                      <w:szCs w:val="21"/>
                    </w:rPr>
                  </w:pPr>
                  <w:r>
                    <w:rPr>
                      <w:szCs w:val="21"/>
                    </w:rPr>
                    <w:t>5</w:t>
                  </w:r>
                </w:p>
              </w:tc>
              <w:tc>
                <w:tcPr>
                  <w:tcW w:w="1809" w:type="dxa"/>
                  <w:noWrap w:val="0"/>
                  <w:vAlign w:val="center"/>
                </w:tcPr>
                <w:p>
                  <w:pPr>
                    <w:adjustRightInd w:val="0"/>
                    <w:snapToGrid w:val="0"/>
                    <w:spacing w:line="240" w:lineRule="atLeast"/>
                    <w:jc w:val="center"/>
                    <w:rPr>
                      <w:szCs w:val="21"/>
                    </w:rPr>
                  </w:pPr>
                  <w:r>
                    <w:rPr>
                      <w:szCs w:val="21"/>
                    </w:rPr>
                    <w:t>工作条件</w:t>
                  </w:r>
                </w:p>
              </w:tc>
              <w:tc>
                <w:tcPr>
                  <w:tcW w:w="2061" w:type="dxa"/>
                  <w:noWrap w:val="0"/>
                  <w:vAlign w:val="center"/>
                </w:tcPr>
                <w:p>
                  <w:pPr>
                    <w:adjustRightInd w:val="0"/>
                    <w:snapToGrid w:val="0"/>
                    <w:spacing w:line="240" w:lineRule="atLeast"/>
                    <w:ind w:left="-2" w:leftChars="-3" w:hanging="4" w:hangingChars="2"/>
                    <w:jc w:val="center"/>
                    <w:rPr>
                      <w:szCs w:val="21"/>
                    </w:rPr>
                  </w:pPr>
                  <w:r>
                    <w:rPr>
                      <w:szCs w:val="21"/>
                    </w:rPr>
                    <w:t>半敞开式</w:t>
                  </w:r>
                </w:p>
              </w:tc>
              <w:tc>
                <w:tcPr>
                  <w:tcW w:w="2061" w:type="dxa"/>
                  <w:noWrap w:val="0"/>
                  <w:vAlign w:val="center"/>
                </w:tcPr>
                <w:p>
                  <w:pPr>
                    <w:adjustRightInd w:val="0"/>
                    <w:snapToGrid w:val="0"/>
                    <w:spacing w:line="240" w:lineRule="atLeast"/>
                    <w:ind w:left="8" w:leftChars="-22" w:hanging="54" w:hangingChars="26"/>
                    <w:jc w:val="center"/>
                    <w:rPr>
                      <w:szCs w:val="21"/>
                    </w:rPr>
                  </w:pPr>
                  <w:r>
                    <w:rPr>
                      <w:szCs w:val="21"/>
                    </w:rPr>
                    <w:t>封闭式</w:t>
                  </w:r>
                </w:p>
              </w:tc>
              <w:tc>
                <w:tcPr>
                  <w:tcW w:w="2057" w:type="dxa"/>
                  <w:noWrap w:val="0"/>
                  <w:vAlign w:val="center"/>
                </w:tcPr>
                <w:p>
                  <w:pPr>
                    <w:adjustRightInd w:val="0"/>
                    <w:snapToGrid w:val="0"/>
                    <w:spacing w:line="240" w:lineRule="atLeast"/>
                    <w:ind w:left="317" w:leftChars="70" w:hanging="170" w:hangingChars="81"/>
                    <w:jc w:val="center"/>
                    <w:rPr>
                      <w:szCs w:val="21"/>
                    </w:rPr>
                  </w:pPr>
                  <w:r>
                    <w:rPr>
                      <w:szCs w:val="21"/>
                    </w:rPr>
                    <w:t>封闭式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c>
                <w:tcPr>
                  <w:tcW w:w="534" w:type="dxa"/>
                  <w:noWrap w:val="0"/>
                  <w:vAlign w:val="center"/>
                </w:tcPr>
                <w:p>
                  <w:pPr>
                    <w:adjustRightInd w:val="0"/>
                    <w:snapToGrid w:val="0"/>
                    <w:spacing w:line="240" w:lineRule="atLeast"/>
                    <w:jc w:val="center"/>
                    <w:rPr>
                      <w:szCs w:val="21"/>
                    </w:rPr>
                  </w:pPr>
                  <w:r>
                    <w:rPr>
                      <w:szCs w:val="21"/>
                    </w:rPr>
                    <w:t>6</w:t>
                  </w:r>
                </w:p>
              </w:tc>
              <w:tc>
                <w:tcPr>
                  <w:tcW w:w="1809" w:type="dxa"/>
                  <w:noWrap w:val="0"/>
                  <w:vAlign w:val="center"/>
                </w:tcPr>
                <w:p>
                  <w:pPr>
                    <w:adjustRightInd w:val="0"/>
                    <w:snapToGrid w:val="0"/>
                    <w:spacing w:line="240" w:lineRule="atLeast"/>
                    <w:jc w:val="center"/>
                    <w:rPr>
                      <w:szCs w:val="21"/>
                    </w:rPr>
                  </w:pPr>
                  <w:r>
                    <w:rPr>
                      <w:szCs w:val="21"/>
                    </w:rPr>
                    <w:t>操作条件</w:t>
                  </w:r>
                </w:p>
              </w:tc>
              <w:tc>
                <w:tcPr>
                  <w:tcW w:w="2061" w:type="dxa"/>
                  <w:noWrap w:val="0"/>
                  <w:vAlign w:val="center"/>
                </w:tcPr>
                <w:p>
                  <w:pPr>
                    <w:adjustRightInd w:val="0"/>
                    <w:snapToGrid w:val="0"/>
                    <w:spacing w:line="240" w:lineRule="atLeast"/>
                    <w:ind w:left="-2" w:leftChars="-3" w:hanging="4" w:hangingChars="2"/>
                    <w:jc w:val="center"/>
                    <w:rPr>
                      <w:szCs w:val="21"/>
                    </w:rPr>
                  </w:pPr>
                  <w:r>
                    <w:rPr>
                      <w:szCs w:val="21"/>
                    </w:rPr>
                    <w:t>脱泥时需要有人辅助(部分设备设自动脱泥装置)</w:t>
                  </w:r>
                </w:p>
              </w:tc>
              <w:tc>
                <w:tcPr>
                  <w:tcW w:w="2061" w:type="dxa"/>
                  <w:noWrap w:val="0"/>
                  <w:vAlign w:val="center"/>
                </w:tcPr>
                <w:p>
                  <w:pPr>
                    <w:adjustRightInd w:val="0"/>
                    <w:snapToGrid w:val="0"/>
                    <w:spacing w:line="240" w:lineRule="atLeast"/>
                    <w:ind w:left="8" w:leftChars="-22" w:hanging="54" w:hangingChars="26"/>
                    <w:jc w:val="center"/>
                    <w:rPr>
                      <w:szCs w:val="21"/>
                    </w:rPr>
                  </w:pPr>
                  <w:r>
                    <w:rPr>
                      <w:szCs w:val="21"/>
                    </w:rPr>
                    <w:t>自动脱泥</w:t>
                  </w:r>
                </w:p>
              </w:tc>
              <w:tc>
                <w:tcPr>
                  <w:tcW w:w="2057" w:type="dxa"/>
                  <w:noWrap w:val="0"/>
                  <w:vAlign w:val="center"/>
                </w:tcPr>
                <w:p>
                  <w:pPr>
                    <w:adjustRightInd w:val="0"/>
                    <w:snapToGrid w:val="0"/>
                    <w:spacing w:line="240" w:lineRule="atLeast"/>
                    <w:ind w:left="317" w:leftChars="70" w:hanging="170" w:hangingChars="81"/>
                    <w:jc w:val="center"/>
                    <w:rPr>
                      <w:szCs w:val="21"/>
                    </w:rPr>
                  </w:pPr>
                  <w:r>
                    <w:rPr>
                      <w:szCs w:val="21"/>
                    </w:rPr>
                    <w:t>自动脱泥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c>
                <w:tcPr>
                  <w:tcW w:w="534" w:type="dxa"/>
                  <w:noWrap w:val="0"/>
                  <w:vAlign w:val="center"/>
                </w:tcPr>
                <w:p>
                  <w:pPr>
                    <w:adjustRightInd w:val="0"/>
                    <w:snapToGrid w:val="0"/>
                    <w:spacing w:line="240" w:lineRule="atLeast"/>
                    <w:jc w:val="center"/>
                    <w:rPr>
                      <w:szCs w:val="21"/>
                    </w:rPr>
                  </w:pPr>
                  <w:r>
                    <w:rPr>
                      <w:szCs w:val="21"/>
                    </w:rPr>
                    <w:t>7</w:t>
                  </w:r>
                </w:p>
              </w:tc>
              <w:tc>
                <w:tcPr>
                  <w:tcW w:w="1809" w:type="dxa"/>
                  <w:noWrap w:val="0"/>
                  <w:vAlign w:val="center"/>
                </w:tcPr>
                <w:p>
                  <w:pPr>
                    <w:adjustRightInd w:val="0"/>
                    <w:snapToGrid w:val="0"/>
                    <w:spacing w:line="240" w:lineRule="atLeast"/>
                    <w:jc w:val="center"/>
                    <w:rPr>
                      <w:szCs w:val="21"/>
                    </w:rPr>
                  </w:pPr>
                  <w:r>
                    <w:rPr>
                      <w:szCs w:val="21"/>
                    </w:rPr>
                    <w:t>环境影响</w:t>
                  </w:r>
                </w:p>
              </w:tc>
              <w:tc>
                <w:tcPr>
                  <w:tcW w:w="2061" w:type="dxa"/>
                  <w:noWrap w:val="0"/>
                  <w:vAlign w:val="center"/>
                </w:tcPr>
                <w:p>
                  <w:pPr>
                    <w:adjustRightInd w:val="0"/>
                    <w:snapToGrid w:val="0"/>
                    <w:spacing w:line="240" w:lineRule="atLeast"/>
                    <w:ind w:left="-2" w:leftChars="-3" w:hanging="4" w:hangingChars="2"/>
                    <w:jc w:val="center"/>
                    <w:rPr>
                      <w:szCs w:val="21"/>
                    </w:rPr>
                  </w:pPr>
                  <w:r>
                    <w:rPr>
                      <w:szCs w:val="21"/>
                    </w:rPr>
                    <w:t>噪音较小，卫生条件较差</w:t>
                  </w:r>
                </w:p>
              </w:tc>
              <w:tc>
                <w:tcPr>
                  <w:tcW w:w="2061" w:type="dxa"/>
                  <w:noWrap w:val="0"/>
                  <w:vAlign w:val="center"/>
                </w:tcPr>
                <w:p>
                  <w:pPr>
                    <w:adjustRightInd w:val="0"/>
                    <w:snapToGrid w:val="0"/>
                    <w:spacing w:line="240" w:lineRule="atLeast"/>
                    <w:ind w:left="8" w:leftChars="-22" w:hanging="54" w:hangingChars="26"/>
                    <w:jc w:val="center"/>
                    <w:rPr>
                      <w:szCs w:val="21"/>
                    </w:rPr>
                  </w:pPr>
                  <w:r>
                    <w:rPr>
                      <w:szCs w:val="21"/>
                    </w:rPr>
                    <w:t>噪音较小，容易往外溅水，卫生条件差</w:t>
                  </w:r>
                </w:p>
              </w:tc>
              <w:tc>
                <w:tcPr>
                  <w:tcW w:w="2057" w:type="dxa"/>
                  <w:noWrap w:val="0"/>
                  <w:vAlign w:val="center"/>
                </w:tcPr>
                <w:p>
                  <w:pPr>
                    <w:adjustRightInd w:val="0"/>
                    <w:snapToGrid w:val="0"/>
                    <w:spacing w:line="240" w:lineRule="atLeast"/>
                    <w:ind w:left="73" w:leftChars="35"/>
                    <w:jc w:val="center"/>
                    <w:rPr>
                      <w:szCs w:val="21"/>
                    </w:rPr>
                  </w:pPr>
                  <w:r>
                    <w:rPr>
                      <w:szCs w:val="21"/>
                    </w:rPr>
                    <w:t>噪音很小，卫生条件好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c>
                <w:tcPr>
                  <w:tcW w:w="534" w:type="dxa"/>
                  <w:noWrap w:val="0"/>
                  <w:vAlign w:val="center"/>
                </w:tcPr>
                <w:p>
                  <w:pPr>
                    <w:adjustRightInd w:val="0"/>
                    <w:snapToGrid w:val="0"/>
                    <w:spacing w:line="240" w:lineRule="atLeast"/>
                    <w:jc w:val="center"/>
                    <w:rPr>
                      <w:szCs w:val="21"/>
                    </w:rPr>
                  </w:pPr>
                  <w:r>
                    <w:rPr>
                      <w:szCs w:val="21"/>
                    </w:rPr>
                    <w:t>8</w:t>
                  </w:r>
                </w:p>
              </w:tc>
              <w:tc>
                <w:tcPr>
                  <w:tcW w:w="1809" w:type="dxa"/>
                  <w:noWrap w:val="0"/>
                  <w:vAlign w:val="center"/>
                </w:tcPr>
                <w:p>
                  <w:pPr>
                    <w:adjustRightInd w:val="0"/>
                    <w:snapToGrid w:val="0"/>
                    <w:spacing w:line="240" w:lineRule="atLeast"/>
                    <w:jc w:val="center"/>
                    <w:rPr>
                      <w:szCs w:val="21"/>
                    </w:rPr>
                  </w:pPr>
                  <w:r>
                    <w:rPr>
                      <w:szCs w:val="21"/>
                    </w:rPr>
                    <w:t>故障情况</w:t>
                  </w:r>
                </w:p>
              </w:tc>
              <w:tc>
                <w:tcPr>
                  <w:tcW w:w="2061" w:type="dxa"/>
                  <w:noWrap w:val="0"/>
                  <w:vAlign w:val="center"/>
                </w:tcPr>
                <w:p>
                  <w:pPr>
                    <w:adjustRightInd w:val="0"/>
                    <w:snapToGrid w:val="0"/>
                    <w:spacing w:line="240" w:lineRule="atLeast"/>
                    <w:ind w:left="-2" w:leftChars="-3" w:hanging="4" w:hangingChars="2"/>
                    <w:jc w:val="center"/>
                    <w:rPr>
                      <w:szCs w:val="21"/>
                    </w:rPr>
                  </w:pPr>
                  <w:r>
                    <w:rPr>
                      <w:szCs w:val="21"/>
                    </w:rPr>
                    <w:t>易损件较少，滤布易更换</w:t>
                  </w:r>
                </w:p>
              </w:tc>
              <w:tc>
                <w:tcPr>
                  <w:tcW w:w="2061" w:type="dxa"/>
                  <w:noWrap w:val="0"/>
                  <w:vAlign w:val="center"/>
                </w:tcPr>
                <w:p>
                  <w:pPr>
                    <w:adjustRightInd w:val="0"/>
                    <w:snapToGrid w:val="0"/>
                    <w:spacing w:line="240" w:lineRule="atLeast"/>
                    <w:ind w:left="8" w:leftChars="-22" w:hanging="54" w:hangingChars="26"/>
                    <w:jc w:val="center"/>
                    <w:rPr>
                      <w:szCs w:val="21"/>
                    </w:rPr>
                  </w:pPr>
                  <w:r>
                    <w:rPr>
                      <w:szCs w:val="21"/>
                    </w:rPr>
                    <w:t>易损件适中，滤布易更换，滤布易跑偏</w:t>
                  </w:r>
                </w:p>
              </w:tc>
              <w:tc>
                <w:tcPr>
                  <w:tcW w:w="2057" w:type="dxa"/>
                  <w:noWrap w:val="0"/>
                  <w:vAlign w:val="center"/>
                </w:tcPr>
                <w:p>
                  <w:pPr>
                    <w:adjustRightInd w:val="0"/>
                    <w:snapToGrid w:val="0"/>
                    <w:spacing w:line="240" w:lineRule="atLeast"/>
                    <w:ind w:left="73" w:leftChars="35"/>
                    <w:jc w:val="center"/>
                    <w:rPr>
                      <w:szCs w:val="21"/>
                    </w:rPr>
                  </w:pPr>
                  <w:r>
                    <w:rPr>
                      <w:szCs w:val="21"/>
                    </w:rPr>
                    <w:t>附属设备少，维护较方便，故障较少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c>
                <w:tcPr>
                  <w:tcW w:w="534" w:type="dxa"/>
                  <w:noWrap w:val="0"/>
                  <w:vAlign w:val="center"/>
                </w:tcPr>
                <w:p>
                  <w:pPr>
                    <w:adjustRightInd w:val="0"/>
                    <w:snapToGrid w:val="0"/>
                    <w:spacing w:line="240" w:lineRule="atLeast"/>
                    <w:jc w:val="center"/>
                    <w:rPr>
                      <w:szCs w:val="21"/>
                    </w:rPr>
                  </w:pPr>
                  <w:r>
                    <w:rPr>
                      <w:szCs w:val="21"/>
                    </w:rPr>
                    <w:t>9</w:t>
                  </w:r>
                </w:p>
              </w:tc>
              <w:tc>
                <w:tcPr>
                  <w:tcW w:w="1809" w:type="dxa"/>
                  <w:noWrap w:val="0"/>
                  <w:vAlign w:val="center"/>
                </w:tcPr>
                <w:p>
                  <w:pPr>
                    <w:adjustRightInd w:val="0"/>
                    <w:snapToGrid w:val="0"/>
                    <w:spacing w:line="240" w:lineRule="atLeast"/>
                    <w:jc w:val="center"/>
                    <w:rPr>
                      <w:szCs w:val="21"/>
                    </w:rPr>
                  </w:pPr>
                  <w:r>
                    <w:rPr>
                      <w:szCs w:val="21"/>
                    </w:rPr>
                    <w:t>设备费用</w:t>
                  </w:r>
                </w:p>
              </w:tc>
              <w:tc>
                <w:tcPr>
                  <w:tcW w:w="2061" w:type="dxa"/>
                  <w:noWrap w:val="0"/>
                  <w:vAlign w:val="center"/>
                </w:tcPr>
                <w:p>
                  <w:pPr>
                    <w:adjustRightInd w:val="0"/>
                    <w:snapToGrid w:val="0"/>
                    <w:spacing w:line="240" w:lineRule="atLeast"/>
                    <w:ind w:left="-2" w:leftChars="-3" w:hanging="4" w:hangingChars="2"/>
                    <w:jc w:val="center"/>
                    <w:rPr>
                      <w:szCs w:val="21"/>
                    </w:rPr>
                  </w:pPr>
                  <w:r>
                    <w:rPr>
                      <w:szCs w:val="21"/>
                    </w:rPr>
                    <w:t>较低</w:t>
                  </w:r>
                </w:p>
              </w:tc>
              <w:tc>
                <w:tcPr>
                  <w:tcW w:w="2061" w:type="dxa"/>
                  <w:noWrap w:val="0"/>
                  <w:vAlign w:val="center"/>
                </w:tcPr>
                <w:p>
                  <w:pPr>
                    <w:adjustRightInd w:val="0"/>
                    <w:snapToGrid w:val="0"/>
                    <w:spacing w:line="240" w:lineRule="atLeast"/>
                    <w:ind w:left="8" w:leftChars="-22" w:hanging="54" w:hangingChars="26"/>
                    <w:jc w:val="center"/>
                    <w:rPr>
                      <w:szCs w:val="21"/>
                    </w:rPr>
                  </w:pPr>
                  <w:r>
                    <w:rPr>
                      <w:szCs w:val="21"/>
                    </w:rPr>
                    <w:t>较低</w:t>
                  </w:r>
                </w:p>
              </w:tc>
              <w:tc>
                <w:tcPr>
                  <w:tcW w:w="2057" w:type="dxa"/>
                  <w:noWrap w:val="0"/>
                  <w:vAlign w:val="center"/>
                </w:tcPr>
                <w:p>
                  <w:pPr>
                    <w:adjustRightInd w:val="0"/>
                    <w:snapToGrid w:val="0"/>
                    <w:spacing w:line="240" w:lineRule="atLeast"/>
                    <w:ind w:left="317" w:leftChars="70" w:hanging="170" w:hangingChars="81"/>
                    <w:jc w:val="center"/>
                    <w:rPr>
                      <w:szCs w:val="21"/>
                    </w:rPr>
                  </w:pPr>
                  <w:r>
                    <w:rPr>
                      <w:szCs w:val="21"/>
                    </w:rPr>
                    <w:t>较低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c>
                <w:tcPr>
                  <w:tcW w:w="534" w:type="dxa"/>
                  <w:noWrap w:val="0"/>
                  <w:vAlign w:val="center"/>
                </w:tcPr>
                <w:p>
                  <w:pPr>
                    <w:adjustRightInd w:val="0"/>
                    <w:snapToGrid w:val="0"/>
                    <w:spacing w:line="240" w:lineRule="atLeast"/>
                    <w:jc w:val="center"/>
                    <w:rPr>
                      <w:szCs w:val="21"/>
                    </w:rPr>
                  </w:pPr>
                  <w:r>
                    <w:rPr>
                      <w:szCs w:val="21"/>
                    </w:rPr>
                    <w:t>10</w:t>
                  </w:r>
                </w:p>
              </w:tc>
              <w:tc>
                <w:tcPr>
                  <w:tcW w:w="1809" w:type="dxa"/>
                  <w:noWrap w:val="0"/>
                  <w:vAlign w:val="center"/>
                </w:tcPr>
                <w:p>
                  <w:pPr>
                    <w:adjustRightInd w:val="0"/>
                    <w:snapToGrid w:val="0"/>
                    <w:spacing w:line="240" w:lineRule="atLeast"/>
                    <w:jc w:val="center"/>
                    <w:rPr>
                      <w:szCs w:val="21"/>
                    </w:rPr>
                  </w:pPr>
                  <w:r>
                    <w:rPr>
                      <w:szCs w:val="21"/>
                    </w:rPr>
                    <w:t>土建费用</w:t>
                  </w:r>
                </w:p>
              </w:tc>
              <w:tc>
                <w:tcPr>
                  <w:tcW w:w="2061" w:type="dxa"/>
                  <w:noWrap w:val="0"/>
                  <w:vAlign w:val="center"/>
                </w:tcPr>
                <w:p>
                  <w:pPr>
                    <w:adjustRightInd w:val="0"/>
                    <w:snapToGrid w:val="0"/>
                    <w:spacing w:line="240" w:lineRule="atLeast"/>
                    <w:ind w:left="-2" w:leftChars="-3" w:hanging="4" w:hangingChars="2"/>
                    <w:jc w:val="center"/>
                    <w:rPr>
                      <w:szCs w:val="21"/>
                    </w:rPr>
                  </w:pPr>
                  <w:r>
                    <w:rPr>
                      <w:szCs w:val="21"/>
                    </w:rPr>
                    <w:t>附属设备多，</w:t>
                  </w:r>
                  <w:r>
                    <w:rPr>
                      <w:rFonts w:hint="eastAsia"/>
                      <w:szCs w:val="21"/>
                    </w:rPr>
                    <w:t>主机外形</w:t>
                  </w:r>
                  <w:r>
                    <w:rPr>
                      <w:szCs w:val="21"/>
                    </w:rPr>
                    <w:t>尺寸大，脱水车间面积大，造价高</w:t>
                  </w:r>
                </w:p>
              </w:tc>
              <w:tc>
                <w:tcPr>
                  <w:tcW w:w="2061" w:type="dxa"/>
                  <w:noWrap w:val="0"/>
                  <w:vAlign w:val="center"/>
                </w:tcPr>
                <w:p>
                  <w:pPr>
                    <w:adjustRightInd w:val="0"/>
                    <w:snapToGrid w:val="0"/>
                    <w:spacing w:line="240" w:lineRule="atLeast"/>
                    <w:ind w:left="8" w:leftChars="-22" w:hanging="54" w:hangingChars="26"/>
                    <w:jc w:val="center"/>
                    <w:rPr>
                      <w:szCs w:val="21"/>
                    </w:rPr>
                  </w:pPr>
                  <w:r>
                    <w:rPr>
                      <w:szCs w:val="21"/>
                    </w:rPr>
                    <w:t>附属设备少，主机尺寸适中，脱水间面积适中，土建费用较低</w:t>
                  </w:r>
                </w:p>
              </w:tc>
              <w:tc>
                <w:tcPr>
                  <w:tcW w:w="2057" w:type="dxa"/>
                  <w:noWrap w:val="0"/>
                  <w:vAlign w:val="center"/>
                </w:tcPr>
                <w:p>
                  <w:pPr>
                    <w:adjustRightInd w:val="0"/>
                    <w:snapToGrid w:val="0"/>
                    <w:spacing w:line="240" w:lineRule="atLeast"/>
                    <w:ind w:left="73" w:leftChars="35"/>
                    <w:jc w:val="center"/>
                    <w:rPr>
                      <w:szCs w:val="21"/>
                    </w:rPr>
                  </w:pPr>
                  <w:r>
                    <w:rPr>
                      <w:szCs w:val="21"/>
                    </w:rPr>
                    <w:t>主要设备、附属设备少，</w:t>
                  </w:r>
                  <w:r>
                    <w:rPr>
                      <w:rFonts w:hint="eastAsia"/>
                      <w:szCs w:val="21"/>
                    </w:rPr>
                    <w:t>主机外形</w:t>
                  </w:r>
                  <w:r>
                    <w:rPr>
                      <w:szCs w:val="21"/>
                    </w:rPr>
                    <w:t>尺寸小，土建费用最低</w:t>
                  </w:r>
                </w:p>
              </w:tc>
            </w:tr>
          </w:tbl>
          <w:p>
            <w:pPr>
              <w:pStyle w:val="2"/>
              <w:spacing w:before="120" w:beforeLines="50" w:after="0" w:line="360" w:lineRule="auto"/>
              <w:ind w:right="0" w:firstLine="480" w:firstLineChars="200"/>
              <w:rPr>
                <w:sz w:val="24"/>
                <w:szCs w:val="24"/>
              </w:rPr>
            </w:pPr>
            <w:r>
              <w:rPr>
                <w:sz w:val="24"/>
                <w:szCs w:val="24"/>
              </w:rPr>
              <w:t>综合比较，采用自动化程度高、运行经验丰富可靠的</w:t>
            </w:r>
            <w:r>
              <w:rPr>
                <w:b/>
                <w:sz w:val="24"/>
                <w:szCs w:val="24"/>
              </w:rPr>
              <w:t>叠螺式压滤机。</w:t>
            </w:r>
          </w:p>
          <w:p>
            <w:pPr>
              <w:pStyle w:val="2"/>
              <w:spacing w:before="0" w:after="0" w:line="360" w:lineRule="auto"/>
              <w:ind w:right="0" w:firstLine="482" w:firstLineChars="200"/>
              <w:rPr>
                <w:b/>
                <w:bCs/>
                <w:sz w:val="24"/>
                <w:szCs w:val="24"/>
              </w:rPr>
            </w:pPr>
            <w:r>
              <w:rPr>
                <w:b/>
                <w:bCs/>
                <w:sz w:val="24"/>
                <w:szCs w:val="24"/>
              </w:rPr>
              <w:t>5、除臭方案</w:t>
            </w:r>
          </w:p>
          <w:p>
            <w:pPr>
              <w:pStyle w:val="104"/>
              <w:rPr>
                <w:b/>
              </w:rPr>
            </w:pPr>
            <w:r>
              <w:rPr>
                <w:b/>
              </w:rPr>
              <w:t>（1）污水处理中臭气的来源及成分</w:t>
            </w:r>
          </w:p>
          <w:p>
            <w:pPr>
              <w:pStyle w:val="104"/>
            </w:pPr>
            <w:r>
              <w:t>城市污水中会有氨气、甲硫醇、硫化氢、甲硫醚、三甲胺等化合物，这些物质在污水输送和处理过程中会散发恶臭，影响人们身心健康。污水处理设施的中臭气的来源与气味值如下表。</w:t>
            </w:r>
          </w:p>
          <w:p>
            <w:pPr>
              <w:snapToGrid w:val="0"/>
              <w:jc w:val="center"/>
              <w:rPr>
                <w:rFonts w:eastAsia="黑体"/>
                <w:sz w:val="24"/>
                <w:szCs w:val="26"/>
              </w:rPr>
            </w:pPr>
            <w:r>
              <w:rPr>
                <w:rFonts w:eastAsia="黑体"/>
                <w:sz w:val="24"/>
                <w:szCs w:val="26"/>
              </w:rPr>
              <w:t>表2-10  臭气的来源与气味值</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62"/>
              <w:gridCol w:w="2428"/>
              <w:gridCol w:w="2802"/>
              <w:gridCol w:w="242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trPr>
              <w:tc>
                <w:tcPr>
                  <w:tcW w:w="453" w:type="pct"/>
                  <w:shd w:val="clear" w:color="auto" w:fill="CCFFFF"/>
                  <w:noWrap w:val="0"/>
                  <w:vAlign w:val="center"/>
                </w:tcPr>
                <w:p>
                  <w:pPr>
                    <w:adjustRightInd w:val="0"/>
                    <w:snapToGrid w:val="0"/>
                    <w:jc w:val="center"/>
                    <w:textAlignment w:val="baseline"/>
                    <w:rPr>
                      <w:b/>
                      <w:snapToGrid w:val="0"/>
                      <w:kern w:val="10"/>
                      <w:szCs w:val="21"/>
                    </w:rPr>
                  </w:pPr>
                  <w:r>
                    <w:rPr>
                      <w:b/>
                      <w:snapToGrid w:val="0"/>
                      <w:kern w:val="10"/>
                      <w:szCs w:val="21"/>
                    </w:rPr>
                    <w:t>序号</w:t>
                  </w:r>
                </w:p>
              </w:tc>
              <w:tc>
                <w:tcPr>
                  <w:tcW w:w="1442" w:type="pct"/>
                  <w:shd w:val="clear" w:color="auto" w:fill="CCFFFF"/>
                  <w:noWrap w:val="0"/>
                  <w:vAlign w:val="center"/>
                </w:tcPr>
                <w:p>
                  <w:pPr>
                    <w:adjustRightInd w:val="0"/>
                    <w:snapToGrid w:val="0"/>
                    <w:jc w:val="center"/>
                    <w:textAlignment w:val="baseline"/>
                    <w:rPr>
                      <w:b/>
                      <w:snapToGrid w:val="0"/>
                      <w:kern w:val="10"/>
                      <w:szCs w:val="21"/>
                    </w:rPr>
                  </w:pPr>
                  <w:r>
                    <w:rPr>
                      <w:b/>
                      <w:snapToGrid w:val="0"/>
                      <w:kern w:val="10"/>
                      <w:szCs w:val="21"/>
                    </w:rPr>
                    <w:t>名称</w:t>
                  </w:r>
                </w:p>
              </w:tc>
              <w:tc>
                <w:tcPr>
                  <w:tcW w:w="1664" w:type="pct"/>
                  <w:shd w:val="clear" w:color="auto" w:fill="CCFFFF"/>
                  <w:noWrap w:val="0"/>
                  <w:vAlign w:val="center"/>
                </w:tcPr>
                <w:p>
                  <w:pPr>
                    <w:adjustRightInd w:val="0"/>
                    <w:snapToGrid w:val="0"/>
                    <w:jc w:val="center"/>
                    <w:textAlignment w:val="baseline"/>
                    <w:rPr>
                      <w:b/>
                      <w:snapToGrid w:val="0"/>
                      <w:kern w:val="10"/>
                      <w:szCs w:val="21"/>
                    </w:rPr>
                  </w:pPr>
                  <w:r>
                    <w:rPr>
                      <w:b/>
                      <w:snapToGrid w:val="0"/>
                      <w:kern w:val="10"/>
                      <w:szCs w:val="21"/>
                    </w:rPr>
                    <w:t>气味值</w:t>
                  </w:r>
                </w:p>
              </w:tc>
              <w:tc>
                <w:tcPr>
                  <w:tcW w:w="1441" w:type="pct"/>
                  <w:shd w:val="clear" w:color="auto" w:fill="CCFFFF"/>
                  <w:noWrap w:val="0"/>
                  <w:vAlign w:val="center"/>
                </w:tcPr>
                <w:p>
                  <w:pPr>
                    <w:adjustRightInd w:val="0"/>
                    <w:snapToGrid w:val="0"/>
                    <w:jc w:val="center"/>
                    <w:textAlignment w:val="baseline"/>
                    <w:rPr>
                      <w:b/>
                      <w:snapToGrid w:val="0"/>
                      <w:kern w:val="10"/>
                      <w:szCs w:val="21"/>
                    </w:rPr>
                  </w:pPr>
                  <w:r>
                    <w:rPr>
                      <w:b/>
                      <w:snapToGrid w:val="0"/>
                      <w:kern w:val="10"/>
                      <w:szCs w:val="21"/>
                    </w:rPr>
                    <w:t>波动范围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53" w:type="pct"/>
                  <w:noWrap w:val="0"/>
                  <w:vAlign w:val="center"/>
                </w:tcPr>
                <w:p>
                  <w:pPr>
                    <w:numPr>
                      <w:ilvl w:val="0"/>
                      <w:numId w:val="3"/>
                    </w:numPr>
                    <w:adjustRightInd w:val="0"/>
                    <w:snapToGrid w:val="0"/>
                    <w:jc w:val="center"/>
                    <w:textAlignment w:val="baseline"/>
                    <w:rPr>
                      <w:snapToGrid w:val="0"/>
                      <w:kern w:val="10"/>
                      <w:szCs w:val="21"/>
                    </w:rPr>
                  </w:pPr>
                </w:p>
              </w:tc>
              <w:tc>
                <w:tcPr>
                  <w:tcW w:w="1442" w:type="pct"/>
                  <w:noWrap w:val="0"/>
                  <w:vAlign w:val="center"/>
                </w:tcPr>
                <w:p>
                  <w:pPr>
                    <w:adjustRightInd w:val="0"/>
                    <w:snapToGrid w:val="0"/>
                    <w:jc w:val="center"/>
                    <w:textAlignment w:val="baseline"/>
                    <w:rPr>
                      <w:snapToGrid w:val="0"/>
                      <w:kern w:val="10"/>
                      <w:szCs w:val="21"/>
                    </w:rPr>
                  </w:pPr>
                  <w:r>
                    <w:rPr>
                      <w:snapToGrid w:val="0"/>
                      <w:kern w:val="10"/>
                      <w:szCs w:val="21"/>
                    </w:rPr>
                    <w:t>进水</w:t>
                  </w:r>
                </w:p>
              </w:tc>
              <w:tc>
                <w:tcPr>
                  <w:tcW w:w="1664" w:type="pct"/>
                  <w:noWrap w:val="0"/>
                  <w:vAlign w:val="center"/>
                </w:tcPr>
                <w:p>
                  <w:pPr>
                    <w:adjustRightInd w:val="0"/>
                    <w:snapToGrid w:val="0"/>
                    <w:jc w:val="center"/>
                    <w:textAlignment w:val="baseline"/>
                    <w:rPr>
                      <w:snapToGrid w:val="0"/>
                      <w:kern w:val="10"/>
                      <w:szCs w:val="21"/>
                    </w:rPr>
                  </w:pPr>
                  <w:r>
                    <w:rPr>
                      <w:snapToGrid w:val="0"/>
                      <w:kern w:val="10"/>
                      <w:szCs w:val="21"/>
                    </w:rPr>
                    <w:t>45</w:t>
                  </w:r>
                </w:p>
              </w:tc>
              <w:tc>
                <w:tcPr>
                  <w:tcW w:w="1441" w:type="pct"/>
                  <w:noWrap w:val="0"/>
                  <w:vAlign w:val="center"/>
                </w:tcPr>
                <w:p>
                  <w:pPr>
                    <w:adjustRightInd w:val="0"/>
                    <w:snapToGrid w:val="0"/>
                    <w:jc w:val="center"/>
                    <w:textAlignment w:val="baseline"/>
                    <w:rPr>
                      <w:snapToGrid w:val="0"/>
                      <w:kern w:val="10"/>
                      <w:szCs w:val="21"/>
                    </w:rPr>
                  </w:pPr>
                  <w:r>
                    <w:rPr>
                      <w:snapToGrid w:val="0"/>
                      <w:kern w:val="10"/>
                      <w:szCs w:val="21"/>
                    </w:rPr>
                    <w:t>25～80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53" w:type="pct"/>
                  <w:noWrap w:val="0"/>
                  <w:vAlign w:val="center"/>
                </w:tcPr>
                <w:p>
                  <w:pPr>
                    <w:numPr>
                      <w:ilvl w:val="0"/>
                      <w:numId w:val="3"/>
                    </w:numPr>
                    <w:adjustRightInd w:val="0"/>
                    <w:snapToGrid w:val="0"/>
                    <w:jc w:val="center"/>
                    <w:textAlignment w:val="baseline"/>
                    <w:rPr>
                      <w:snapToGrid w:val="0"/>
                      <w:kern w:val="10"/>
                      <w:szCs w:val="21"/>
                    </w:rPr>
                  </w:pPr>
                </w:p>
              </w:tc>
              <w:tc>
                <w:tcPr>
                  <w:tcW w:w="1442" w:type="pct"/>
                  <w:noWrap w:val="0"/>
                  <w:vAlign w:val="center"/>
                </w:tcPr>
                <w:p>
                  <w:pPr>
                    <w:adjustRightInd w:val="0"/>
                    <w:snapToGrid w:val="0"/>
                    <w:jc w:val="center"/>
                    <w:textAlignment w:val="baseline"/>
                    <w:rPr>
                      <w:snapToGrid w:val="0"/>
                      <w:kern w:val="10"/>
                      <w:szCs w:val="21"/>
                    </w:rPr>
                  </w:pPr>
                  <w:r>
                    <w:rPr>
                      <w:snapToGrid w:val="0"/>
                      <w:kern w:val="10"/>
                      <w:szCs w:val="21"/>
                    </w:rPr>
                    <w:t>格栅井、泵站集水池</w:t>
                  </w:r>
                </w:p>
              </w:tc>
              <w:tc>
                <w:tcPr>
                  <w:tcW w:w="1664" w:type="pct"/>
                  <w:noWrap w:val="0"/>
                  <w:vAlign w:val="center"/>
                </w:tcPr>
                <w:p>
                  <w:pPr>
                    <w:adjustRightInd w:val="0"/>
                    <w:snapToGrid w:val="0"/>
                    <w:jc w:val="center"/>
                    <w:textAlignment w:val="baseline"/>
                    <w:rPr>
                      <w:snapToGrid w:val="0"/>
                      <w:kern w:val="10"/>
                      <w:szCs w:val="21"/>
                    </w:rPr>
                  </w:pPr>
                  <w:r>
                    <w:rPr>
                      <w:snapToGrid w:val="0"/>
                      <w:kern w:val="10"/>
                      <w:szCs w:val="21"/>
                    </w:rPr>
                    <w:t>85</w:t>
                  </w:r>
                </w:p>
              </w:tc>
              <w:tc>
                <w:tcPr>
                  <w:tcW w:w="1441" w:type="pct"/>
                  <w:noWrap w:val="0"/>
                  <w:vAlign w:val="center"/>
                </w:tcPr>
                <w:p>
                  <w:pPr>
                    <w:adjustRightInd w:val="0"/>
                    <w:snapToGrid w:val="0"/>
                    <w:jc w:val="center"/>
                    <w:textAlignment w:val="baseline"/>
                    <w:rPr>
                      <w:snapToGrid w:val="0"/>
                      <w:kern w:val="10"/>
                      <w:szCs w:val="21"/>
                    </w:rPr>
                  </w:pPr>
                  <w:r>
                    <w:rPr>
                      <w:snapToGrid w:val="0"/>
                      <w:kern w:val="10"/>
                      <w:szCs w:val="21"/>
                    </w:rPr>
                    <w:t>32～136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53" w:type="pct"/>
                  <w:noWrap w:val="0"/>
                  <w:vAlign w:val="center"/>
                </w:tcPr>
                <w:p>
                  <w:pPr>
                    <w:numPr>
                      <w:ilvl w:val="0"/>
                      <w:numId w:val="3"/>
                    </w:numPr>
                    <w:adjustRightInd w:val="0"/>
                    <w:snapToGrid w:val="0"/>
                    <w:jc w:val="center"/>
                    <w:textAlignment w:val="baseline"/>
                    <w:rPr>
                      <w:snapToGrid w:val="0"/>
                      <w:kern w:val="10"/>
                      <w:szCs w:val="21"/>
                    </w:rPr>
                  </w:pPr>
                </w:p>
              </w:tc>
              <w:tc>
                <w:tcPr>
                  <w:tcW w:w="1442" w:type="pct"/>
                  <w:noWrap w:val="0"/>
                  <w:vAlign w:val="center"/>
                </w:tcPr>
                <w:p>
                  <w:pPr>
                    <w:adjustRightInd w:val="0"/>
                    <w:snapToGrid w:val="0"/>
                    <w:jc w:val="center"/>
                    <w:textAlignment w:val="baseline"/>
                    <w:rPr>
                      <w:snapToGrid w:val="0"/>
                      <w:kern w:val="10"/>
                      <w:szCs w:val="21"/>
                    </w:rPr>
                  </w:pPr>
                  <w:r>
                    <w:rPr>
                      <w:snapToGrid w:val="0"/>
                      <w:kern w:val="10"/>
                      <w:szCs w:val="21"/>
                    </w:rPr>
                    <w:t>沉砂池</w:t>
                  </w:r>
                </w:p>
              </w:tc>
              <w:tc>
                <w:tcPr>
                  <w:tcW w:w="1664" w:type="pct"/>
                  <w:noWrap w:val="0"/>
                  <w:vAlign w:val="center"/>
                </w:tcPr>
                <w:p>
                  <w:pPr>
                    <w:adjustRightInd w:val="0"/>
                    <w:snapToGrid w:val="0"/>
                    <w:jc w:val="center"/>
                    <w:textAlignment w:val="baseline"/>
                    <w:rPr>
                      <w:snapToGrid w:val="0"/>
                      <w:kern w:val="10"/>
                      <w:szCs w:val="21"/>
                    </w:rPr>
                  </w:pPr>
                  <w:r>
                    <w:rPr>
                      <w:snapToGrid w:val="0"/>
                      <w:kern w:val="10"/>
                      <w:szCs w:val="21"/>
                    </w:rPr>
                    <w:t>60</w:t>
                  </w:r>
                </w:p>
              </w:tc>
              <w:tc>
                <w:tcPr>
                  <w:tcW w:w="1441" w:type="pct"/>
                  <w:noWrap w:val="0"/>
                  <w:vAlign w:val="center"/>
                </w:tcPr>
                <w:p>
                  <w:pPr>
                    <w:adjustRightInd w:val="0"/>
                    <w:snapToGrid w:val="0"/>
                    <w:jc w:val="center"/>
                    <w:textAlignment w:val="baseline"/>
                    <w:rPr>
                      <w:snapToGrid w:val="0"/>
                      <w:kern w:val="10"/>
                      <w:szCs w:val="21"/>
                    </w:rPr>
                  </w:pPr>
                  <w:r>
                    <w:rPr>
                      <w:snapToGrid w:val="0"/>
                      <w:kern w:val="10"/>
                      <w:szCs w:val="21"/>
                    </w:rPr>
                    <w:t>30～90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53" w:type="pct"/>
                  <w:noWrap w:val="0"/>
                  <w:vAlign w:val="center"/>
                </w:tcPr>
                <w:p>
                  <w:pPr>
                    <w:numPr>
                      <w:ilvl w:val="0"/>
                      <w:numId w:val="3"/>
                    </w:numPr>
                    <w:adjustRightInd w:val="0"/>
                    <w:snapToGrid w:val="0"/>
                    <w:jc w:val="center"/>
                    <w:textAlignment w:val="baseline"/>
                    <w:rPr>
                      <w:snapToGrid w:val="0"/>
                      <w:kern w:val="10"/>
                      <w:szCs w:val="21"/>
                    </w:rPr>
                  </w:pPr>
                </w:p>
              </w:tc>
              <w:tc>
                <w:tcPr>
                  <w:tcW w:w="1442" w:type="pct"/>
                  <w:noWrap w:val="0"/>
                  <w:vAlign w:val="center"/>
                </w:tcPr>
                <w:p>
                  <w:pPr>
                    <w:adjustRightInd w:val="0"/>
                    <w:snapToGrid w:val="0"/>
                    <w:jc w:val="center"/>
                    <w:textAlignment w:val="baseline"/>
                    <w:rPr>
                      <w:snapToGrid w:val="0"/>
                      <w:kern w:val="10"/>
                      <w:szCs w:val="21"/>
                    </w:rPr>
                  </w:pPr>
                  <w:r>
                    <w:rPr>
                      <w:snapToGrid w:val="0"/>
                      <w:kern w:val="10"/>
                      <w:szCs w:val="21"/>
                    </w:rPr>
                    <w:t>一般负荷曝气池</w:t>
                  </w:r>
                </w:p>
              </w:tc>
              <w:tc>
                <w:tcPr>
                  <w:tcW w:w="1664" w:type="pct"/>
                  <w:noWrap w:val="0"/>
                  <w:vAlign w:val="center"/>
                </w:tcPr>
                <w:p>
                  <w:pPr>
                    <w:adjustRightInd w:val="0"/>
                    <w:snapToGrid w:val="0"/>
                    <w:jc w:val="center"/>
                    <w:textAlignment w:val="baseline"/>
                    <w:rPr>
                      <w:snapToGrid w:val="0"/>
                      <w:kern w:val="10"/>
                      <w:szCs w:val="21"/>
                    </w:rPr>
                  </w:pPr>
                  <w:r>
                    <w:rPr>
                      <w:snapToGrid w:val="0"/>
                      <w:kern w:val="10"/>
                      <w:szCs w:val="21"/>
                    </w:rPr>
                    <w:t>50</w:t>
                  </w:r>
                </w:p>
              </w:tc>
              <w:tc>
                <w:tcPr>
                  <w:tcW w:w="1441" w:type="pct"/>
                  <w:noWrap w:val="0"/>
                  <w:vAlign w:val="center"/>
                </w:tcPr>
                <w:p>
                  <w:pPr>
                    <w:adjustRightInd w:val="0"/>
                    <w:snapToGrid w:val="0"/>
                    <w:jc w:val="center"/>
                    <w:textAlignment w:val="baseline"/>
                    <w:rPr>
                      <w:snapToGrid w:val="0"/>
                      <w:kern w:val="10"/>
                      <w:szCs w:val="21"/>
                    </w:rPr>
                  </w:pPr>
                  <w:r>
                    <w:rPr>
                      <w:snapToGrid w:val="0"/>
                      <w:kern w:val="10"/>
                      <w:szCs w:val="21"/>
                    </w:rPr>
                    <w:t>21～101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53" w:type="pct"/>
                  <w:noWrap w:val="0"/>
                  <w:vAlign w:val="center"/>
                </w:tcPr>
                <w:p>
                  <w:pPr>
                    <w:numPr>
                      <w:ilvl w:val="0"/>
                      <w:numId w:val="3"/>
                    </w:numPr>
                    <w:adjustRightInd w:val="0"/>
                    <w:snapToGrid w:val="0"/>
                    <w:jc w:val="center"/>
                    <w:textAlignment w:val="baseline"/>
                    <w:rPr>
                      <w:snapToGrid w:val="0"/>
                      <w:kern w:val="10"/>
                      <w:szCs w:val="21"/>
                    </w:rPr>
                  </w:pPr>
                </w:p>
              </w:tc>
              <w:tc>
                <w:tcPr>
                  <w:tcW w:w="1442" w:type="pct"/>
                  <w:noWrap w:val="0"/>
                  <w:vAlign w:val="center"/>
                </w:tcPr>
                <w:p>
                  <w:pPr>
                    <w:adjustRightInd w:val="0"/>
                    <w:snapToGrid w:val="0"/>
                    <w:jc w:val="center"/>
                    <w:textAlignment w:val="baseline"/>
                    <w:rPr>
                      <w:snapToGrid w:val="0"/>
                      <w:kern w:val="10"/>
                      <w:szCs w:val="21"/>
                    </w:rPr>
                  </w:pPr>
                  <w:r>
                    <w:rPr>
                      <w:snapToGrid w:val="0"/>
                      <w:kern w:val="10"/>
                      <w:szCs w:val="21"/>
                    </w:rPr>
                    <w:t>延时曝气法曝气池</w:t>
                  </w:r>
                </w:p>
              </w:tc>
              <w:tc>
                <w:tcPr>
                  <w:tcW w:w="1664" w:type="pct"/>
                  <w:noWrap w:val="0"/>
                  <w:vAlign w:val="center"/>
                </w:tcPr>
                <w:p>
                  <w:pPr>
                    <w:adjustRightInd w:val="0"/>
                    <w:snapToGrid w:val="0"/>
                    <w:jc w:val="center"/>
                    <w:textAlignment w:val="baseline"/>
                    <w:rPr>
                      <w:snapToGrid w:val="0"/>
                      <w:kern w:val="10"/>
                      <w:szCs w:val="21"/>
                    </w:rPr>
                  </w:pPr>
                  <w:r>
                    <w:rPr>
                      <w:snapToGrid w:val="0"/>
                      <w:kern w:val="10"/>
                      <w:szCs w:val="21"/>
                    </w:rPr>
                    <w:t>30</w:t>
                  </w:r>
                </w:p>
              </w:tc>
              <w:tc>
                <w:tcPr>
                  <w:tcW w:w="1441" w:type="pct"/>
                  <w:noWrap w:val="0"/>
                  <w:vAlign w:val="center"/>
                </w:tcPr>
                <w:p>
                  <w:pPr>
                    <w:adjustRightInd w:val="0"/>
                    <w:snapToGrid w:val="0"/>
                    <w:jc w:val="center"/>
                    <w:textAlignment w:val="baseline"/>
                    <w:rPr>
                      <w:snapToGrid w:val="0"/>
                      <w:kern w:val="10"/>
                      <w:szCs w:val="21"/>
                    </w:rPr>
                  </w:pPr>
                  <w:r>
                    <w:rPr>
                      <w:snapToGrid w:val="0"/>
                      <w:kern w:val="10"/>
                      <w:szCs w:val="21"/>
                    </w:rPr>
                    <w:t>10～43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53" w:type="pct"/>
                  <w:noWrap w:val="0"/>
                  <w:vAlign w:val="center"/>
                </w:tcPr>
                <w:p>
                  <w:pPr>
                    <w:numPr>
                      <w:ilvl w:val="0"/>
                      <w:numId w:val="3"/>
                    </w:numPr>
                    <w:adjustRightInd w:val="0"/>
                    <w:snapToGrid w:val="0"/>
                    <w:jc w:val="center"/>
                    <w:textAlignment w:val="baseline"/>
                    <w:rPr>
                      <w:snapToGrid w:val="0"/>
                      <w:kern w:val="10"/>
                      <w:szCs w:val="21"/>
                    </w:rPr>
                  </w:pPr>
                </w:p>
              </w:tc>
              <w:tc>
                <w:tcPr>
                  <w:tcW w:w="1442" w:type="pct"/>
                  <w:noWrap w:val="0"/>
                  <w:vAlign w:val="center"/>
                </w:tcPr>
                <w:p>
                  <w:pPr>
                    <w:adjustRightInd w:val="0"/>
                    <w:snapToGrid w:val="0"/>
                    <w:jc w:val="center"/>
                    <w:textAlignment w:val="baseline"/>
                    <w:rPr>
                      <w:snapToGrid w:val="0"/>
                      <w:kern w:val="10"/>
                      <w:szCs w:val="21"/>
                    </w:rPr>
                  </w:pPr>
                  <w:r>
                    <w:rPr>
                      <w:snapToGrid w:val="0"/>
                      <w:kern w:val="10"/>
                      <w:szCs w:val="21"/>
                    </w:rPr>
                    <w:t>二沉池</w:t>
                  </w:r>
                </w:p>
              </w:tc>
              <w:tc>
                <w:tcPr>
                  <w:tcW w:w="1664" w:type="pct"/>
                  <w:noWrap w:val="0"/>
                  <w:vAlign w:val="center"/>
                </w:tcPr>
                <w:p>
                  <w:pPr>
                    <w:adjustRightInd w:val="0"/>
                    <w:snapToGrid w:val="0"/>
                    <w:jc w:val="center"/>
                    <w:textAlignment w:val="baseline"/>
                    <w:rPr>
                      <w:snapToGrid w:val="0"/>
                      <w:kern w:val="10"/>
                      <w:szCs w:val="21"/>
                    </w:rPr>
                  </w:pPr>
                  <w:r>
                    <w:rPr>
                      <w:snapToGrid w:val="0"/>
                      <w:kern w:val="10"/>
                      <w:szCs w:val="21"/>
                    </w:rPr>
                    <w:t>30</w:t>
                  </w:r>
                </w:p>
              </w:tc>
              <w:tc>
                <w:tcPr>
                  <w:tcW w:w="1441" w:type="pct"/>
                  <w:noWrap w:val="0"/>
                  <w:vAlign w:val="center"/>
                </w:tcPr>
                <w:p>
                  <w:pPr>
                    <w:adjustRightInd w:val="0"/>
                    <w:snapToGrid w:val="0"/>
                    <w:jc w:val="center"/>
                    <w:textAlignment w:val="baseline"/>
                    <w:rPr>
                      <w:snapToGrid w:val="0"/>
                      <w:kern w:val="10"/>
                      <w:szCs w:val="21"/>
                    </w:rPr>
                  </w:pPr>
                  <w:r>
                    <w:rPr>
                      <w:snapToGrid w:val="0"/>
                      <w:kern w:val="10"/>
                      <w:szCs w:val="21"/>
                    </w:rPr>
                    <w:t>12～50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53" w:type="pct"/>
                  <w:noWrap w:val="0"/>
                  <w:vAlign w:val="center"/>
                </w:tcPr>
                <w:p>
                  <w:pPr>
                    <w:numPr>
                      <w:ilvl w:val="0"/>
                      <w:numId w:val="3"/>
                    </w:numPr>
                    <w:adjustRightInd w:val="0"/>
                    <w:snapToGrid w:val="0"/>
                    <w:jc w:val="center"/>
                    <w:textAlignment w:val="baseline"/>
                    <w:rPr>
                      <w:snapToGrid w:val="0"/>
                      <w:kern w:val="10"/>
                      <w:szCs w:val="21"/>
                    </w:rPr>
                  </w:pPr>
                </w:p>
              </w:tc>
              <w:tc>
                <w:tcPr>
                  <w:tcW w:w="1442" w:type="pct"/>
                  <w:noWrap w:val="0"/>
                  <w:vAlign w:val="center"/>
                </w:tcPr>
                <w:p>
                  <w:pPr>
                    <w:adjustRightInd w:val="0"/>
                    <w:snapToGrid w:val="0"/>
                    <w:jc w:val="center"/>
                    <w:textAlignment w:val="baseline"/>
                    <w:rPr>
                      <w:snapToGrid w:val="0"/>
                      <w:kern w:val="10"/>
                      <w:szCs w:val="21"/>
                    </w:rPr>
                  </w:pPr>
                  <w:r>
                    <w:rPr>
                      <w:snapToGrid w:val="0"/>
                      <w:kern w:val="10"/>
                      <w:szCs w:val="21"/>
                    </w:rPr>
                    <w:t>二沉污泥提升</w:t>
                  </w:r>
                </w:p>
              </w:tc>
              <w:tc>
                <w:tcPr>
                  <w:tcW w:w="1664" w:type="pct"/>
                  <w:noWrap w:val="0"/>
                  <w:vAlign w:val="center"/>
                </w:tcPr>
                <w:p>
                  <w:pPr>
                    <w:adjustRightInd w:val="0"/>
                    <w:snapToGrid w:val="0"/>
                    <w:jc w:val="center"/>
                    <w:textAlignment w:val="baseline"/>
                    <w:rPr>
                      <w:snapToGrid w:val="0"/>
                      <w:kern w:val="10"/>
                      <w:szCs w:val="21"/>
                    </w:rPr>
                  </w:pPr>
                  <w:r>
                    <w:rPr>
                      <w:snapToGrid w:val="0"/>
                      <w:kern w:val="10"/>
                      <w:szCs w:val="21"/>
                    </w:rPr>
                    <w:t>45</w:t>
                  </w:r>
                </w:p>
              </w:tc>
              <w:tc>
                <w:tcPr>
                  <w:tcW w:w="1441" w:type="pct"/>
                  <w:noWrap w:val="0"/>
                  <w:vAlign w:val="center"/>
                </w:tcPr>
                <w:p>
                  <w:pPr>
                    <w:adjustRightInd w:val="0"/>
                    <w:snapToGrid w:val="0"/>
                    <w:jc w:val="center"/>
                    <w:textAlignment w:val="baseline"/>
                    <w:rPr>
                      <w:snapToGrid w:val="0"/>
                      <w:kern w:val="10"/>
                      <w:szCs w:val="21"/>
                    </w:rPr>
                  </w:pPr>
                  <w:r>
                    <w:rPr>
                      <w:snapToGrid w:val="0"/>
                      <w:kern w:val="10"/>
                      <w:szCs w:val="21"/>
                    </w:rPr>
                    <w:t>26～82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53" w:type="pct"/>
                  <w:noWrap w:val="0"/>
                  <w:vAlign w:val="center"/>
                </w:tcPr>
                <w:p>
                  <w:pPr>
                    <w:numPr>
                      <w:ilvl w:val="0"/>
                      <w:numId w:val="3"/>
                    </w:numPr>
                    <w:adjustRightInd w:val="0"/>
                    <w:snapToGrid w:val="0"/>
                    <w:jc w:val="center"/>
                    <w:textAlignment w:val="baseline"/>
                    <w:rPr>
                      <w:snapToGrid w:val="0"/>
                      <w:kern w:val="10"/>
                      <w:szCs w:val="21"/>
                    </w:rPr>
                  </w:pPr>
                </w:p>
              </w:tc>
              <w:tc>
                <w:tcPr>
                  <w:tcW w:w="1442" w:type="pct"/>
                  <w:noWrap w:val="0"/>
                  <w:vAlign w:val="center"/>
                </w:tcPr>
                <w:p>
                  <w:pPr>
                    <w:adjustRightInd w:val="0"/>
                    <w:snapToGrid w:val="0"/>
                    <w:jc w:val="center"/>
                    <w:textAlignment w:val="baseline"/>
                    <w:rPr>
                      <w:snapToGrid w:val="0"/>
                      <w:kern w:val="10"/>
                      <w:szCs w:val="21"/>
                    </w:rPr>
                  </w:pPr>
                  <w:r>
                    <w:rPr>
                      <w:snapToGrid w:val="0"/>
                      <w:kern w:val="10"/>
                      <w:szCs w:val="21"/>
                    </w:rPr>
                    <w:t>生污泥存放</w:t>
                  </w:r>
                </w:p>
              </w:tc>
              <w:tc>
                <w:tcPr>
                  <w:tcW w:w="1664" w:type="pct"/>
                  <w:noWrap w:val="0"/>
                  <w:vAlign w:val="center"/>
                </w:tcPr>
                <w:p>
                  <w:pPr>
                    <w:adjustRightInd w:val="0"/>
                    <w:snapToGrid w:val="0"/>
                    <w:jc w:val="center"/>
                    <w:textAlignment w:val="baseline"/>
                    <w:rPr>
                      <w:snapToGrid w:val="0"/>
                      <w:kern w:val="10"/>
                      <w:szCs w:val="21"/>
                    </w:rPr>
                  </w:pPr>
                  <w:r>
                    <w:rPr>
                      <w:snapToGrid w:val="0"/>
                      <w:kern w:val="10"/>
                      <w:szCs w:val="21"/>
                    </w:rPr>
                    <w:t>200</w:t>
                  </w:r>
                </w:p>
              </w:tc>
              <w:tc>
                <w:tcPr>
                  <w:tcW w:w="1441" w:type="pct"/>
                  <w:noWrap w:val="0"/>
                  <w:vAlign w:val="center"/>
                </w:tcPr>
                <w:p>
                  <w:pPr>
                    <w:adjustRightInd w:val="0"/>
                    <w:snapToGrid w:val="0"/>
                    <w:jc w:val="center"/>
                    <w:textAlignment w:val="baseline"/>
                    <w:rPr>
                      <w:snapToGrid w:val="0"/>
                      <w:kern w:val="10"/>
                      <w:szCs w:val="21"/>
                    </w:rPr>
                  </w:pPr>
                  <w:r>
                    <w:rPr>
                      <w:snapToGrid w:val="0"/>
                      <w:kern w:val="10"/>
                      <w:szCs w:val="21"/>
                    </w:rPr>
                    <w:t>30～800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53" w:type="pct"/>
                  <w:noWrap w:val="0"/>
                  <w:vAlign w:val="center"/>
                </w:tcPr>
                <w:p>
                  <w:pPr>
                    <w:numPr>
                      <w:ilvl w:val="0"/>
                      <w:numId w:val="3"/>
                    </w:numPr>
                    <w:adjustRightInd w:val="0"/>
                    <w:snapToGrid w:val="0"/>
                    <w:jc w:val="center"/>
                    <w:textAlignment w:val="baseline"/>
                    <w:rPr>
                      <w:snapToGrid w:val="0"/>
                      <w:kern w:val="10"/>
                      <w:szCs w:val="21"/>
                    </w:rPr>
                  </w:pPr>
                </w:p>
              </w:tc>
              <w:tc>
                <w:tcPr>
                  <w:tcW w:w="1442" w:type="pct"/>
                  <w:noWrap w:val="0"/>
                  <w:vAlign w:val="center"/>
                </w:tcPr>
                <w:p>
                  <w:pPr>
                    <w:adjustRightInd w:val="0"/>
                    <w:snapToGrid w:val="0"/>
                    <w:jc w:val="center"/>
                    <w:textAlignment w:val="baseline"/>
                    <w:rPr>
                      <w:snapToGrid w:val="0"/>
                      <w:kern w:val="10"/>
                      <w:szCs w:val="21"/>
                    </w:rPr>
                  </w:pPr>
                  <w:r>
                    <w:rPr>
                      <w:snapToGrid w:val="0"/>
                      <w:kern w:val="10"/>
                      <w:szCs w:val="21"/>
                    </w:rPr>
                    <w:t>消化污泥存放</w:t>
                  </w:r>
                </w:p>
              </w:tc>
              <w:tc>
                <w:tcPr>
                  <w:tcW w:w="1664" w:type="pct"/>
                  <w:noWrap w:val="0"/>
                  <w:vAlign w:val="center"/>
                </w:tcPr>
                <w:p>
                  <w:pPr>
                    <w:adjustRightInd w:val="0"/>
                    <w:snapToGrid w:val="0"/>
                    <w:jc w:val="center"/>
                    <w:textAlignment w:val="baseline"/>
                    <w:rPr>
                      <w:snapToGrid w:val="0"/>
                      <w:kern w:val="10"/>
                      <w:szCs w:val="21"/>
                    </w:rPr>
                  </w:pPr>
                  <w:r>
                    <w:rPr>
                      <w:snapToGrid w:val="0"/>
                      <w:kern w:val="10"/>
                      <w:szCs w:val="21"/>
                    </w:rPr>
                    <w:t>80</w:t>
                  </w:r>
                </w:p>
              </w:tc>
              <w:tc>
                <w:tcPr>
                  <w:tcW w:w="1441" w:type="pct"/>
                  <w:noWrap w:val="0"/>
                  <w:vAlign w:val="center"/>
                </w:tcPr>
                <w:p>
                  <w:pPr>
                    <w:adjustRightInd w:val="0"/>
                    <w:snapToGrid w:val="0"/>
                    <w:jc w:val="center"/>
                    <w:textAlignment w:val="baseline"/>
                    <w:rPr>
                      <w:snapToGrid w:val="0"/>
                      <w:kern w:val="10"/>
                      <w:szCs w:val="21"/>
                    </w:rPr>
                  </w:pPr>
                  <w:r>
                    <w:rPr>
                      <w:snapToGrid w:val="0"/>
                      <w:kern w:val="10"/>
                      <w:szCs w:val="21"/>
                    </w:rPr>
                    <w:t>35～240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53" w:type="pct"/>
                  <w:noWrap w:val="0"/>
                  <w:vAlign w:val="center"/>
                </w:tcPr>
                <w:p>
                  <w:pPr>
                    <w:numPr>
                      <w:ilvl w:val="0"/>
                      <w:numId w:val="3"/>
                    </w:numPr>
                    <w:adjustRightInd w:val="0"/>
                    <w:snapToGrid w:val="0"/>
                    <w:jc w:val="center"/>
                    <w:textAlignment w:val="baseline"/>
                    <w:rPr>
                      <w:snapToGrid w:val="0"/>
                      <w:kern w:val="10"/>
                      <w:szCs w:val="21"/>
                    </w:rPr>
                  </w:pPr>
                </w:p>
              </w:tc>
              <w:tc>
                <w:tcPr>
                  <w:tcW w:w="1442" w:type="pct"/>
                  <w:noWrap w:val="0"/>
                  <w:vAlign w:val="center"/>
                </w:tcPr>
                <w:p>
                  <w:pPr>
                    <w:adjustRightInd w:val="0"/>
                    <w:snapToGrid w:val="0"/>
                    <w:jc w:val="center"/>
                    <w:textAlignment w:val="baseline"/>
                    <w:rPr>
                      <w:snapToGrid w:val="0"/>
                      <w:kern w:val="10"/>
                      <w:szCs w:val="21"/>
                    </w:rPr>
                  </w:pPr>
                  <w:r>
                    <w:rPr>
                      <w:snapToGrid w:val="0"/>
                      <w:kern w:val="10"/>
                      <w:szCs w:val="21"/>
                    </w:rPr>
                    <w:t>机械污泥脱水室</w:t>
                  </w:r>
                </w:p>
              </w:tc>
              <w:tc>
                <w:tcPr>
                  <w:tcW w:w="1664" w:type="pct"/>
                  <w:noWrap w:val="0"/>
                  <w:vAlign w:val="center"/>
                </w:tcPr>
                <w:p>
                  <w:pPr>
                    <w:adjustRightInd w:val="0"/>
                    <w:snapToGrid w:val="0"/>
                    <w:jc w:val="center"/>
                    <w:textAlignment w:val="baseline"/>
                    <w:rPr>
                      <w:snapToGrid w:val="0"/>
                      <w:kern w:val="10"/>
                      <w:szCs w:val="21"/>
                    </w:rPr>
                  </w:pPr>
                  <w:r>
                    <w:rPr>
                      <w:snapToGrid w:val="0"/>
                      <w:kern w:val="10"/>
                      <w:szCs w:val="21"/>
                    </w:rPr>
                    <w:t>400</w:t>
                  </w:r>
                </w:p>
              </w:tc>
              <w:tc>
                <w:tcPr>
                  <w:tcW w:w="1441" w:type="pct"/>
                  <w:noWrap w:val="0"/>
                  <w:vAlign w:val="center"/>
                </w:tcPr>
                <w:p>
                  <w:pPr>
                    <w:adjustRightInd w:val="0"/>
                    <w:snapToGrid w:val="0"/>
                    <w:jc w:val="center"/>
                    <w:textAlignment w:val="baseline"/>
                    <w:rPr>
                      <w:snapToGrid w:val="0"/>
                      <w:kern w:val="10"/>
                      <w:szCs w:val="21"/>
                    </w:rPr>
                  </w:pPr>
                  <w:r>
                    <w:rPr>
                      <w:snapToGrid w:val="0"/>
                      <w:kern w:val="10"/>
                      <w:szCs w:val="21"/>
                    </w:rPr>
                    <w:t>50～770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53" w:type="pct"/>
                  <w:noWrap w:val="0"/>
                  <w:vAlign w:val="center"/>
                </w:tcPr>
                <w:p>
                  <w:pPr>
                    <w:numPr>
                      <w:ilvl w:val="0"/>
                      <w:numId w:val="3"/>
                    </w:numPr>
                    <w:adjustRightInd w:val="0"/>
                    <w:snapToGrid w:val="0"/>
                    <w:jc w:val="center"/>
                    <w:textAlignment w:val="baseline"/>
                    <w:rPr>
                      <w:snapToGrid w:val="0"/>
                      <w:kern w:val="10"/>
                      <w:szCs w:val="21"/>
                    </w:rPr>
                  </w:pPr>
                </w:p>
              </w:tc>
              <w:tc>
                <w:tcPr>
                  <w:tcW w:w="1442" w:type="pct"/>
                  <w:noWrap w:val="0"/>
                  <w:vAlign w:val="center"/>
                </w:tcPr>
                <w:p>
                  <w:pPr>
                    <w:adjustRightInd w:val="0"/>
                    <w:snapToGrid w:val="0"/>
                    <w:jc w:val="center"/>
                    <w:textAlignment w:val="baseline"/>
                    <w:rPr>
                      <w:snapToGrid w:val="0"/>
                      <w:kern w:val="10"/>
                      <w:szCs w:val="21"/>
                    </w:rPr>
                  </w:pPr>
                  <w:r>
                    <w:rPr>
                      <w:snapToGrid w:val="0"/>
                      <w:kern w:val="10"/>
                      <w:szCs w:val="21"/>
                    </w:rPr>
                    <w:t>污泥脱水滤液</w:t>
                  </w:r>
                </w:p>
              </w:tc>
              <w:tc>
                <w:tcPr>
                  <w:tcW w:w="1664" w:type="pct"/>
                  <w:noWrap w:val="0"/>
                  <w:vAlign w:val="center"/>
                </w:tcPr>
                <w:p>
                  <w:pPr>
                    <w:adjustRightInd w:val="0"/>
                    <w:snapToGrid w:val="0"/>
                    <w:jc w:val="center"/>
                    <w:textAlignment w:val="baseline"/>
                    <w:rPr>
                      <w:snapToGrid w:val="0"/>
                      <w:kern w:val="10"/>
                      <w:szCs w:val="21"/>
                    </w:rPr>
                  </w:pPr>
                </w:p>
              </w:tc>
              <w:tc>
                <w:tcPr>
                  <w:tcW w:w="1441" w:type="pct"/>
                  <w:noWrap w:val="0"/>
                  <w:vAlign w:val="center"/>
                </w:tcPr>
                <w:p>
                  <w:pPr>
                    <w:adjustRightInd w:val="0"/>
                    <w:snapToGrid w:val="0"/>
                    <w:jc w:val="center"/>
                    <w:textAlignment w:val="baseline"/>
                    <w:rPr>
                      <w:snapToGrid w:val="0"/>
                      <w:kern w:val="10"/>
                      <w:szCs w:val="21"/>
                    </w:rPr>
                  </w:pPr>
                  <w:r>
                    <w:rPr>
                      <w:snapToGrid w:val="0"/>
                      <w:kern w:val="10"/>
                      <w:szCs w:val="21"/>
                    </w:rPr>
                    <w:t>3300～95500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53" w:type="pct"/>
                  <w:noWrap w:val="0"/>
                  <w:vAlign w:val="center"/>
                </w:tcPr>
                <w:p>
                  <w:pPr>
                    <w:numPr>
                      <w:ilvl w:val="0"/>
                      <w:numId w:val="3"/>
                    </w:numPr>
                    <w:adjustRightInd w:val="0"/>
                    <w:snapToGrid w:val="0"/>
                    <w:jc w:val="center"/>
                    <w:textAlignment w:val="baseline"/>
                    <w:rPr>
                      <w:snapToGrid w:val="0"/>
                      <w:kern w:val="10"/>
                      <w:szCs w:val="21"/>
                    </w:rPr>
                  </w:pPr>
                </w:p>
              </w:tc>
              <w:tc>
                <w:tcPr>
                  <w:tcW w:w="1442" w:type="pct"/>
                  <w:noWrap w:val="0"/>
                  <w:vAlign w:val="center"/>
                </w:tcPr>
                <w:p>
                  <w:pPr>
                    <w:adjustRightInd w:val="0"/>
                    <w:snapToGrid w:val="0"/>
                    <w:jc w:val="center"/>
                    <w:textAlignment w:val="baseline"/>
                    <w:rPr>
                      <w:snapToGrid w:val="0"/>
                      <w:kern w:val="10"/>
                      <w:szCs w:val="21"/>
                    </w:rPr>
                  </w:pPr>
                  <w:r>
                    <w:rPr>
                      <w:snapToGrid w:val="0"/>
                      <w:kern w:val="10"/>
                      <w:szCs w:val="21"/>
                    </w:rPr>
                    <w:t>热预处理污泥</w:t>
                  </w:r>
                </w:p>
              </w:tc>
              <w:tc>
                <w:tcPr>
                  <w:tcW w:w="1664" w:type="pct"/>
                  <w:noWrap w:val="0"/>
                  <w:vAlign w:val="center"/>
                </w:tcPr>
                <w:p>
                  <w:pPr>
                    <w:adjustRightInd w:val="0"/>
                    <w:snapToGrid w:val="0"/>
                    <w:jc w:val="center"/>
                    <w:textAlignment w:val="baseline"/>
                    <w:rPr>
                      <w:snapToGrid w:val="0"/>
                      <w:kern w:val="10"/>
                      <w:szCs w:val="21"/>
                    </w:rPr>
                  </w:pPr>
                  <w:r>
                    <w:rPr>
                      <w:snapToGrid w:val="0"/>
                      <w:kern w:val="10"/>
                      <w:szCs w:val="21"/>
                    </w:rPr>
                    <w:t>71000（在浓缩池内测出）</w:t>
                  </w:r>
                </w:p>
              </w:tc>
              <w:tc>
                <w:tcPr>
                  <w:tcW w:w="1441" w:type="pct"/>
                  <w:noWrap w:val="0"/>
                  <w:vAlign w:val="center"/>
                </w:tcPr>
                <w:p>
                  <w:pPr>
                    <w:adjustRightInd w:val="0"/>
                    <w:snapToGrid w:val="0"/>
                    <w:jc w:val="center"/>
                    <w:textAlignment w:val="baseline"/>
                    <w:rPr>
                      <w:snapToGrid w:val="0"/>
                      <w:kern w:val="10"/>
                      <w:szCs w:val="21"/>
                    </w:rPr>
                  </w:pPr>
                </w:p>
              </w:tc>
            </w:tr>
          </w:tbl>
          <w:p>
            <w:pPr>
              <w:pStyle w:val="104"/>
              <w:snapToGrid w:val="0"/>
              <w:spacing w:line="240" w:lineRule="auto"/>
            </w:pPr>
          </w:p>
          <w:p>
            <w:pPr>
              <w:pStyle w:val="104"/>
            </w:pPr>
            <w:r>
              <w:t>从表中可看出，臭气值较大的地方主要是污水前处理部分（格栅井、提升泵房集水池、沉砂池）和污泥处理部分（贮泥池、脱水间等），是除臭的重点；其次为曝气池。几种主要臭气的成分如下表：</w:t>
            </w:r>
          </w:p>
          <w:p>
            <w:pPr>
              <w:snapToGrid w:val="0"/>
              <w:jc w:val="center"/>
              <w:rPr>
                <w:rFonts w:eastAsia="黑体"/>
                <w:sz w:val="24"/>
                <w:szCs w:val="26"/>
              </w:rPr>
            </w:pPr>
            <w:r>
              <w:rPr>
                <w:rFonts w:eastAsia="黑体"/>
                <w:sz w:val="24"/>
                <w:szCs w:val="26"/>
              </w:rPr>
              <w:t>表2-12  主要臭气</w:t>
            </w:r>
            <w:r>
              <w:rPr>
                <w:rFonts w:hint="eastAsia" w:eastAsia="黑体"/>
                <w:sz w:val="24"/>
                <w:szCs w:val="26"/>
              </w:rPr>
              <w:t>成分表</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76"/>
              <w:gridCol w:w="1300"/>
              <w:gridCol w:w="4527"/>
              <w:gridCol w:w="161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580" w:type="pct"/>
                  <w:shd w:val="clear" w:color="auto" w:fill="CCFFFF"/>
                  <w:noWrap w:val="0"/>
                  <w:vAlign w:val="center"/>
                </w:tcPr>
                <w:p>
                  <w:pPr>
                    <w:adjustRightInd w:val="0"/>
                    <w:snapToGrid w:val="0"/>
                    <w:jc w:val="center"/>
                    <w:textAlignment w:val="baseline"/>
                    <w:rPr>
                      <w:b/>
                      <w:snapToGrid w:val="0"/>
                      <w:kern w:val="10"/>
                      <w:szCs w:val="28"/>
                    </w:rPr>
                  </w:pPr>
                  <w:r>
                    <w:rPr>
                      <w:b/>
                      <w:snapToGrid w:val="0"/>
                      <w:kern w:val="10"/>
                      <w:szCs w:val="28"/>
                    </w:rPr>
                    <w:t>序号</w:t>
                  </w:r>
                </w:p>
              </w:tc>
              <w:tc>
                <w:tcPr>
                  <w:tcW w:w="772" w:type="pct"/>
                  <w:shd w:val="clear" w:color="auto" w:fill="CCFFFF"/>
                  <w:noWrap w:val="0"/>
                  <w:vAlign w:val="center"/>
                </w:tcPr>
                <w:p>
                  <w:pPr>
                    <w:adjustRightInd w:val="0"/>
                    <w:snapToGrid w:val="0"/>
                    <w:jc w:val="center"/>
                    <w:textAlignment w:val="baseline"/>
                    <w:rPr>
                      <w:b/>
                      <w:snapToGrid w:val="0"/>
                      <w:kern w:val="10"/>
                      <w:szCs w:val="28"/>
                    </w:rPr>
                  </w:pPr>
                  <w:r>
                    <w:rPr>
                      <w:b/>
                      <w:snapToGrid w:val="0"/>
                      <w:kern w:val="10"/>
                      <w:szCs w:val="28"/>
                    </w:rPr>
                    <w:t>化合物</w:t>
                  </w:r>
                </w:p>
              </w:tc>
              <w:tc>
                <w:tcPr>
                  <w:tcW w:w="2689" w:type="pct"/>
                  <w:shd w:val="clear" w:color="auto" w:fill="CCFFFF"/>
                  <w:noWrap w:val="0"/>
                  <w:vAlign w:val="center"/>
                </w:tcPr>
                <w:p>
                  <w:pPr>
                    <w:adjustRightInd w:val="0"/>
                    <w:snapToGrid w:val="0"/>
                    <w:jc w:val="center"/>
                    <w:textAlignment w:val="baseline"/>
                    <w:rPr>
                      <w:b/>
                      <w:snapToGrid w:val="0"/>
                      <w:kern w:val="10"/>
                      <w:szCs w:val="28"/>
                    </w:rPr>
                  </w:pPr>
                  <w:r>
                    <w:rPr>
                      <w:b/>
                      <w:snapToGrid w:val="0"/>
                      <w:kern w:val="10"/>
                      <w:szCs w:val="28"/>
                    </w:rPr>
                    <w:t>典型分子式</w:t>
                  </w:r>
                </w:p>
              </w:tc>
              <w:tc>
                <w:tcPr>
                  <w:tcW w:w="960" w:type="pct"/>
                  <w:shd w:val="clear" w:color="auto" w:fill="CCFFFF"/>
                  <w:noWrap w:val="0"/>
                  <w:vAlign w:val="center"/>
                </w:tcPr>
                <w:p>
                  <w:pPr>
                    <w:adjustRightInd w:val="0"/>
                    <w:snapToGrid w:val="0"/>
                    <w:jc w:val="center"/>
                    <w:textAlignment w:val="baseline"/>
                    <w:rPr>
                      <w:b/>
                      <w:snapToGrid w:val="0"/>
                      <w:kern w:val="10"/>
                      <w:szCs w:val="28"/>
                    </w:rPr>
                  </w:pPr>
                  <w:r>
                    <w:rPr>
                      <w:b/>
                      <w:snapToGrid w:val="0"/>
                      <w:kern w:val="10"/>
                      <w:szCs w:val="28"/>
                    </w:rPr>
                    <w:t>特性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80" w:type="pct"/>
                  <w:noWrap w:val="0"/>
                  <w:vAlign w:val="center"/>
                </w:tcPr>
                <w:p>
                  <w:pPr>
                    <w:numPr>
                      <w:ilvl w:val="0"/>
                      <w:numId w:val="4"/>
                    </w:numPr>
                    <w:adjustRightInd w:val="0"/>
                    <w:snapToGrid w:val="0"/>
                    <w:jc w:val="center"/>
                    <w:textAlignment w:val="baseline"/>
                    <w:rPr>
                      <w:snapToGrid w:val="0"/>
                      <w:kern w:val="10"/>
                      <w:szCs w:val="28"/>
                    </w:rPr>
                  </w:pPr>
                </w:p>
              </w:tc>
              <w:tc>
                <w:tcPr>
                  <w:tcW w:w="772" w:type="pct"/>
                  <w:noWrap w:val="0"/>
                  <w:vAlign w:val="center"/>
                </w:tcPr>
                <w:p>
                  <w:pPr>
                    <w:adjustRightInd w:val="0"/>
                    <w:snapToGrid w:val="0"/>
                    <w:jc w:val="center"/>
                    <w:textAlignment w:val="baseline"/>
                    <w:rPr>
                      <w:snapToGrid w:val="0"/>
                      <w:kern w:val="10"/>
                      <w:szCs w:val="28"/>
                    </w:rPr>
                  </w:pPr>
                  <w:r>
                    <w:rPr>
                      <w:snapToGrid w:val="0"/>
                      <w:kern w:val="10"/>
                      <w:szCs w:val="28"/>
                    </w:rPr>
                    <w:t>胺类</w:t>
                  </w:r>
                </w:p>
              </w:tc>
              <w:tc>
                <w:tcPr>
                  <w:tcW w:w="2689" w:type="pct"/>
                  <w:noWrap w:val="0"/>
                  <w:vAlign w:val="center"/>
                </w:tcPr>
                <w:p>
                  <w:pPr>
                    <w:adjustRightInd w:val="0"/>
                    <w:snapToGrid w:val="0"/>
                    <w:jc w:val="center"/>
                    <w:textAlignment w:val="baseline"/>
                    <w:rPr>
                      <w:snapToGrid w:val="0"/>
                      <w:kern w:val="10"/>
                      <w:szCs w:val="28"/>
                    </w:rPr>
                  </w:pPr>
                  <w:r>
                    <w:rPr>
                      <w:snapToGrid w:val="0"/>
                      <w:kern w:val="10"/>
                      <w:szCs w:val="28"/>
                    </w:rPr>
                    <w:t>CH</w:t>
                  </w:r>
                  <w:r>
                    <w:rPr>
                      <w:snapToGrid w:val="0"/>
                      <w:kern w:val="10"/>
                      <w:szCs w:val="28"/>
                      <w:vertAlign w:val="subscript"/>
                    </w:rPr>
                    <w:t>3</w:t>
                  </w:r>
                  <w:r>
                    <w:rPr>
                      <w:snapToGrid w:val="0"/>
                      <w:kern w:val="10"/>
                      <w:szCs w:val="28"/>
                    </w:rPr>
                    <w:t>NH</w:t>
                  </w:r>
                  <w:r>
                    <w:rPr>
                      <w:snapToGrid w:val="0"/>
                      <w:kern w:val="10"/>
                      <w:szCs w:val="28"/>
                      <w:vertAlign w:val="subscript"/>
                    </w:rPr>
                    <w:t>2</w:t>
                  </w:r>
                  <w:r>
                    <w:rPr>
                      <w:snapToGrid w:val="0"/>
                      <w:kern w:val="10"/>
                      <w:szCs w:val="28"/>
                    </w:rPr>
                    <w:t xml:space="preserve"> （CH</w:t>
                  </w:r>
                  <w:r>
                    <w:rPr>
                      <w:snapToGrid w:val="0"/>
                      <w:kern w:val="10"/>
                      <w:szCs w:val="28"/>
                      <w:vertAlign w:val="subscript"/>
                    </w:rPr>
                    <w:t>3</w:t>
                  </w:r>
                  <w:r>
                    <w:rPr>
                      <w:snapToGrid w:val="0"/>
                      <w:kern w:val="10"/>
                      <w:szCs w:val="28"/>
                    </w:rPr>
                    <w:t>）</w:t>
                  </w:r>
                  <w:r>
                    <w:rPr>
                      <w:snapToGrid w:val="0"/>
                      <w:kern w:val="10"/>
                      <w:szCs w:val="28"/>
                      <w:vertAlign w:val="subscript"/>
                    </w:rPr>
                    <w:t>3</w:t>
                  </w:r>
                  <w:r>
                    <w:rPr>
                      <w:snapToGrid w:val="0"/>
                      <w:kern w:val="10"/>
                      <w:szCs w:val="28"/>
                    </w:rPr>
                    <w:t>N</w:t>
                  </w:r>
                </w:p>
              </w:tc>
              <w:tc>
                <w:tcPr>
                  <w:tcW w:w="960" w:type="pct"/>
                  <w:noWrap w:val="0"/>
                  <w:vAlign w:val="center"/>
                </w:tcPr>
                <w:p>
                  <w:pPr>
                    <w:adjustRightInd w:val="0"/>
                    <w:snapToGrid w:val="0"/>
                    <w:jc w:val="center"/>
                    <w:textAlignment w:val="baseline"/>
                    <w:rPr>
                      <w:snapToGrid w:val="0"/>
                      <w:kern w:val="10"/>
                      <w:szCs w:val="28"/>
                    </w:rPr>
                  </w:pPr>
                  <w:r>
                    <w:rPr>
                      <w:snapToGrid w:val="0"/>
                      <w:kern w:val="10"/>
                      <w:szCs w:val="28"/>
                    </w:rPr>
                    <w:t>鱼腥味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80" w:type="pct"/>
                  <w:noWrap w:val="0"/>
                  <w:vAlign w:val="center"/>
                </w:tcPr>
                <w:p>
                  <w:pPr>
                    <w:numPr>
                      <w:ilvl w:val="0"/>
                      <w:numId w:val="4"/>
                    </w:numPr>
                    <w:adjustRightInd w:val="0"/>
                    <w:snapToGrid w:val="0"/>
                    <w:jc w:val="center"/>
                    <w:textAlignment w:val="baseline"/>
                    <w:rPr>
                      <w:snapToGrid w:val="0"/>
                      <w:kern w:val="10"/>
                      <w:szCs w:val="28"/>
                    </w:rPr>
                  </w:pPr>
                </w:p>
              </w:tc>
              <w:tc>
                <w:tcPr>
                  <w:tcW w:w="772" w:type="pct"/>
                  <w:noWrap w:val="0"/>
                  <w:vAlign w:val="center"/>
                </w:tcPr>
                <w:p>
                  <w:pPr>
                    <w:adjustRightInd w:val="0"/>
                    <w:snapToGrid w:val="0"/>
                    <w:jc w:val="center"/>
                    <w:textAlignment w:val="baseline"/>
                    <w:rPr>
                      <w:snapToGrid w:val="0"/>
                      <w:kern w:val="10"/>
                      <w:szCs w:val="28"/>
                    </w:rPr>
                  </w:pPr>
                  <w:r>
                    <w:rPr>
                      <w:snapToGrid w:val="0"/>
                      <w:kern w:val="10"/>
                      <w:szCs w:val="28"/>
                    </w:rPr>
                    <w:t>氨</w:t>
                  </w:r>
                </w:p>
              </w:tc>
              <w:tc>
                <w:tcPr>
                  <w:tcW w:w="2689" w:type="pct"/>
                  <w:noWrap w:val="0"/>
                  <w:vAlign w:val="center"/>
                </w:tcPr>
                <w:p>
                  <w:pPr>
                    <w:adjustRightInd w:val="0"/>
                    <w:snapToGrid w:val="0"/>
                    <w:jc w:val="center"/>
                    <w:textAlignment w:val="baseline"/>
                    <w:rPr>
                      <w:snapToGrid w:val="0"/>
                      <w:kern w:val="10"/>
                      <w:szCs w:val="28"/>
                    </w:rPr>
                  </w:pPr>
                  <w:r>
                    <w:rPr>
                      <w:snapToGrid w:val="0"/>
                      <w:kern w:val="10"/>
                      <w:szCs w:val="28"/>
                    </w:rPr>
                    <w:t>NH</w:t>
                  </w:r>
                  <w:r>
                    <w:rPr>
                      <w:snapToGrid w:val="0"/>
                      <w:kern w:val="10"/>
                      <w:szCs w:val="28"/>
                      <w:vertAlign w:val="subscript"/>
                    </w:rPr>
                    <w:t>3</w:t>
                  </w:r>
                </w:p>
              </w:tc>
              <w:tc>
                <w:tcPr>
                  <w:tcW w:w="960" w:type="pct"/>
                  <w:noWrap w:val="0"/>
                  <w:vAlign w:val="center"/>
                </w:tcPr>
                <w:p>
                  <w:pPr>
                    <w:adjustRightInd w:val="0"/>
                    <w:snapToGrid w:val="0"/>
                    <w:jc w:val="center"/>
                    <w:textAlignment w:val="baseline"/>
                    <w:rPr>
                      <w:snapToGrid w:val="0"/>
                      <w:kern w:val="10"/>
                      <w:szCs w:val="28"/>
                    </w:rPr>
                  </w:pPr>
                  <w:r>
                    <w:rPr>
                      <w:snapToGrid w:val="0"/>
                      <w:kern w:val="10"/>
                      <w:szCs w:val="28"/>
                    </w:rPr>
                    <w:t>氨味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80" w:type="pct"/>
                  <w:noWrap w:val="0"/>
                  <w:vAlign w:val="center"/>
                </w:tcPr>
                <w:p>
                  <w:pPr>
                    <w:numPr>
                      <w:ilvl w:val="0"/>
                      <w:numId w:val="4"/>
                    </w:numPr>
                    <w:adjustRightInd w:val="0"/>
                    <w:snapToGrid w:val="0"/>
                    <w:jc w:val="center"/>
                    <w:textAlignment w:val="baseline"/>
                    <w:rPr>
                      <w:snapToGrid w:val="0"/>
                      <w:kern w:val="10"/>
                      <w:szCs w:val="28"/>
                    </w:rPr>
                  </w:pPr>
                </w:p>
              </w:tc>
              <w:tc>
                <w:tcPr>
                  <w:tcW w:w="772" w:type="pct"/>
                  <w:noWrap w:val="0"/>
                  <w:vAlign w:val="center"/>
                </w:tcPr>
                <w:p>
                  <w:pPr>
                    <w:adjustRightInd w:val="0"/>
                    <w:snapToGrid w:val="0"/>
                    <w:jc w:val="center"/>
                    <w:textAlignment w:val="baseline"/>
                    <w:rPr>
                      <w:snapToGrid w:val="0"/>
                      <w:kern w:val="10"/>
                      <w:szCs w:val="28"/>
                    </w:rPr>
                  </w:pPr>
                  <w:r>
                    <w:rPr>
                      <w:snapToGrid w:val="0"/>
                      <w:kern w:val="10"/>
                      <w:szCs w:val="28"/>
                    </w:rPr>
                    <w:t>二胺</w:t>
                  </w:r>
                </w:p>
              </w:tc>
              <w:tc>
                <w:tcPr>
                  <w:tcW w:w="2689" w:type="pct"/>
                  <w:noWrap w:val="0"/>
                  <w:vAlign w:val="center"/>
                </w:tcPr>
                <w:p>
                  <w:pPr>
                    <w:adjustRightInd w:val="0"/>
                    <w:snapToGrid w:val="0"/>
                    <w:jc w:val="center"/>
                    <w:textAlignment w:val="baseline"/>
                    <w:rPr>
                      <w:snapToGrid w:val="0"/>
                      <w:kern w:val="10"/>
                      <w:szCs w:val="28"/>
                      <w:vertAlign w:val="subscript"/>
                      <w:lang w:val="de-DE"/>
                    </w:rPr>
                  </w:pPr>
                  <w:r>
                    <w:rPr>
                      <w:snapToGrid w:val="0"/>
                      <w:kern w:val="10"/>
                      <w:szCs w:val="28"/>
                      <w:lang w:val="de-DE"/>
                    </w:rPr>
                    <w:t>NH</w:t>
                  </w:r>
                  <w:r>
                    <w:rPr>
                      <w:snapToGrid w:val="0"/>
                      <w:kern w:val="10"/>
                      <w:szCs w:val="28"/>
                      <w:vertAlign w:val="subscript"/>
                      <w:lang w:val="de-DE"/>
                    </w:rPr>
                    <w:t>2</w:t>
                  </w:r>
                  <w:r>
                    <w:rPr>
                      <w:snapToGrid w:val="0"/>
                      <w:kern w:val="10"/>
                      <w:szCs w:val="28"/>
                      <w:lang w:val="de-DE"/>
                    </w:rPr>
                    <w:t xml:space="preserve"> （CH</w:t>
                  </w:r>
                  <w:r>
                    <w:rPr>
                      <w:snapToGrid w:val="0"/>
                      <w:kern w:val="10"/>
                      <w:szCs w:val="28"/>
                      <w:vertAlign w:val="subscript"/>
                      <w:lang w:val="de-DE"/>
                    </w:rPr>
                    <w:t>2</w:t>
                  </w:r>
                  <w:r>
                    <w:rPr>
                      <w:snapToGrid w:val="0"/>
                      <w:kern w:val="10"/>
                      <w:szCs w:val="28"/>
                      <w:lang w:val="de-DE"/>
                    </w:rPr>
                    <w:t>）</w:t>
                  </w:r>
                  <w:r>
                    <w:rPr>
                      <w:snapToGrid w:val="0"/>
                      <w:kern w:val="10"/>
                      <w:szCs w:val="28"/>
                      <w:vertAlign w:val="subscript"/>
                      <w:lang w:val="de-DE"/>
                    </w:rPr>
                    <w:t>4</w:t>
                  </w:r>
                  <w:r>
                    <w:rPr>
                      <w:snapToGrid w:val="0"/>
                      <w:kern w:val="10"/>
                      <w:szCs w:val="28"/>
                      <w:lang w:val="de-DE"/>
                    </w:rPr>
                    <w:t>NH</w:t>
                  </w:r>
                  <w:r>
                    <w:rPr>
                      <w:snapToGrid w:val="0"/>
                      <w:kern w:val="10"/>
                      <w:szCs w:val="28"/>
                      <w:vertAlign w:val="subscript"/>
                      <w:lang w:val="de-DE"/>
                    </w:rPr>
                    <w:t>2</w:t>
                  </w:r>
                  <w:r>
                    <w:rPr>
                      <w:snapToGrid w:val="0"/>
                      <w:kern w:val="10"/>
                      <w:szCs w:val="28"/>
                      <w:lang w:val="de-DE"/>
                    </w:rPr>
                    <w:t>NH</w:t>
                  </w:r>
                  <w:r>
                    <w:rPr>
                      <w:snapToGrid w:val="0"/>
                      <w:kern w:val="10"/>
                      <w:szCs w:val="28"/>
                      <w:vertAlign w:val="subscript"/>
                      <w:lang w:val="de-DE"/>
                    </w:rPr>
                    <w:t>2</w:t>
                  </w:r>
                  <w:r>
                    <w:rPr>
                      <w:snapToGrid w:val="0"/>
                      <w:kern w:val="10"/>
                      <w:szCs w:val="28"/>
                      <w:lang w:val="de-DE"/>
                    </w:rPr>
                    <w:t xml:space="preserve"> （CH</w:t>
                  </w:r>
                  <w:r>
                    <w:rPr>
                      <w:snapToGrid w:val="0"/>
                      <w:kern w:val="10"/>
                      <w:szCs w:val="28"/>
                      <w:vertAlign w:val="subscript"/>
                      <w:lang w:val="de-DE"/>
                    </w:rPr>
                    <w:t>2</w:t>
                  </w:r>
                  <w:r>
                    <w:rPr>
                      <w:snapToGrid w:val="0"/>
                      <w:kern w:val="10"/>
                      <w:szCs w:val="28"/>
                      <w:lang w:val="de-DE"/>
                    </w:rPr>
                    <w:t>）</w:t>
                  </w:r>
                  <w:r>
                    <w:rPr>
                      <w:snapToGrid w:val="0"/>
                      <w:kern w:val="10"/>
                      <w:szCs w:val="28"/>
                      <w:vertAlign w:val="subscript"/>
                      <w:lang w:val="de-DE"/>
                    </w:rPr>
                    <w:t>5</w:t>
                  </w:r>
                  <w:r>
                    <w:rPr>
                      <w:snapToGrid w:val="0"/>
                      <w:kern w:val="10"/>
                      <w:szCs w:val="28"/>
                      <w:lang w:val="de-DE"/>
                    </w:rPr>
                    <w:t>NH</w:t>
                  </w:r>
                  <w:r>
                    <w:rPr>
                      <w:snapToGrid w:val="0"/>
                      <w:kern w:val="10"/>
                      <w:szCs w:val="28"/>
                      <w:vertAlign w:val="subscript"/>
                      <w:lang w:val="de-DE"/>
                    </w:rPr>
                    <w:t>2</w:t>
                  </w:r>
                </w:p>
              </w:tc>
              <w:tc>
                <w:tcPr>
                  <w:tcW w:w="960" w:type="pct"/>
                  <w:noWrap w:val="0"/>
                  <w:vAlign w:val="center"/>
                </w:tcPr>
                <w:p>
                  <w:pPr>
                    <w:adjustRightInd w:val="0"/>
                    <w:snapToGrid w:val="0"/>
                    <w:jc w:val="center"/>
                    <w:textAlignment w:val="baseline"/>
                    <w:rPr>
                      <w:snapToGrid w:val="0"/>
                      <w:kern w:val="10"/>
                      <w:szCs w:val="28"/>
                    </w:rPr>
                  </w:pPr>
                  <w:r>
                    <w:rPr>
                      <w:snapToGrid w:val="0"/>
                      <w:kern w:val="10"/>
                      <w:szCs w:val="28"/>
                    </w:rPr>
                    <w:t>腐肉味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80" w:type="pct"/>
                  <w:noWrap w:val="0"/>
                  <w:vAlign w:val="center"/>
                </w:tcPr>
                <w:p>
                  <w:pPr>
                    <w:numPr>
                      <w:ilvl w:val="0"/>
                      <w:numId w:val="4"/>
                    </w:numPr>
                    <w:adjustRightInd w:val="0"/>
                    <w:snapToGrid w:val="0"/>
                    <w:jc w:val="center"/>
                    <w:textAlignment w:val="baseline"/>
                    <w:rPr>
                      <w:snapToGrid w:val="0"/>
                      <w:kern w:val="10"/>
                      <w:szCs w:val="28"/>
                    </w:rPr>
                  </w:pPr>
                </w:p>
              </w:tc>
              <w:tc>
                <w:tcPr>
                  <w:tcW w:w="772" w:type="pct"/>
                  <w:noWrap w:val="0"/>
                  <w:vAlign w:val="center"/>
                </w:tcPr>
                <w:p>
                  <w:pPr>
                    <w:adjustRightInd w:val="0"/>
                    <w:snapToGrid w:val="0"/>
                    <w:jc w:val="center"/>
                    <w:textAlignment w:val="baseline"/>
                    <w:rPr>
                      <w:snapToGrid w:val="0"/>
                      <w:kern w:val="10"/>
                      <w:szCs w:val="28"/>
                    </w:rPr>
                  </w:pPr>
                  <w:r>
                    <w:rPr>
                      <w:snapToGrid w:val="0"/>
                      <w:kern w:val="10"/>
                      <w:szCs w:val="28"/>
                    </w:rPr>
                    <w:t>硫化氢</w:t>
                  </w:r>
                </w:p>
              </w:tc>
              <w:tc>
                <w:tcPr>
                  <w:tcW w:w="2689" w:type="pct"/>
                  <w:noWrap w:val="0"/>
                  <w:vAlign w:val="center"/>
                </w:tcPr>
                <w:p>
                  <w:pPr>
                    <w:adjustRightInd w:val="0"/>
                    <w:snapToGrid w:val="0"/>
                    <w:jc w:val="center"/>
                    <w:textAlignment w:val="baseline"/>
                    <w:rPr>
                      <w:snapToGrid w:val="0"/>
                      <w:kern w:val="10"/>
                      <w:szCs w:val="28"/>
                    </w:rPr>
                  </w:pPr>
                  <w:r>
                    <w:rPr>
                      <w:snapToGrid w:val="0"/>
                      <w:kern w:val="10"/>
                      <w:szCs w:val="28"/>
                    </w:rPr>
                    <w:t>H</w:t>
                  </w:r>
                  <w:r>
                    <w:rPr>
                      <w:snapToGrid w:val="0"/>
                      <w:kern w:val="10"/>
                      <w:szCs w:val="28"/>
                      <w:vertAlign w:val="subscript"/>
                    </w:rPr>
                    <w:t>2</w:t>
                  </w:r>
                  <w:r>
                    <w:rPr>
                      <w:snapToGrid w:val="0"/>
                      <w:kern w:val="10"/>
                      <w:szCs w:val="28"/>
                    </w:rPr>
                    <w:t>S</w:t>
                  </w:r>
                </w:p>
              </w:tc>
              <w:tc>
                <w:tcPr>
                  <w:tcW w:w="960" w:type="pct"/>
                  <w:noWrap w:val="0"/>
                  <w:vAlign w:val="center"/>
                </w:tcPr>
                <w:p>
                  <w:pPr>
                    <w:adjustRightInd w:val="0"/>
                    <w:snapToGrid w:val="0"/>
                    <w:jc w:val="center"/>
                    <w:textAlignment w:val="baseline"/>
                    <w:rPr>
                      <w:snapToGrid w:val="0"/>
                      <w:kern w:val="10"/>
                      <w:szCs w:val="28"/>
                    </w:rPr>
                  </w:pPr>
                  <w:r>
                    <w:rPr>
                      <w:snapToGrid w:val="0"/>
                      <w:kern w:val="10"/>
                      <w:szCs w:val="28"/>
                    </w:rPr>
                    <w:t>臭鸡蛋味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80" w:type="pct"/>
                  <w:noWrap w:val="0"/>
                  <w:vAlign w:val="center"/>
                </w:tcPr>
                <w:p>
                  <w:pPr>
                    <w:numPr>
                      <w:ilvl w:val="0"/>
                      <w:numId w:val="4"/>
                    </w:numPr>
                    <w:adjustRightInd w:val="0"/>
                    <w:snapToGrid w:val="0"/>
                    <w:jc w:val="center"/>
                    <w:textAlignment w:val="baseline"/>
                    <w:rPr>
                      <w:snapToGrid w:val="0"/>
                      <w:kern w:val="10"/>
                      <w:szCs w:val="28"/>
                    </w:rPr>
                  </w:pPr>
                </w:p>
              </w:tc>
              <w:tc>
                <w:tcPr>
                  <w:tcW w:w="772" w:type="pct"/>
                  <w:noWrap w:val="0"/>
                  <w:vAlign w:val="center"/>
                </w:tcPr>
                <w:p>
                  <w:pPr>
                    <w:adjustRightInd w:val="0"/>
                    <w:snapToGrid w:val="0"/>
                    <w:jc w:val="center"/>
                    <w:textAlignment w:val="baseline"/>
                    <w:rPr>
                      <w:snapToGrid w:val="0"/>
                      <w:kern w:val="10"/>
                      <w:szCs w:val="28"/>
                    </w:rPr>
                  </w:pPr>
                  <w:r>
                    <w:rPr>
                      <w:snapToGrid w:val="0"/>
                      <w:kern w:val="10"/>
                      <w:szCs w:val="28"/>
                    </w:rPr>
                    <w:t>硫醇</w:t>
                  </w:r>
                </w:p>
              </w:tc>
              <w:tc>
                <w:tcPr>
                  <w:tcW w:w="2689" w:type="pct"/>
                  <w:noWrap w:val="0"/>
                  <w:vAlign w:val="center"/>
                </w:tcPr>
                <w:p>
                  <w:pPr>
                    <w:adjustRightInd w:val="0"/>
                    <w:snapToGrid w:val="0"/>
                    <w:jc w:val="center"/>
                    <w:textAlignment w:val="baseline"/>
                    <w:rPr>
                      <w:snapToGrid w:val="0"/>
                      <w:kern w:val="10"/>
                      <w:szCs w:val="28"/>
                      <w:vertAlign w:val="subscript"/>
                    </w:rPr>
                  </w:pPr>
                  <w:r>
                    <w:rPr>
                      <w:snapToGrid w:val="0"/>
                      <w:kern w:val="10"/>
                      <w:szCs w:val="28"/>
                    </w:rPr>
                    <w:t>CH</w:t>
                  </w:r>
                  <w:r>
                    <w:rPr>
                      <w:snapToGrid w:val="0"/>
                      <w:kern w:val="10"/>
                      <w:szCs w:val="28"/>
                      <w:vertAlign w:val="subscript"/>
                    </w:rPr>
                    <w:t>3</w:t>
                  </w:r>
                  <w:r>
                    <w:rPr>
                      <w:snapToGrid w:val="0"/>
                      <w:kern w:val="10"/>
                      <w:szCs w:val="28"/>
                    </w:rPr>
                    <w:t>SH CH</w:t>
                  </w:r>
                  <w:r>
                    <w:rPr>
                      <w:snapToGrid w:val="0"/>
                      <w:kern w:val="10"/>
                      <w:szCs w:val="28"/>
                      <w:vertAlign w:val="subscript"/>
                    </w:rPr>
                    <w:t>3</w:t>
                  </w:r>
                  <w:r>
                    <w:rPr>
                      <w:snapToGrid w:val="0"/>
                      <w:kern w:val="10"/>
                      <w:szCs w:val="28"/>
                    </w:rPr>
                    <w:t>SSCH</w:t>
                  </w:r>
                  <w:r>
                    <w:rPr>
                      <w:snapToGrid w:val="0"/>
                      <w:kern w:val="10"/>
                      <w:szCs w:val="28"/>
                      <w:vertAlign w:val="subscript"/>
                    </w:rPr>
                    <w:t>3</w:t>
                  </w:r>
                </w:p>
              </w:tc>
              <w:tc>
                <w:tcPr>
                  <w:tcW w:w="960" w:type="pct"/>
                  <w:noWrap w:val="0"/>
                  <w:vAlign w:val="center"/>
                </w:tcPr>
                <w:p>
                  <w:pPr>
                    <w:adjustRightInd w:val="0"/>
                    <w:snapToGrid w:val="0"/>
                    <w:jc w:val="center"/>
                    <w:textAlignment w:val="baseline"/>
                    <w:rPr>
                      <w:snapToGrid w:val="0"/>
                      <w:kern w:val="10"/>
                      <w:szCs w:val="28"/>
                    </w:rPr>
                  </w:pPr>
                  <w:r>
                    <w:rPr>
                      <w:snapToGrid w:val="0"/>
                      <w:kern w:val="10"/>
                      <w:szCs w:val="28"/>
                    </w:rPr>
                    <w:t>烂洋葱味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80" w:type="pct"/>
                  <w:noWrap w:val="0"/>
                  <w:vAlign w:val="center"/>
                </w:tcPr>
                <w:p>
                  <w:pPr>
                    <w:numPr>
                      <w:ilvl w:val="0"/>
                      <w:numId w:val="4"/>
                    </w:numPr>
                    <w:adjustRightInd w:val="0"/>
                    <w:snapToGrid w:val="0"/>
                    <w:jc w:val="center"/>
                    <w:textAlignment w:val="baseline"/>
                    <w:rPr>
                      <w:snapToGrid w:val="0"/>
                      <w:kern w:val="10"/>
                      <w:szCs w:val="28"/>
                    </w:rPr>
                  </w:pPr>
                </w:p>
              </w:tc>
              <w:tc>
                <w:tcPr>
                  <w:tcW w:w="772" w:type="pct"/>
                  <w:noWrap w:val="0"/>
                  <w:vAlign w:val="center"/>
                </w:tcPr>
                <w:p>
                  <w:pPr>
                    <w:adjustRightInd w:val="0"/>
                    <w:snapToGrid w:val="0"/>
                    <w:jc w:val="center"/>
                    <w:textAlignment w:val="baseline"/>
                    <w:rPr>
                      <w:snapToGrid w:val="0"/>
                      <w:kern w:val="10"/>
                      <w:szCs w:val="28"/>
                    </w:rPr>
                  </w:pPr>
                  <w:r>
                    <w:rPr>
                      <w:snapToGrid w:val="0"/>
                      <w:kern w:val="10"/>
                      <w:szCs w:val="28"/>
                    </w:rPr>
                    <w:t>粪臭素</w:t>
                  </w:r>
                </w:p>
              </w:tc>
              <w:tc>
                <w:tcPr>
                  <w:tcW w:w="2689" w:type="pct"/>
                  <w:noWrap w:val="0"/>
                  <w:vAlign w:val="center"/>
                </w:tcPr>
                <w:p>
                  <w:pPr>
                    <w:adjustRightInd w:val="0"/>
                    <w:snapToGrid w:val="0"/>
                    <w:jc w:val="center"/>
                    <w:textAlignment w:val="baseline"/>
                    <w:rPr>
                      <w:snapToGrid w:val="0"/>
                      <w:kern w:val="10"/>
                      <w:szCs w:val="28"/>
                      <w:vertAlign w:val="subscript"/>
                    </w:rPr>
                  </w:pPr>
                  <w:r>
                    <w:rPr>
                      <w:snapToGrid w:val="0"/>
                      <w:kern w:val="10"/>
                      <w:szCs w:val="28"/>
                    </w:rPr>
                    <w:t>C</w:t>
                  </w:r>
                  <w:r>
                    <w:rPr>
                      <w:snapToGrid w:val="0"/>
                      <w:kern w:val="10"/>
                      <w:szCs w:val="28"/>
                      <w:vertAlign w:val="subscript"/>
                    </w:rPr>
                    <w:t>8</w:t>
                  </w:r>
                  <w:r>
                    <w:rPr>
                      <w:snapToGrid w:val="0"/>
                      <w:kern w:val="10"/>
                      <w:szCs w:val="28"/>
                    </w:rPr>
                    <w:t>H</w:t>
                  </w:r>
                  <w:r>
                    <w:rPr>
                      <w:snapToGrid w:val="0"/>
                      <w:kern w:val="10"/>
                      <w:szCs w:val="28"/>
                      <w:vertAlign w:val="subscript"/>
                    </w:rPr>
                    <w:t>5</w:t>
                  </w:r>
                  <w:r>
                    <w:rPr>
                      <w:snapToGrid w:val="0"/>
                      <w:kern w:val="10"/>
                      <w:szCs w:val="28"/>
                    </w:rPr>
                    <w:t>NHCH</w:t>
                  </w:r>
                  <w:r>
                    <w:rPr>
                      <w:snapToGrid w:val="0"/>
                      <w:kern w:val="10"/>
                      <w:szCs w:val="28"/>
                      <w:vertAlign w:val="subscript"/>
                    </w:rPr>
                    <w:t>3</w:t>
                  </w:r>
                </w:p>
              </w:tc>
              <w:tc>
                <w:tcPr>
                  <w:tcW w:w="960" w:type="pct"/>
                  <w:noWrap w:val="0"/>
                  <w:vAlign w:val="center"/>
                </w:tcPr>
                <w:p>
                  <w:pPr>
                    <w:adjustRightInd w:val="0"/>
                    <w:snapToGrid w:val="0"/>
                    <w:jc w:val="center"/>
                    <w:textAlignment w:val="baseline"/>
                    <w:rPr>
                      <w:snapToGrid w:val="0"/>
                      <w:kern w:val="10"/>
                      <w:szCs w:val="28"/>
                    </w:rPr>
                  </w:pPr>
                  <w:r>
                    <w:rPr>
                      <w:snapToGrid w:val="0"/>
                      <w:kern w:val="10"/>
                      <w:szCs w:val="28"/>
                    </w:rPr>
                    <w:t>粪便味</w:t>
                  </w:r>
                </w:p>
              </w:tc>
            </w:tr>
          </w:tbl>
          <w:p>
            <w:pPr>
              <w:pStyle w:val="104"/>
              <w:spacing w:before="120" w:beforeLines="50"/>
              <w:rPr>
                <w:b/>
              </w:rPr>
            </w:pPr>
            <w:r>
              <w:rPr>
                <w:b/>
              </w:rPr>
              <w:t>（2）除臭工艺比选</w:t>
            </w:r>
          </w:p>
          <w:p>
            <w:pPr>
              <w:pStyle w:val="104"/>
            </w:pPr>
            <w:r>
              <w:t>常见的方法有水洗法、活性炭吸附法、催化型活性炭法、臭氧氧化法、土壤脱臭法、燃烧法、生物脱臭法等。</w:t>
            </w:r>
          </w:p>
          <w:p>
            <w:pPr>
              <w:pStyle w:val="104"/>
            </w:pPr>
            <w:r>
              <w:rPr>
                <w:rFonts w:eastAsia="楷体"/>
              </w:rPr>
              <w:t>水洗法：</w:t>
            </w:r>
            <w:r>
              <w:t>是利用臭气中的某些物质能溶于水的特性，使臭气中氨气、硫化氢气体和水接触、溶解，达到脱臭的目的。成本低，但处理效率不高。</w:t>
            </w:r>
          </w:p>
          <w:p>
            <w:pPr>
              <w:pStyle w:val="104"/>
            </w:pPr>
            <w:r>
              <w:rPr>
                <w:rFonts w:eastAsia="楷体"/>
              </w:rPr>
              <w:t>活性炭吸附法：</w:t>
            </w:r>
            <w:r>
              <w:t>是利用活性炭能吸附臭气中致臭物质的特点，达到脱臭目的。该法与水清洗和药液清洗法相比，具有较高的效率，但活性炭一旦吸附饱和，就必须更换，因此运行成本较高。这种方法常用于低浓度臭气和脱臭的后处理。</w:t>
            </w:r>
          </w:p>
          <w:p>
            <w:pPr>
              <w:pStyle w:val="104"/>
            </w:pPr>
            <w:r>
              <w:rPr>
                <w:rFonts w:eastAsia="楷体"/>
              </w:rPr>
              <w:t>催化型活性炭法：</w:t>
            </w:r>
            <w:r>
              <w:t>采用烟煤基带增强催化能力的粒状活性炭，对H</w:t>
            </w:r>
            <w:r>
              <w:rPr>
                <w:vertAlign w:val="subscript"/>
              </w:rPr>
              <w:t>2</w:t>
            </w:r>
            <w:r>
              <w:t>S及其它含硫有机物进行吸附，催化型活性炭促进氧化反应，将H</w:t>
            </w:r>
            <w:r>
              <w:rPr>
                <w:vertAlign w:val="subscript"/>
              </w:rPr>
              <w:t>2</w:t>
            </w:r>
            <w:r>
              <w:t>S转变为H</w:t>
            </w:r>
            <w:r>
              <w:rPr>
                <w:vertAlign w:val="subscript"/>
              </w:rPr>
              <w:t>2</w:t>
            </w:r>
            <w:r>
              <w:t>SO</w:t>
            </w:r>
            <w:r>
              <w:rPr>
                <w:vertAlign w:val="subscript"/>
              </w:rPr>
              <w:t>4</w:t>
            </w:r>
            <w:r>
              <w:t>、少量的H</w:t>
            </w:r>
            <w:r>
              <w:rPr>
                <w:vertAlign w:val="subscript"/>
              </w:rPr>
              <w:t>2</w:t>
            </w:r>
            <w:r>
              <w:t>SO</w:t>
            </w:r>
            <w:r>
              <w:rPr>
                <w:vertAlign w:val="subscript"/>
              </w:rPr>
              <w:t>3</w:t>
            </w:r>
            <w:r>
              <w:t>和硫元素。催化型活性炭只对H</w:t>
            </w:r>
            <w:r>
              <w:rPr>
                <w:vertAlign w:val="subscript"/>
              </w:rPr>
              <w:t>2</w:t>
            </w:r>
            <w:r>
              <w:t>S及含硫有机臭味气体去除率高，对污水处理厂产生的其它臭味物质去除率不是很高，因此此方法较适宜用在污水泵站除臭中。</w:t>
            </w:r>
          </w:p>
          <w:p>
            <w:pPr>
              <w:pStyle w:val="104"/>
            </w:pPr>
            <w:r>
              <w:rPr>
                <w:rFonts w:eastAsia="楷体"/>
              </w:rPr>
              <w:t>臭氧氧化法：</w:t>
            </w:r>
            <w:r>
              <w:t>是利用臭氧强氧化剂，使臭气中的</w:t>
            </w:r>
            <w:r>
              <w:rPr>
                <w:rFonts w:hint="eastAsia"/>
              </w:rPr>
              <w:t>化学成分</w:t>
            </w:r>
            <w:r>
              <w:t>氧化，达到脱臭的目的。由于臭氧发生的化学反应较慢，一般先通过药液清洗法，去除大部分致臭物质，然后再进行臭氧氧化。</w:t>
            </w:r>
          </w:p>
          <w:p>
            <w:pPr>
              <w:pStyle w:val="104"/>
            </w:pPr>
            <w:r>
              <w:rPr>
                <w:rFonts w:eastAsia="楷体"/>
              </w:rPr>
              <w:t>土壤脱臭法：</w:t>
            </w:r>
            <w:r>
              <w:t>是利用土壤中微生物分解臭气中的</w:t>
            </w:r>
            <w:r>
              <w:rPr>
                <w:rFonts w:hint="eastAsia"/>
              </w:rPr>
              <w:t>化学成分</w:t>
            </w:r>
            <w:r>
              <w:t>，达到脱臭目的。该方法不需要加药等附属设施，运行管理费用较低，但需有宽阔的场地，定时进行场地修整，设置散水装置，以保持较好的运行状态，并且处理效果不够稳定、总体效率较低。</w:t>
            </w:r>
          </w:p>
          <w:p>
            <w:pPr>
              <w:pStyle w:val="104"/>
            </w:pPr>
            <w:r>
              <w:rPr>
                <w:rFonts w:eastAsia="楷体"/>
              </w:rPr>
              <w:t>燃烧法：</w:t>
            </w:r>
            <w:r>
              <w:t>根据臭气的特点，当温度达到648℃，接触时间0.3 s以上时，臭气会直接燃烧，达到脱臭的目的。适合于高浓度臭气，且运行费用较高。</w:t>
            </w:r>
          </w:p>
          <w:p>
            <w:pPr>
              <w:pStyle w:val="104"/>
            </w:pPr>
            <w:r>
              <w:rPr>
                <w:rFonts w:eastAsia="楷体"/>
              </w:rPr>
              <w:t>化学除臭法：</w:t>
            </w:r>
            <w:r>
              <w:t>是利用臭气中的某些物质和药液产生中和反应的特性，如利用呈碱性的苛性钠和次氯酸钠溶液，去除臭气中硫化氢等酸性物质，利用盐酸等酸性溶液，去除臭气中的氨气等碱性物质。运行管理较复杂，运行费用较高，与药液不反应的臭气较难去除，效率较低。</w:t>
            </w:r>
          </w:p>
          <w:p>
            <w:pPr>
              <w:pStyle w:val="104"/>
            </w:pPr>
            <w:r>
              <w:rPr>
                <w:rFonts w:eastAsia="楷体"/>
              </w:rPr>
              <w:t>生物制剂除臭法：</w:t>
            </w:r>
            <w:r>
              <w:t>使用天然植物提取液作为空气净化剂已经逐渐得到应用，这种净化法无毒、无害、无二次污染，使用安全、方便，而且原料来源广泛，成本低。</w:t>
            </w:r>
          </w:p>
          <w:p>
            <w:pPr>
              <w:pStyle w:val="104"/>
            </w:pPr>
            <w:r>
              <w:rPr>
                <w:rFonts w:eastAsia="楷体"/>
              </w:rPr>
              <w:t>生物除臭法：</w:t>
            </w:r>
            <w:r>
              <w:t>于多孔材质的生物载体的开发，使填充式微生物脱臭法得到广泛应用，该法利用下述原理达到脱臭目的：</w:t>
            </w:r>
          </w:p>
          <w:p>
            <w:pPr>
              <w:pStyle w:val="104"/>
              <w:spacing w:before="120" w:beforeLines="50"/>
              <w:rPr>
                <w:b/>
              </w:rPr>
            </w:pPr>
            <w:r>
              <w:rPr>
                <w:b/>
              </w:rPr>
              <w:t>（3）除臭工艺选择</w:t>
            </w:r>
          </w:p>
          <w:p>
            <w:pPr>
              <w:pStyle w:val="104"/>
              <w:rPr>
                <w:b/>
              </w:rPr>
            </w:pPr>
            <w:r>
              <w:t>生物除臭设备虽然效果好，但其设备庞大，占地大、造价高。而喷淋塔也可达到排放标准要求，在同等处理效率的情况下，喷淋塔体积较小、造价低。但由于喷淋塔内无生物分解系统，所以循环水会很快变浓，因此，就需要定期更换喷淋水，换下的喷淋水直接进入污水处理系统进行处理。推荐选择</w:t>
            </w:r>
            <w:r>
              <w:rPr>
                <w:b/>
                <w:bCs/>
              </w:rPr>
              <w:t>除臭</w:t>
            </w:r>
            <w:r>
              <w:rPr>
                <w:b/>
              </w:rPr>
              <w:t>喷淋塔（碱液）。</w:t>
            </w:r>
          </w:p>
          <w:p>
            <w:pPr>
              <w:pStyle w:val="2"/>
              <w:spacing w:before="0" w:after="0" w:line="360" w:lineRule="auto"/>
              <w:ind w:right="0"/>
              <w:rPr>
                <w:b/>
                <w:bCs/>
                <w:sz w:val="24"/>
                <w:szCs w:val="24"/>
              </w:rPr>
            </w:pPr>
            <w:r>
              <w:rPr>
                <w:b/>
                <w:bCs/>
                <w:sz w:val="24"/>
                <w:szCs w:val="24"/>
              </w:rPr>
              <w:t>（三）污水处理工艺流程及产污环节图</w:t>
            </w:r>
          </w:p>
          <w:p>
            <w:pPr>
              <w:pStyle w:val="2"/>
              <w:spacing w:before="0" w:after="0" w:line="360" w:lineRule="auto"/>
              <w:ind w:right="0" w:firstLine="480" w:firstLineChars="200"/>
              <w:rPr>
                <w:sz w:val="24"/>
                <w:szCs w:val="24"/>
              </w:rPr>
            </w:pPr>
            <w:r>
              <w:rPr>
                <w:sz w:val="24"/>
                <w:szCs w:val="24"/>
              </w:rPr>
              <w:t>项目改扩建后，分两段运行，污水量小于1000m</w:t>
            </w:r>
            <w:r>
              <w:rPr>
                <w:sz w:val="24"/>
                <w:szCs w:val="24"/>
                <w:vertAlign w:val="superscript"/>
              </w:rPr>
              <w:t>3</w:t>
            </w:r>
            <w:r>
              <w:rPr>
                <w:sz w:val="24"/>
                <w:szCs w:val="24"/>
              </w:rPr>
              <w:t>/d时，污水处理工艺为“提升池+格栅渠+隔渣池+调节池+一体化污水处理设施（AAO+二沉池+微絮凝除磷D型滤池+紫外线消毒）+巴歇尔槽”；污水量大于1000m</w:t>
            </w:r>
            <w:r>
              <w:rPr>
                <w:sz w:val="24"/>
                <w:szCs w:val="24"/>
                <w:vertAlign w:val="superscript"/>
              </w:rPr>
              <w:t>3</w:t>
            </w:r>
            <w:r>
              <w:rPr>
                <w:sz w:val="24"/>
                <w:szCs w:val="24"/>
              </w:rPr>
              <w:t>/d时，同时启用现有污水处理设施（500m</w:t>
            </w:r>
            <w:r>
              <w:rPr>
                <w:sz w:val="24"/>
                <w:szCs w:val="24"/>
                <w:vertAlign w:val="superscript"/>
              </w:rPr>
              <w:t>3</w:t>
            </w:r>
            <w:r>
              <w:rPr>
                <w:sz w:val="24"/>
                <w:szCs w:val="24"/>
              </w:rPr>
              <w:t>/d），污水处理工艺为“提升池+格栅渠+隔渣池+初沉池+</w:t>
            </w:r>
            <w:r>
              <w:t xml:space="preserve"> </w:t>
            </w:r>
            <w:r>
              <w:rPr>
                <w:sz w:val="24"/>
                <w:szCs w:val="24"/>
              </w:rPr>
              <w:t>PASG（厌氧池+综合生化池+集水池+二沉池+接触消毒）+巴歇尔槽”；其中前端提升池、格栅渠、隔渣池为共用设施，后端污泥浓缩、脱水设施及暂存共用，出水巴歇尔槽设施共用。</w:t>
            </w:r>
          </w:p>
          <w:p>
            <w:pPr>
              <w:pStyle w:val="2"/>
              <w:spacing w:before="0" w:after="0" w:line="360" w:lineRule="auto"/>
              <w:ind w:right="0" w:firstLine="482" w:firstLineChars="200"/>
              <w:rPr>
                <w:b/>
                <w:bCs/>
                <w:sz w:val="24"/>
                <w:szCs w:val="24"/>
              </w:rPr>
            </w:pPr>
            <w:r>
              <w:rPr>
                <w:b/>
                <w:bCs/>
                <w:sz w:val="24"/>
                <w:szCs w:val="24"/>
              </w:rPr>
              <w:t>1、一体化污水处理设施工艺</w:t>
            </w:r>
          </w:p>
          <w:p>
            <w:pPr>
              <w:pStyle w:val="2"/>
              <w:spacing w:before="0" w:after="0" w:line="360" w:lineRule="auto"/>
              <w:ind w:right="0" w:firstLine="480" w:firstLineChars="200"/>
              <w:rPr>
                <w:sz w:val="24"/>
                <w:szCs w:val="24"/>
              </w:rPr>
            </w:pPr>
            <w:r>
              <w:rPr>
                <w:sz w:val="24"/>
                <w:szCs w:val="24"/>
              </w:rPr>
              <w:t>根据上述各处理单元选择论述可知，</w:t>
            </w:r>
            <w:bookmarkStart w:id="21" w:name="_Hlk44054675"/>
            <w:r>
              <w:rPr>
                <w:sz w:val="24"/>
                <w:szCs w:val="24"/>
              </w:rPr>
              <w:t>本项目采用“污水→粗格栅→调节池→提升泵井→一体化处理设备（AAO+二沉池+微絮凝除磷D型滤池+紫外线消毒）→巴歇尔槽→达标排放”工艺流程</w:t>
            </w:r>
            <w:bookmarkEnd w:id="21"/>
            <w:r>
              <w:rPr>
                <w:sz w:val="24"/>
                <w:szCs w:val="24"/>
              </w:rPr>
              <w:t>对污水进行处理，本项目污水处理厂具体工艺流程及产污环节详见下图。</w:t>
            </w:r>
          </w:p>
          <w:p>
            <w:pPr>
              <w:pStyle w:val="2"/>
              <w:spacing w:before="0" w:after="0" w:line="360" w:lineRule="auto"/>
              <w:ind w:right="0"/>
              <w:jc w:val="center"/>
              <w:rPr>
                <w:b/>
                <w:bCs/>
                <w:sz w:val="24"/>
                <w:szCs w:val="24"/>
              </w:rPr>
            </w:pPr>
            <w:r>
              <w:object>
                <v:shape id="_x0000_i1026" o:spt="75" type="#_x0000_t75" style="height:111.85pt;width:397.15pt;" o:ole="t" filled="f" o:preferrelative="t" stroked="f" coordsize="21600,21600">
                  <v:path/>
                  <v:fill on="f" alignshape="1" focussize="0,0"/>
                  <v:stroke on="f"/>
                  <v:imagedata r:id="rId20" o:title=""/>
                  <o:lock v:ext="edit" aspectratio="t"/>
                  <w10:wrap type="none"/>
                  <w10:anchorlock/>
                </v:shape>
                <o:OLEObject Type="Embed" ProgID="Visio.Drawing.15" ShapeID="_x0000_i1026" DrawAspect="Content" ObjectID="_1468075726" r:id="rId19">
                  <o:LockedField>false</o:LockedField>
                </o:OLEObject>
              </w:object>
            </w:r>
          </w:p>
          <w:p>
            <w:pPr>
              <w:pStyle w:val="2"/>
              <w:spacing w:before="0" w:after="0" w:line="360" w:lineRule="auto"/>
              <w:ind w:right="0"/>
              <w:jc w:val="center"/>
              <w:rPr>
                <w:rFonts w:eastAsia="黑体"/>
                <w:sz w:val="24"/>
                <w:szCs w:val="24"/>
              </w:rPr>
            </w:pPr>
            <w:r>
              <w:rPr>
                <w:rFonts w:eastAsia="黑体"/>
                <w:sz w:val="24"/>
                <w:szCs w:val="24"/>
              </w:rPr>
              <w:t>图2-13    营运期污水处理厂工艺流程及产污环节图</w:t>
            </w:r>
          </w:p>
          <w:p>
            <w:pPr>
              <w:pStyle w:val="2"/>
              <w:spacing w:before="0" w:after="0" w:line="360" w:lineRule="auto"/>
              <w:ind w:right="0" w:firstLine="480" w:firstLineChars="200"/>
              <w:rPr>
                <w:sz w:val="24"/>
                <w:szCs w:val="24"/>
              </w:rPr>
            </w:pPr>
            <w:r>
              <w:rPr>
                <w:sz w:val="24"/>
                <w:szCs w:val="24"/>
              </w:rPr>
              <w:t>农村生活污水首先经过格栅池拦截水中的大颗粒悬浮物及少量泥沙，格进入调节池单元，经调节池对水质水量进行调节，调节池出水经泵提升至一体化污水处理设备，在一体化污水处理设备中，现进入生化池主反应区（厌氧+缺氧+好氧区，缺氧区会设置MBBR悬浮填料），除去大部分有机物，经二沉池沉淀，经沉淀处理的下层液再通过添加PAC混凝剂去除水中大部分悬浮物和部分磷，二沉池出水进入微絮凝除磷D型滤池，过滤进一步去除污水中的悬浮物和有机物，微絮凝除磷D型滤池出水经紫外线消毒器消毒后达标排放。微絮凝除磷D型滤池反冲洗出水排至前端调节池进行循环处理。污泥处理部分：采用“</w:t>
            </w:r>
            <w:r>
              <w:t xml:space="preserve"> </w:t>
            </w:r>
            <w:r>
              <w:rPr>
                <w:sz w:val="24"/>
                <w:szCs w:val="24"/>
              </w:rPr>
              <w:t>叠螺压滤机”工艺，出泥含水率60%。</w:t>
            </w:r>
          </w:p>
          <w:p>
            <w:pPr>
              <w:pStyle w:val="2"/>
              <w:spacing w:before="0" w:after="0" w:line="360" w:lineRule="auto"/>
              <w:ind w:right="0" w:firstLine="482" w:firstLineChars="200"/>
              <w:rPr>
                <w:b/>
                <w:bCs/>
                <w:sz w:val="24"/>
                <w:szCs w:val="24"/>
              </w:rPr>
            </w:pPr>
            <w:r>
              <w:rPr>
                <w:b/>
                <w:bCs/>
                <w:sz w:val="24"/>
                <w:szCs w:val="24"/>
              </w:rPr>
              <w:t>2、现有污水处理设施工艺</w:t>
            </w:r>
          </w:p>
          <w:p>
            <w:pPr>
              <w:pStyle w:val="2"/>
              <w:spacing w:before="0" w:after="0" w:line="360" w:lineRule="auto"/>
              <w:ind w:right="0" w:firstLine="360" w:firstLineChars="200"/>
              <w:rPr>
                <w:sz w:val="24"/>
                <w:szCs w:val="24"/>
              </w:rPr>
            </w:pPr>
            <w:r>
              <w:drawing>
                <wp:inline distT="0" distB="0" distL="114300" distR="114300">
                  <wp:extent cx="5041900" cy="2332990"/>
                  <wp:effectExtent l="0" t="0" r="6350" b="1016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1"/>
                          <a:stretch>
                            <a:fillRect/>
                          </a:stretch>
                        </pic:blipFill>
                        <pic:spPr>
                          <a:xfrm>
                            <a:off x="0" y="0"/>
                            <a:ext cx="5041900" cy="2332990"/>
                          </a:xfrm>
                          <a:prstGeom prst="rect">
                            <a:avLst/>
                          </a:prstGeom>
                          <a:noFill/>
                          <a:ln>
                            <a:noFill/>
                          </a:ln>
                        </pic:spPr>
                      </pic:pic>
                    </a:graphicData>
                  </a:graphic>
                </wp:inline>
              </w:drawing>
            </w:r>
          </w:p>
          <w:p>
            <w:pPr>
              <w:pStyle w:val="2"/>
              <w:spacing w:before="0" w:after="0" w:line="360" w:lineRule="auto"/>
              <w:ind w:right="0"/>
              <w:jc w:val="center"/>
              <w:rPr>
                <w:rFonts w:eastAsia="黑体"/>
                <w:bCs/>
                <w:sz w:val="24"/>
                <w:szCs w:val="24"/>
              </w:rPr>
            </w:pPr>
            <w:r>
              <w:rPr>
                <w:rFonts w:eastAsia="黑体"/>
                <w:bCs/>
                <w:sz w:val="24"/>
                <w:szCs w:val="24"/>
              </w:rPr>
              <w:t>图2-14  现有工程污水处理工艺流程图</w:t>
            </w:r>
          </w:p>
          <w:p>
            <w:pPr>
              <w:pStyle w:val="2"/>
              <w:spacing w:before="0" w:after="0" w:line="360" w:lineRule="auto"/>
              <w:ind w:right="0" w:firstLine="480" w:firstLineChars="200"/>
              <w:rPr>
                <w:sz w:val="24"/>
                <w:szCs w:val="24"/>
              </w:rPr>
            </w:pPr>
            <w:r>
              <w:rPr>
                <w:sz w:val="24"/>
                <w:szCs w:val="24"/>
              </w:rPr>
              <w:t>PASG处理工艺由厌氧和综合生化池组成。</w:t>
            </w:r>
          </w:p>
          <w:p>
            <w:pPr>
              <w:pStyle w:val="2"/>
              <w:spacing w:before="0" w:after="0" w:line="360" w:lineRule="auto"/>
              <w:ind w:right="0" w:firstLine="480" w:firstLineChars="200"/>
              <w:rPr>
                <w:sz w:val="24"/>
                <w:szCs w:val="24"/>
              </w:rPr>
            </w:pPr>
            <w:r>
              <w:rPr>
                <w:sz w:val="24"/>
                <w:szCs w:val="24"/>
              </w:rPr>
              <w:t>采用厌氧、生物膜和悬浮生长工艺相结合的PASG处理工艺可以弥补单一厌氧、生物膜法或活性污泥法工艺的不足之处。在添加了特殊高效菌种的厌氧池内，主要污染物CODcr在短时间内去除率能达到60%-80%。在厌氧池内，大分子和难降解物质经水解酸化作用将产生低分子脂肪酸或者易于生物降解的物质，此可作为回流硝化液的反硝化碳源，此过程同时提高了有机污染物的整体去除效果，此过程也可使原水中的有机氮进行较为彻底的氨化，为后续的硝化和总氮的处理提供保证。停留时间取10～16h，厌氧池内置填料，以提高厌氧菌总量和厌氧接触效率。</w:t>
            </w:r>
          </w:p>
          <w:p>
            <w:pPr>
              <w:pStyle w:val="2"/>
              <w:spacing w:before="0" w:after="0" w:line="360" w:lineRule="auto"/>
              <w:ind w:right="0" w:firstLine="480" w:firstLineChars="200"/>
              <w:rPr>
                <w:sz w:val="24"/>
                <w:szCs w:val="24"/>
              </w:rPr>
            </w:pPr>
            <w:r>
              <w:rPr>
                <w:sz w:val="24"/>
                <w:szCs w:val="24"/>
              </w:rPr>
              <w:t>综合生化池填充颗粒状硬质催化填料，并接种优势菌种，在填料表面产生生物菌膜，对进入综合生化池的污染物进行深度降解。硬质催化填料中加入的特殊离子为酶活性中心的组成部分，对酶的催化功能起重要作用，使酶的特性和功能发生改变，置换修饰，可使酶的活力提高并增加酶的稳定性，可控制优势菌群的生长方向，向有利除氮脱磷的方向偏离，向有利减缓生长繁殖的方向偏离，进而减少剩余污泥的产生量，使综合生化系统达到既能有效的除氮脱磷，又安全不会引发堵塞问题出现。</w:t>
            </w:r>
          </w:p>
          <w:p>
            <w:pPr>
              <w:pStyle w:val="2"/>
              <w:spacing w:before="0" w:after="0" w:line="360" w:lineRule="auto"/>
              <w:ind w:right="0" w:firstLine="480" w:firstLineChars="200"/>
              <w:rPr>
                <w:sz w:val="24"/>
                <w:szCs w:val="24"/>
              </w:rPr>
            </w:pPr>
            <w:r>
              <w:rPr>
                <w:sz w:val="24"/>
                <w:szCs w:val="24"/>
              </w:rPr>
              <w:t>综合生化池填料层根据工艺要求分层分粒装填，运行过程中，对填料层机械通风，污水在穿过填料层时，与空气接触，达到溶氧的目的。填料和污水之间采用非淹没式接触。风阻损失小，运行能耗小。通过控制通风量。营造污水溶解氧梯度分布环境，实现污水的同步硝化反硝化，进一步达到削减TN的目的。同时，滋生原生动物，污水中的部分磷被生物富集，最终排出。</w:t>
            </w:r>
          </w:p>
          <w:p>
            <w:pPr>
              <w:pStyle w:val="2"/>
              <w:spacing w:before="0" w:after="0" w:line="360" w:lineRule="auto"/>
              <w:ind w:right="0"/>
              <w:rPr>
                <w:b/>
                <w:bCs/>
                <w:sz w:val="24"/>
                <w:szCs w:val="24"/>
              </w:rPr>
            </w:pPr>
            <w:r>
              <w:rPr>
                <w:b/>
                <w:bCs/>
                <w:sz w:val="24"/>
                <w:szCs w:val="24"/>
              </w:rPr>
              <w:t>运营期产污环节：</w:t>
            </w:r>
          </w:p>
          <w:p>
            <w:pPr>
              <w:pStyle w:val="2"/>
              <w:spacing w:before="0" w:after="0" w:line="360" w:lineRule="auto"/>
              <w:ind w:right="0" w:firstLine="480" w:firstLineChars="200"/>
              <w:rPr>
                <w:sz w:val="24"/>
                <w:szCs w:val="24"/>
              </w:rPr>
            </w:pPr>
            <w:r>
              <w:rPr>
                <w:sz w:val="24"/>
                <w:szCs w:val="24"/>
              </w:rPr>
              <w:t>（1）废气：主要为恶臭、柴油发电机燃油废气；</w:t>
            </w:r>
          </w:p>
          <w:p>
            <w:pPr>
              <w:pStyle w:val="2"/>
              <w:spacing w:before="0" w:after="0" w:line="360" w:lineRule="auto"/>
              <w:ind w:right="0" w:firstLine="480" w:firstLineChars="200"/>
              <w:rPr>
                <w:sz w:val="24"/>
                <w:szCs w:val="24"/>
              </w:rPr>
            </w:pPr>
            <w:r>
              <w:rPr>
                <w:sz w:val="24"/>
                <w:szCs w:val="24"/>
              </w:rPr>
              <w:t>（2）废水：主要是</w:t>
            </w:r>
            <w:r>
              <w:rPr>
                <w:bCs/>
                <w:sz w:val="24"/>
              </w:rPr>
              <w:t>微絮凝除磷D型滤池冲洗废水、叠螺压滤机冲洗废水、地坪冲洗废水、储泥池上清液、喷淋塔的废液、污泥脱水压榨滤液、栅渣和沉砂压滤废水</w:t>
            </w:r>
            <w:r>
              <w:rPr>
                <w:sz w:val="24"/>
                <w:szCs w:val="24"/>
              </w:rPr>
              <w:t>、生活污水；</w:t>
            </w:r>
          </w:p>
          <w:p>
            <w:pPr>
              <w:pStyle w:val="2"/>
              <w:spacing w:before="0" w:after="0" w:line="360" w:lineRule="auto"/>
              <w:ind w:right="0" w:firstLine="480" w:firstLineChars="200"/>
              <w:rPr>
                <w:sz w:val="24"/>
                <w:szCs w:val="24"/>
              </w:rPr>
            </w:pPr>
            <w:r>
              <w:rPr>
                <w:sz w:val="24"/>
                <w:szCs w:val="24"/>
              </w:rPr>
              <w:t>（3）噪声：污水处理厂运行过程中的机械设备噪声；</w:t>
            </w:r>
          </w:p>
          <w:p>
            <w:pPr>
              <w:pStyle w:val="2"/>
              <w:spacing w:before="0" w:after="0" w:line="360" w:lineRule="auto"/>
              <w:ind w:right="0" w:firstLine="480" w:firstLineChars="200"/>
            </w:pPr>
            <w:r>
              <w:rPr>
                <w:sz w:val="24"/>
                <w:szCs w:val="24"/>
              </w:rPr>
              <w:t>（4）固废：一般固废：主要是格栅栅渣、砂砾、污泥、生活垃圾；危险废物：设备维修过程中产生的废机油、在线监测废液、废含油棉纱、手套等。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230" w:type="pct"/>
            <w:noWrap w:val="0"/>
            <w:vAlign w:val="center"/>
          </w:tcPr>
          <w:p>
            <w:pPr>
              <w:pStyle w:val="28"/>
              <w:adjustRightInd w:val="0"/>
              <w:snapToGrid w:val="0"/>
              <w:spacing w:before="0" w:beforeAutospacing="0" w:after="0" w:afterAutospacing="0"/>
              <w:jc w:val="center"/>
              <w:rPr>
                <w:rFonts w:ascii="Times New Roman" w:hAnsi="Times New Roman"/>
                <w:sz w:val="21"/>
                <w:szCs w:val="21"/>
              </w:rPr>
            </w:pPr>
            <w:r>
              <w:rPr>
                <w:rFonts w:ascii="Times New Roman" w:hAnsi="Times New Roman"/>
                <w:bCs/>
                <w:kern w:val="2"/>
                <w:sz w:val="21"/>
                <w:szCs w:val="21"/>
              </w:rPr>
              <w:t>与项目有关的原有环境污染问题</w:t>
            </w:r>
          </w:p>
        </w:tc>
        <w:tc>
          <w:tcPr>
            <w:tcW w:w="4770" w:type="pct"/>
            <w:noWrap w:val="0"/>
            <w:vAlign w:val="top"/>
          </w:tcPr>
          <w:p>
            <w:pPr>
              <w:pStyle w:val="2"/>
              <w:spacing w:before="0" w:after="0" w:line="360" w:lineRule="auto"/>
              <w:ind w:right="0" w:firstLine="480" w:firstLineChars="200"/>
              <w:rPr>
                <w:bCs/>
                <w:sz w:val="24"/>
                <w:szCs w:val="24"/>
              </w:rPr>
            </w:pPr>
            <w:r>
              <w:rPr>
                <w:bCs/>
                <w:sz w:val="24"/>
                <w:szCs w:val="24"/>
              </w:rPr>
              <w:t>2017年3月，委托重庆市久久环境影响评价有限公司编制完成《通川区双龙镇污水处理站建设项目环境影响报告表》，并于2017年11月24日取得由达州市通川区环境保护局颁发的《关于通川区双龙镇污水处理站建设项目环境影响报告表的批复》（通区环审批[2017]34号）。该工程设计处理规模为1000m</w:t>
            </w:r>
            <w:r>
              <w:rPr>
                <w:bCs/>
                <w:sz w:val="24"/>
                <w:szCs w:val="24"/>
                <w:vertAlign w:val="superscript"/>
              </w:rPr>
              <w:t>3</w:t>
            </w:r>
            <w:r>
              <w:rPr>
                <w:bCs/>
                <w:sz w:val="24"/>
                <w:szCs w:val="24"/>
              </w:rPr>
              <w:t>/d，配套2743m污水干管，处理工艺为PASG工艺，设计出水水质执行《城镇污水处理厂污染物排放标准》中的一级A标准。项目于2019年建成投入试运行，并于2019年3月通过自主验收取得项目竣工环境保护验收意见。于2019年9月30日取得排污许可证（证书编号：91511702MA65EQL352001Q）。</w:t>
            </w:r>
          </w:p>
          <w:p>
            <w:pPr>
              <w:pStyle w:val="2"/>
              <w:spacing w:before="0" w:after="0" w:line="360" w:lineRule="auto"/>
              <w:ind w:right="0" w:firstLine="480" w:firstLineChars="200"/>
              <w:rPr>
                <w:bCs/>
                <w:sz w:val="24"/>
                <w:szCs w:val="24"/>
              </w:rPr>
            </w:pPr>
            <w:r>
              <w:rPr>
                <w:bCs/>
                <w:sz w:val="24"/>
                <w:szCs w:val="24"/>
              </w:rPr>
              <w:t>根据调查，原有污水处理厂在运行期间，未收到相关环保投诉。</w:t>
            </w:r>
          </w:p>
          <w:p>
            <w:pPr>
              <w:pStyle w:val="2"/>
              <w:spacing w:before="0" w:after="0" w:line="360" w:lineRule="auto"/>
              <w:ind w:right="0" w:firstLine="482" w:firstLineChars="200"/>
              <w:rPr>
                <w:b/>
                <w:sz w:val="24"/>
                <w:szCs w:val="24"/>
              </w:rPr>
            </w:pPr>
            <w:r>
              <w:rPr>
                <w:b/>
                <w:sz w:val="24"/>
                <w:szCs w:val="24"/>
              </w:rPr>
              <w:t>1、原有工程工艺流程简述</w:t>
            </w:r>
          </w:p>
          <w:p>
            <w:pPr>
              <w:pStyle w:val="2"/>
              <w:spacing w:before="0" w:after="0" w:line="360" w:lineRule="auto"/>
              <w:ind w:right="0"/>
              <w:jc w:val="center"/>
            </w:pPr>
            <w:r>
              <w:drawing>
                <wp:inline distT="0" distB="0" distL="114300" distR="114300">
                  <wp:extent cx="5041900" cy="2332990"/>
                  <wp:effectExtent l="0" t="0" r="6350" b="1016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1"/>
                          <a:stretch>
                            <a:fillRect/>
                          </a:stretch>
                        </pic:blipFill>
                        <pic:spPr>
                          <a:xfrm>
                            <a:off x="0" y="0"/>
                            <a:ext cx="5041900" cy="2332990"/>
                          </a:xfrm>
                          <a:prstGeom prst="rect">
                            <a:avLst/>
                          </a:prstGeom>
                          <a:noFill/>
                          <a:ln>
                            <a:noFill/>
                          </a:ln>
                        </pic:spPr>
                      </pic:pic>
                    </a:graphicData>
                  </a:graphic>
                </wp:inline>
              </w:drawing>
            </w:r>
          </w:p>
          <w:p>
            <w:pPr>
              <w:pStyle w:val="2"/>
              <w:spacing w:before="0" w:after="0" w:line="360" w:lineRule="auto"/>
              <w:ind w:right="0"/>
              <w:jc w:val="center"/>
              <w:rPr>
                <w:rFonts w:eastAsia="黑体"/>
                <w:bCs/>
                <w:sz w:val="24"/>
                <w:szCs w:val="24"/>
              </w:rPr>
            </w:pPr>
            <w:r>
              <w:rPr>
                <w:rFonts w:eastAsia="黑体"/>
                <w:bCs/>
                <w:sz w:val="24"/>
                <w:szCs w:val="24"/>
              </w:rPr>
              <w:t>图2-15  原有工程污水处理工艺流程图</w:t>
            </w:r>
          </w:p>
          <w:p>
            <w:pPr>
              <w:pStyle w:val="2"/>
              <w:spacing w:before="0" w:after="0" w:line="360" w:lineRule="auto"/>
              <w:ind w:right="0" w:firstLine="482" w:firstLineChars="200"/>
              <w:rPr>
                <w:b/>
                <w:sz w:val="24"/>
                <w:szCs w:val="24"/>
              </w:rPr>
            </w:pPr>
            <w:r>
              <w:rPr>
                <w:b/>
                <w:sz w:val="24"/>
                <w:szCs w:val="24"/>
              </w:rPr>
              <w:t>2、原有工程</w:t>
            </w:r>
            <w:r>
              <w:rPr>
                <w:rFonts w:hint="eastAsia"/>
                <w:b/>
                <w:sz w:val="24"/>
                <w:szCs w:val="24"/>
              </w:rPr>
              <w:t>污染整治</w:t>
            </w:r>
            <w:r>
              <w:rPr>
                <w:b/>
                <w:sz w:val="24"/>
                <w:szCs w:val="24"/>
              </w:rPr>
              <w:t>理情况</w:t>
            </w:r>
          </w:p>
          <w:p>
            <w:pPr>
              <w:pStyle w:val="2"/>
              <w:spacing w:before="0" w:after="0" w:line="360" w:lineRule="auto"/>
              <w:ind w:right="0" w:firstLine="482" w:firstLineChars="200"/>
              <w:rPr>
                <w:b/>
                <w:sz w:val="24"/>
                <w:szCs w:val="24"/>
              </w:rPr>
            </w:pPr>
            <w:r>
              <w:rPr>
                <w:b/>
                <w:sz w:val="24"/>
                <w:szCs w:val="24"/>
              </w:rPr>
              <w:t>（1）废水</w:t>
            </w:r>
          </w:p>
          <w:p>
            <w:pPr>
              <w:pStyle w:val="2"/>
              <w:spacing w:before="0" w:after="0" w:line="360" w:lineRule="auto"/>
              <w:ind w:right="0" w:firstLine="480" w:firstLineChars="200"/>
              <w:rPr>
                <w:bCs/>
                <w:sz w:val="24"/>
                <w:szCs w:val="24"/>
              </w:rPr>
            </w:pPr>
            <w:r>
              <w:rPr>
                <w:bCs/>
                <w:sz w:val="24"/>
              </w:rPr>
              <w:t>在实际运营发现，因污水处理设备随着使用时间的增长，出现老化和损坏的情况，以及工艺本身原因，使得实际处理能力达不到设计处理能力1000m</w:t>
            </w:r>
            <w:r>
              <w:rPr>
                <w:bCs/>
                <w:sz w:val="24"/>
                <w:vertAlign w:val="superscript"/>
              </w:rPr>
              <w:t>3</w:t>
            </w:r>
            <w:r>
              <w:rPr>
                <w:bCs/>
                <w:sz w:val="24"/>
              </w:rPr>
              <w:t>/d（实际处理能力≤500m</w:t>
            </w:r>
            <w:r>
              <w:rPr>
                <w:bCs/>
                <w:sz w:val="24"/>
                <w:vertAlign w:val="superscript"/>
              </w:rPr>
              <w:t>3</w:t>
            </w:r>
            <w:r>
              <w:rPr>
                <w:bCs/>
                <w:sz w:val="24"/>
              </w:rPr>
              <w:t>/d，超过此数值后出水会超标）氨氮、总磷、总氮不达标，通过调整优化工艺运行参数后仍不能实现预期效果。</w:t>
            </w:r>
          </w:p>
          <w:p>
            <w:pPr>
              <w:pStyle w:val="2"/>
              <w:spacing w:before="0" w:after="0" w:line="360" w:lineRule="auto"/>
              <w:ind w:right="0" w:firstLine="480" w:firstLineChars="200"/>
              <w:rPr>
                <w:bCs/>
                <w:sz w:val="24"/>
                <w:szCs w:val="24"/>
              </w:rPr>
            </w:pPr>
            <w:r>
              <w:rPr>
                <w:bCs/>
                <w:sz w:val="24"/>
                <w:szCs w:val="24"/>
              </w:rPr>
              <w:t>厂区内生活污水经收集后与入厂废水一起经污水处理厂处理达标后，排入双龙河。</w:t>
            </w:r>
          </w:p>
          <w:p>
            <w:pPr>
              <w:pStyle w:val="2"/>
              <w:spacing w:before="0" w:after="0" w:line="360" w:lineRule="auto"/>
              <w:ind w:right="0" w:firstLine="482" w:firstLineChars="200"/>
              <w:rPr>
                <w:b/>
                <w:sz w:val="24"/>
                <w:szCs w:val="24"/>
              </w:rPr>
            </w:pPr>
            <w:r>
              <w:rPr>
                <w:b/>
                <w:sz w:val="24"/>
                <w:szCs w:val="24"/>
              </w:rPr>
              <w:t>（2）废气</w:t>
            </w:r>
          </w:p>
          <w:p>
            <w:pPr>
              <w:pStyle w:val="2"/>
              <w:spacing w:before="0" w:after="0" w:line="360" w:lineRule="auto"/>
              <w:ind w:right="0" w:firstLine="480" w:firstLineChars="200"/>
              <w:rPr>
                <w:bCs/>
                <w:sz w:val="24"/>
                <w:szCs w:val="24"/>
              </w:rPr>
            </w:pPr>
            <w:r>
              <w:rPr>
                <w:bCs/>
                <w:sz w:val="24"/>
                <w:szCs w:val="24"/>
              </w:rPr>
              <w:t>原有工程采取地埋式PASG工艺，厂区内大量种植绿化以减少恶臭的排放，柴油发电机尾气经自带尾气处置装置处理后达标排放。</w:t>
            </w:r>
          </w:p>
          <w:p>
            <w:pPr>
              <w:pStyle w:val="2"/>
              <w:spacing w:before="0" w:after="0" w:line="360" w:lineRule="auto"/>
              <w:ind w:right="0" w:firstLine="482" w:firstLineChars="200"/>
              <w:rPr>
                <w:b/>
                <w:sz w:val="24"/>
                <w:szCs w:val="24"/>
              </w:rPr>
            </w:pPr>
            <w:r>
              <w:rPr>
                <w:b/>
                <w:sz w:val="24"/>
                <w:szCs w:val="24"/>
              </w:rPr>
              <w:t>（3）噪声</w:t>
            </w:r>
          </w:p>
          <w:p>
            <w:pPr>
              <w:pStyle w:val="2"/>
              <w:spacing w:before="0" w:after="0" w:line="360" w:lineRule="auto"/>
              <w:ind w:right="0" w:firstLine="480" w:firstLineChars="200"/>
              <w:rPr>
                <w:bCs/>
                <w:sz w:val="24"/>
                <w:szCs w:val="24"/>
              </w:rPr>
            </w:pPr>
            <w:r>
              <w:rPr>
                <w:bCs/>
                <w:sz w:val="24"/>
                <w:szCs w:val="24"/>
              </w:rPr>
              <w:t>项目采用低噪声设备，将噪声设备置于房间内，基础减震，风机安装隔声罩等措施以降低项目运行噪声对周围环境影响。PASG工艺采取地埋式污水处理，通过验收，项目噪声实现达标排放。</w:t>
            </w:r>
          </w:p>
          <w:p>
            <w:pPr>
              <w:pStyle w:val="2"/>
              <w:spacing w:before="0" w:after="0" w:line="360" w:lineRule="auto"/>
              <w:ind w:right="0" w:firstLine="482" w:firstLineChars="200"/>
              <w:rPr>
                <w:b/>
                <w:sz w:val="24"/>
                <w:szCs w:val="24"/>
              </w:rPr>
            </w:pPr>
            <w:r>
              <w:rPr>
                <w:b/>
                <w:sz w:val="24"/>
                <w:szCs w:val="24"/>
              </w:rPr>
              <w:t>（4）固废</w:t>
            </w:r>
          </w:p>
          <w:p>
            <w:pPr>
              <w:pStyle w:val="2"/>
              <w:spacing w:before="0" w:after="0" w:line="360" w:lineRule="auto"/>
              <w:ind w:right="0" w:firstLine="480" w:firstLineChars="200"/>
              <w:rPr>
                <w:bCs/>
                <w:sz w:val="24"/>
                <w:szCs w:val="24"/>
              </w:rPr>
            </w:pPr>
            <w:r>
              <w:rPr>
                <w:bCs/>
                <w:sz w:val="24"/>
                <w:szCs w:val="24"/>
              </w:rPr>
              <w:t>项目生活垃圾收集后交由环卫部门进行处理；格栅渣及沉砂经收集、简单脱水处理后，外运至当地生活垃圾处理场处置。污泥脱水后（含水量小于80%）交由渠县万晟同新环保科技有限公司进行无害化处置。项目危险废物经分类收集后交由成都兴蓉环保科技股份有限公司清运处置。</w:t>
            </w:r>
          </w:p>
          <w:p>
            <w:pPr>
              <w:pStyle w:val="2"/>
              <w:spacing w:before="0" w:after="0" w:line="360" w:lineRule="auto"/>
              <w:ind w:right="0" w:firstLine="482" w:firstLineChars="200"/>
              <w:rPr>
                <w:b/>
                <w:sz w:val="24"/>
                <w:szCs w:val="24"/>
              </w:rPr>
            </w:pPr>
            <w:r>
              <w:rPr>
                <w:b/>
                <w:sz w:val="24"/>
                <w:szCs w:val="24"/>
              </w:rPr>
              <w:t>根据《双龙污水处理厂例行监测（科检检字(2023)第04W0773号，见附件9）》结果可知，项目运营期间出水水质能够满足《城镇污水处理厂污染物排放标准》（GB18918-2002）一级A标准，厂界无组织氨、硫化氢、臭气浓度能满足《城镇污水处理厂污染物排放标准》（GB18918-2002）表4二级标准；项目运营期污染物实现达标排放。</w:t>
            </w:r>
          </w:p>
          <w:p>
            <w:pPr>
              <w:pStyle w:val="2"/>
              <w:spacing w:before="0" w:after="0" w:line="360" w:lineRule="auto"/>
              <w:ind w:right="0" w:firstLine="482" w:firstLineChars="200"/>
              <w:rPr>
                <w:b/>
                <w:sz w:val="24"/>
                <w:szCs w:val="24"/>
              </w:rPr>
            </w:pPr>
            <w:r>
              <w:rPr>
                <w:b/>
                <w:sz w:val="24"/>
                <w:szCs w:val="24"/>
              </w:rPr>
              <w:t>3、原有工程运行过程中存在的问题</w:t>
            </w:r>
          </w:p>
          <w:p>
            <w:pPr>
              <w:pStyle w:val="2"/>
              <w:spacing w:before="0" w:after="0" w:line="360" w:lineRule="auto"/>
              <w:ind w:right="0" w:firstLine="480" w:firstLineChars="200"/>
              <w:rPr>
                <w:bCs/>
                <w:sz w:val="24"/>
                <w:szCs w:val="24"/>
              </w:rPr>
            </w:pPr>
            <w:r>
              <w:rPr>
                <w:bCs/>
                <w:sz w:val="24"/>
                <w:szCs w:val="24"/>
              </w:rPr>
              <w:t>污水处理设施处理水量超过500m</w:t>
            </w:r>
            <w:r>
              <w:rPr>
                <w:bCs/>
                <w:sz w:val="24"/>
                <w:szCs w:val="24"/>
                <w:vertAlign w:val="superscript"/>
              </w:rPr>
              <w:t>3</w:t>
            </w:r>
            <w:r>
              <w:rPr>
                <w:bCs/>
                <w:sz w:val="24"/>
                <w:szCs w:val="24"/>
              </w:rPr>
              <w:t>/d的废水将不能达标排放。现有污水脱水设备老旧，脱水后的污泥不满足含水率小于80%的要求。</w:t>
            </w:r>
          </w:p>
          <w:p>
            <w:pPr>
              <w:pStyle w:val="2"/>
              <w:spacing w:before="0" w:after="0" w:line="360" w:lineRule="auto"/>
              <w:ind w:right="0" w:firstLine="480" w:firstLineChars="200"/>
              <w:rPr>
                <w:bCs/>
                <w:sz w:val="24"/>
                <w:szCs w:val="24"/>
              </w:rPr>
            </w:pPr>
            <w:r>
              <w:rPr>
                <w:bCs/>
                <w:sz w:val="24"/>
                <w:szCs w:val="24"/>
              </w:rPr>
              <w:t>整改措施：</w:t>
            </w:r>
            <w:r>
              <w:rPr>
                <w:bCs/>
                <w:sz w:val="24"/>
              </w:rPr>
              <w:t>在原厂区内空地部分增加一套一体化污水处理设备（设计处理能力1000t/d，工艺采用“AAO(MBBR)+沉淀池+微絮凝除磷D型滤池+紫外线消毒”），保留现有污水处理设施，当污水量超过1000m</w:t>
            </w:r>
            <w:r>
              <w:rPr>
                <w:bCs/>
                <w:sz w:val="24"/>
                <w:vertAlign w:val="superscript"/>
              </w:rPr>
              <w:t>3</w:t>
            </w:r>
            <w:r>
              <w:rPr>
                <w:bCs/>
                <w:sz w:val="24"/>
              </w:rPr>
              <w:t>/d时启用，现有污水处理设施污水处理量不能超过500m</w:t>
            </w:r>
            <w:r>
              <w:rPr>
                <w:bCs/>
                <w:sz w:val="24"/>
                <w:vertAlign w:val="superscript"/>
              </w:rPr>
              <w:t>3</w:t>
            </w:r>
            <w:r>
              <w:rPr>
                <w:bCs/>
                <w:sz w:val="24"/>
              </w:rPr>
              <w:t>/d；更换污水脱水设备，更换为叠螺压滤机；对厂区内产生的废气进行收集处理后有组织排放。</w:t>
            </w:r>
          </w:p>
        </w:tc>
      </w:tr>
    </w:tbl>
    <w:p>
      <w:pPr>
        <w:pStyle w:val="28"/>
        <w:jc w:val="center"/>
        <w:rPr>
          <w:rFonts w:ascii="Times New Roman" w:hAnsi="Times New Roman"/>
          <w:snapToGrid w:val="0"/>
          <w:sz w:val="36"/>
          <w:szCs w:val="36"/>
        </w:rPr>
        <w:sectPr>
          <w:pgSz w:w="11906" w:h="16838"/>
          <w:pgMar w:top="1701" w:right="1531" w:bottom="1701" w:left="1531" w:header="851" w:footer="851" w:gutter="0"/>
          <w:cols w:space="720" w:num="1"/>
          <w:docGrid w:linePitch="312" w:charSpace="0"/>
        </w:sectPr>
      </w:pPr>
    </w:p>
    <w:p>
      <w:pPr>
        <w:pStyle w:val="28"/>
        <w:jc w:val="center"/>
        <w:outlineLvl w:val="0"/>
        <w:rPr>
          <w:rFonts w:ascii="Times New Roman" w:hAnsi="Times New Roman"/>
          <w:snapToGrid w:val="0"/>
          <w:sz w:val="30"/>
          <w:szCs w:val="30"/>
        </w:rPr>
      </w:pPr>
      <w:bookmarkStart w:id="22" w:name="_Toc116207760"/>
      <w:r>
        <w:rPr>
          <w:rFonts w:ascii="Times New Roman" w:hAnsi="Times New Roman"/>
          <w:snapToGrid w:val="0"/>
          <w:sz w:val="30"/>
          <w:szCs w:val="30"/>
        </w:rPr>
        <w:t>三、区域环境质量现状、环境保护目标及评价标准</w:t>
      </w:r>
      <w:bookmarkEnd w:id="22"/>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83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396" w:type="pct"/>
            <w:noWrap w:val="0"/>
            <w:vAlign w:val="center"/>
          </w:tcPr>
          <w:p>
            <w:pPr>
              <w:adjustRightInd w:val="0"/>
              <w:snapToGrid w:val="0"/>
              <w:jc w:val="center"/>
              <w:rPr>
                <w:kern w:val="0"/>
                <w:szCs w:val="21"/>
              </w:rPr>
            </w:pPr>
            <w:r>
              <w:rPr>
                <w:kern w:val="0"/>
                <w:szCs w:val="21"/>
              </w:rPr>
              <w:t>区域</w:t>
            </w:r>
          </w:p>
          <w:p>
            <w:pPr>
              <w:adjustRightInd w:val="0"/>
              <w:snapToGrid w:val="0"/>
              <w:jc w:val="center"/>
              <w:rPr>
                <w:kern w:val="0"/>
                <w:szCs w:val="21"/>
              </w:rPr>
            </w:pPr>
            <w:r>
              <w:rPr>
                <w:kern w:val="0"/>
                <w:szCs w:val="21"/>
              </w:rPr>
              <w:t>环境</w:t>
            </w:r>
          </w:p>
          <w:p>
            <w:pPr>
              <w:adjustRightInd w:val="0"/>
              <w:snapToGrid w:val="0"/>
              <w:jc w:val="center"/>
              <w:rPr>
                <w:kern w:val="0"/>
                <w:szCs w:val="21"/>
              </w:rPr>
            </w:pPr>
            <w:r>
              <w:rPr>
                <w:kern w:val="0"/>
                <w:szCs w:val="21"/>
              </w:rPr>
              <w:t>质量</w:t>
            </w:r>
          </w:p>
          <w:p>
            <w:pPr>
              <w:adjustRightInd w:val="0"/>
              <w:snapToGrid w:val="0"/>
              <w:jc w:val="center"/>
              <w:rPr>
                <w:kern w:val="0"/>
                <w:szCs w:val="21"/>
              </w:rPr>
            </w:pPr>
            <w:r>
              <w:rPr>
                <w:kern w:val="0"/>
                <w:szCs w:val="21"/>
              </w:rPr>
              <w:t>现状</w:t>
            </w:r>
          </w:p>
        </w:tc>
        <w:tc>
          <w:tcPr>
            <w:tcW w:w="4604" w:type="pct"/>
            <w:noWrap w:val="0"/>
            <w:vAlign w:val="center"/>
          </w:tcPr>
          <w:p>
            <w:pPr>
              <w:adjustRightInd w:val="0"/>
              <w:snapToGrid w:val="0"/>
              <w:spacing w:line="360" w:lineRule="auto"/>
              <w:jc w:val="left"/>
              <w:rPr>
                <w:kern w:val="0"/>
                <w:sz w:val="24"/>
              </w:rPr>
            </w:pPr>
            <w:r>
              <w:rPr>
                <w:b/>
                <w:kern w:val="0"/>
                <w:sz w:val="24"/>
              </w:rPr>
              <w:t>一、大气环境质量现状</w:t>
            </w:r>
          </w:p>
          <w:p>
            <w:pPr>
              <w:spacing w:line="360" w:lineRule="auto"/>
              <w:ind w:firstLine="482" w:firstLineChars="200"/>
              <w:rPr>
                <w:b/>
                <w:bCs/>
                <w:sz w:val="24"/>
              </w:rPr>
            </w:pPr>
            <w:r>
              <w:rPr>
                <w:b/>
                <w:sz w:val="24"/>
              </w:rPr>
              <w:t>1、基本污染物环境质量现状</w:t>
            </w:r>
          </w:p>
          <w:p>
            <w:pPr>
              <w:spacing w:line="360" w:lineRule="auto"/>
              <w:ind w:firstLine="480" w:firstLineChars="200"/>
              <w:rPr>
                <w:sz w:val="24"/>
              </w:rPr>
            </w:pPr>
            <w:r>
              <w:rPr>
                <w:sz w:val="24"/>
              </w:rPr>
              <w:t>根据《建设项目环境影响评价技术导则-总纲》（HJ 2.1-2016）及《环境影响评价技术导则-大气环境》（HJ 2.2-2018）的要求，环境空气质量现状调查与评价中规定，项目所在区域达标判定，优先选用国家或地方生态环境主管部门公开发布的评价基准年环境质量公告或环境质量报告中的数据或结论。</w:t>
            </w:r>
          </w:p>
          <w:p>
            <w:pPr>
              <w:pStyle w:val="19"/>
              <w:spacing w:line="360" w:lineRule="auto"/>
              <w:ind w:firstLine="480" w:firstLineChars="200"/>
              <w:rPr>
                <w:rFonts w:ascii="Times New Roman"/>
                <w:sz w:val="24"/>
              </w:rPr>
            </w:pPr>
            <w:r>
              <w:rPr>
                <w:rFonts w:ascii="Times New Roman"/>
                <w:bCs/>
                <w:sz w:val="24"/>
              </w:rPr>
              <w:t>为了解项目所在区域环境空气常规指标达标情况，根据达州市生态环境局官方网站2023年1月18日发布的《达州市2022年环境空气质量》：</w:t>
            </w:r>
            <w:r>
              <w:rPr>
                <w:rFonts w:ascii="Times New Roman"/>
                <w:sz w:val="24"/>
              </w:rPr>
              <w:t>达州市市辖区空气质量状况——2022年SO</w:t>
            </w:r>
            <w:r>
              <w:rPr>
                <w:rFonts w:ascii="Times New Roman"/>
                <w:sz w:val="24"/>
                <w:vertAlign w:val="subscript"/>
              </w:rPr>
              <w:t>2</w:t>
            </w:r>
            <w:r>
              <w:rPr>
                <w:rFonts w:ascii="Times New Roman"/>
                <w:sz w:val="24"/>
              </w:rPr>
              <w:t>浓度通川区和达川区并列最高，均为8μg/m</w:t>
            </w:r>
            <w:r>
              <w:rPr>
                <w:rFonts w:ascii="Times New Roman"/>
                <w:sz w:val="24"/>
                <w:vertAlign w:val="superscript"/>
              </w:rPr>
              <w:t>3</w:t>
            </w:r>
            <w:r>
              <w:rPr>
                <w:rFonts w:ascii="Times New Roman"/>
                <w:sz w:val="24"/>
              </w:rPr>
              <w:t>，高新区最低，为7μg/m</w:t>
            </w:r>
            <w:r>
              <w:rPr>
                <w:rFonts w:ascii="Times New Roman"/>
                <w:sz w:val="24"/>
                <w:vertAlign w:val="superscript"/>
              </w:rPr>
              <w:t>3</w:t>
            </w:r>
            <w:r>
              <w:rPr>
                <w:rFonts w:ascii="Times New Roman"/>
                <w:sz w:val="24"/>
              </w:rPr>
              <w:t>；NO</w:t>
            </w:r>
            <w:r>
              <w:rPr>
                <w:rFonts w:ascii="Times New Roman"/>
                <w:sz w:val="24"/>
                <w:vertAlign w:val="subscript"/>
              </w:rPr>
              <w:t>2</w:t>
            </w:r>
            <w:r>
              <w:rPr>
                <w:rFonts w:ascii="Times New Roman"/>
                <w:sz w:val="24"/>
              </w:rPr>
              <w:t>浓度达川区最高，为38μg/m</w:t>
            </w:r>
            <w:r>
              <w:rPr>
                <w:rFonts w:ascii="Times New Roman"/>
                <w:sz w:val="24"/>
                <w:vertAlign w:val="superscript"/>
              </w:rPr>
              <w:t>3</w:t>
            </w:r>
            <w:r>
              <w:rPr>
                <w:rFonts w:ascii="Times New Roman"/>
                <w:sz w:val="24"/>
              </w:rPr>
              <w:t>，高新区最低，为19μg/m</w:t>
            </w:r>
            <w:r>
              <w:rPr>
                <w:rFonts w:ascii="Times New Roman"/>
                <w:sz w:val="24"/>
                <w:vertAlign w:val="superscript"/>
              </w:rPr>
              <w:t>3</w:t>
            </w:r>
            <w:r>
              <w:rPr>
                <w:rFonts w:ascii="Times New Roman"/>
                <w:sz w:val="24"/>
              </w:rPr>
              <w:t>；CO浓度达川区、通川区和高新川区并列最高，均为1.2mg/m</w:t>
            </w:r>
            <w:r>
              <w:rPr>
                <w:rFonts w:ascii="Times New Roman"/>
                <w:sz w:val="24"/>
                <w:vertAlign w:val="superscript"/>
              </w:rPr>
              <w:t>3</w:t>
            </w:r>
            <w:r>
              <w:rPr>
                <w:rFonts w:ascii="Times New Roman"/>
                <w:sz w:val="24"/>
              </w:rPr>
              <w:t>；O</w:t>
            </w:r>
            <w:r>
              <w:rPr>
                <w:rFonts w:ascii="Times New Roman"/>
                <w:sz w:val="24"/>
                <w:vertAlign w:val="subscript"/>
              </w:rPr>
              <w:t>3</w:t>
            </w:r>
            <w:r>
              <w:rPr>
                <w:rFonts w:ascii="Times New Roman"/>
                <w:sz w:val="24"/>
              </w:rPr>
              <w:t>浓度高新区最高，为130μg/m</w:t>
            </w:r>
            <w:r>
              <w:rPr>
                <w:rFonts w:ascii="Times New Roman"/>
                <w:sz w:val="24"/>
                <w:vertAlign w:val="superscript"/>
              </w:rPr>
              <w:t>3</w:t>
            </w:r>
            <w:r>
              <w:rPr>
                <w:rFonts w:ascii="Times New Roman"/>
                <w:sz w:val="24"/>
              </w:rPr>
              <w:t>，达川区最低，为112μg/m</w:t>
            </w:r>
            <w:r>
              <w:rPr>
                <w:rFonts w:ascii="Times New Roman"/>
                <w:sz w:val="24"/>
                <w:vertAlign w:val="superscript"/>
              </w:rPr>
              <w:t>3</w:t>
            </w:r>
            <w:r>
              <w:rPr>
                <w:rFonts w:ascii="Times New Roman"/>
                <w:sz w:val="24"/>
              </w:rPr>
              <w:t>；PM</w:t>
            </w:r>
            <w:r>
              <w:rPr>
                <w:rFonts w:ascii="Times New Roman"/>
                <w:sz w:val="24"/>
                <w:vertAlign w:val="subscript"/>
              </w:rPr>
              <w:t>2.5</w:t>
            </w:r>
            <w:r>
              <w:rPr>
                <w:rFonts w:ascii="Times New Roman"/>
                <w:sz w:val="24"/>
              </w:rPr>
              <w:t>浓度达川区最高，为31μg/m</w:t>
            </w:r>
            <w:r>
              <w:rPr>
                <w:rFonts w:ascii="Times New Roman"/>
                <w:sz w:val="24"/>
                <w:vertAlign w:val="superscript"/>
              </w:rPr>
              <w:t>3</w:t>
            </w:r>
            <w:r>
              <w:rPr>
                <w:rFonts w:ascii="Times New Roman"/>
                <w:sz w:val="24"/>
              </w:rPr>
              <w:t>，高新区最低，为26μg/m</w:t>
            </w:r>
            <w:r>
              <w:rPr>
                <w:rFonts w:ascii="Times New Roman"/>
                <w:sz w:val="24"/>
                <w:vertAlign w:val="superscript"/>
              </w:rPr>
              <w:t>3</w:t>
            </w:r>
            <w:r>
              <w:rPr>
                <w:rFonts w:ascii="Times New Roman"/>
                <w:sz w:val="24"/>
              </w:rPr>
              <w:t>；PM</w:t>
            </w:r>
            <w:r>
              <w:rPr>
                <w:rFonts w:ascii="Times New Roman"/>
                <w:sz w:val="24"/>
                <w:vertAlign w:val="subscript"/>
              </w:rPr>
              <w:t>10</w:t>
            </w:r>
            <w:r>
              <w:rPr>
                <w:rFonts w:ascii="Times New Roman"/>
                <w:sz w:val="24"/>
              </w:rPr>
              <w:t>浓度达川区最高，为53μg/m</w:t>
            </w:r>
            <w:r>
              <w:rPr>
                <w:rFonts w:ascii="Times New Roman"/>
                <w:sz w:val="24"/>
                <w:vertAlign w:val="superscript"/>
              </w:rPr>
              <w:t>3</w:t>
            </w:r>
            <w:r>
              <w:rPr>
                <w:rFonts w:ascii="Times New Roman"/>
                <w:sz w:val="24"/>
              </w:rPr>
              <w:t>，高新区最低，为42μg/m</w:t>
            </w:r>
            <w:r>
              <w:rPr>
                <w:rFonts w:ascii="Times New Roman"/>
                <w:sz w:val="24"/>
                <w:vertAlign w:val="superscript"/>
              </w:rPr>
              <w:t>3</w:t>
            </w:r>
            <w:r>
              <w:rPr>
                <w:rFonts w:ascii="Times New Roman"/>
                <w:sz w:val="24"/>
              </w:rPr>
              <w:t>。具体见下表：</w:t>
            </w:r>
          </w:p>
          <w:p>
            <w:pPr>
              <w:ind w:firstLine="422"/>
              <w:jc w:val="center"/>
              <w:rPr>
                <w:rFonts w:eastAsia="黑体"/>
                <w:bCs/>
                <w:sz w:val="24"/>
              </w:rPr>
            </w:pPr>
            <w:r>
              <w:rPr>
                <w:rFonts w:eastAsia="黑体"/>
                <w:bCs/>
                <w:sz w:val="24"/>
              </w:rPr>
              <w:t>表3-1   2022年通川县环境空气污染物现状评价表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055"/>
              <w:gridCol w:w="1884"/>
              <w:gridCol w:w="1327"/>
              <w:gridCol w:w="1231"/>
              <w:gridCol w:w="949"/>
              <w:gridCol w:w="829"/>
              <w:gridCol w:w="85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49" w:type="pct"/>
                  <w:shd w:val="clear" w:color="auto" w:fill="ACFCF8"/>
                  <w:noWrap w:val="0"/>
                  <w:vAlign w:val="center"/>
                </w:tcPr>
                <w:p>
                  <w:pPr>
                    <w:jc w:val="center"/>
                    <w:rPr>
                      <w:b/>
                      <w:szCs w:val="21"/>
                    </w:rPr>
                  </w:pPr>
                  <w:r>
                    <w:rPr>
                      <w:b/>
                      <w:szCs w:val="21"/>
                    </w:rPr>
                    <w:t>污染物</w:t>
                  </w:r>
                </w:p>
              </w:tc>
              <w:tc>
                <w:tcPr>
                  <w:tcW w:w="1159" w:type="pct"/>
                  <w:shd w:val="clear" w:color="auto" w:fill="ACFCF8"/>
                  <w:noWrap w:val="0"/>
                  <w:vAlign w:val="center"/>
                </w:tcPr>
                <w:p>
                  <w:pPr>
                    <w:jc w:val="center"/>
                    <w:rPr>
                      <w:b/>
                      <w:szCs w:val="21"/>
                    </w:rPr>
                  </w:pPr>
                  <w:r>
                    <w:rPr>
                      <w:b/>
                      <w:szCs w:val="21"/>
                    </w:rPr>
                    <w:t>年评价指标</w:t>
                  </w:r>
                </w:p>
              </w:tc>
              <w:tc>
                <w:tcPr>
                  <w:tcW w:w="816" w:type="pct"/>
                  <w:shd w:val="clear" w:color="auto" w:fill="ACFCF8"/>
                  <w:noWrap w:val="0"/>
                  <w:vAlign w:val="center"/>
                </w:tcPr>
                <w:p>
                  <w:pPr>
                    <w:jc w:val="center"/>
                    <w:rPr>
                      <w:b/>
                      <w:szCs w:val="21"/>
                    </w:rPr>
                  </w:pPr>
                  <w:r>
                    <w:rPr>
                      <w:b/>
                      <w:szCs w:val="21"/>
                    </w:rPr>
                    <w:t>现状浓度（μg/m</w:t>
                  </w:r>
                  <w:r>
                    <w:rPr>
                      <w:b/>
                      <w:szCs w:val="21"/>
                      <w:vertAlign w:val="superscript"/>
                    </w:rPr>
                    <w:t>3</w:t>
                  </w:r>
                  <w:r>
                    <w:rPr>
                      <w:b/>
                      <w:szCs w:val="21"/>
                    </w:rPr>
                    <w:t>）</w:t>
                  </w:r>
                </w:p>
              </w:tc>
              <w:tc>
                <w:tcPr>
                  <w:tcW w:w="757" w:type="pct"/>
                  <w:shd w:val="clear" w:color="auto" w:fill="ACFCF8"/>
                  <w:noWrap w:val="0"/>
                  <w:vAlign w:val="center"/>
                </w:tcPr>
                <w:p>
                  <w:pPr>
                    <w:jc w:val="center"/>
                    <w:rPr>
                      <w:b/>
                      <w:szCs w:val="21"/>
                    </w:rPr>
                  </w:pPr>
                  <w:r>
                    <w:rPr>
                      <w:b/>
                      <w:szCs w:val="21"/>
                    </w:rPr>
                    <w:t>标准值（μg/m</w:t>
                  </w:r>
                  <w:r>
                    <w:rPr>
                      <w:b/>
                      <w:szCs w:val="21"/>
                      <w:vertAlign w:val="superscript"/>
                    </w:rPr>
                    <w:t>3</w:t>
                  </w:r>
                  <w:r>
                    <w:rPr>
                      <w:b/>
                      <w:szCs w:val="21"/>
                    </w:rPr>
                    <w:t>）</w:t>
                  </w:r>
                </w:p>
              </w:tc>
              <w:tc>
                <w:tcPr>
                  <w:tcW w:w="584" w:type="pct"/>
                  <w:shd w:val="clear" w:color="auto" w:fill="ACFCF8"/>
                  <w:noWrap w:val="0"/>
                  <w:vAlign w:val="center"/>
                </w:tcPr>
                <w:p>
                  <w:pPr>
                    <w:jc w:val="center"/>
                    <w:rPr>
                      <w:b/>
                      <w:szCs w:val="21"/>
                    </w:rPr>
                  </w:pPr>
                  <w:r>
                    <w:rPr>
                      <w:b/>
                      <w:szCs w:val="21"/>
                    </w:rPr>
                    <w:t>占标率（%）</w:t>
                  </w:r>
                </w:p>
              </w:tc>
              <w:tc>
                <w:tcPr>
                  <w:tcW w:w="510" w:type="pct"/>
                  <w:shd w:val="clear" w:color="auto" w:fill="ACFCF8"/>
                  <w:noWrap w:val="0"/>
                  <w:vAlign w:val="center"/>
                </w:tcPr>
                <w:p>
                  <w:pPr>
                    <w:jc w:val="center"/>
                    <w:rPr>
                      <w:b/>
                      <w:szCs w:val="21"/>
                    </w:rPr>
                  </w:pPr>
                  <w:r>
                    <w:rPr>
                      <w:b/>
                      <w:szCs w:val="21"/>
                    </w:rPr>
                    <w:t>超标</w:t>
                  </w:r>
                </w:p>
                <w:p>
                  <w:pPr>
                    <w:jc w:val="center"/>
                    <w:rPr>
                      <w:b/>
                      <w:szCs w:val="21"/>
                    </w:rPr>
                  </w:pPr>
                  <w:r>
                    <w:rPr>
                      <w:b/>
                      <w:szCs w:val="21"/>
                    </w:rPr>
                    <w:t>倍数</w:t>
                  </w:r>
                </w:p>
              </w:tc>
              <w:tc>
                <w:tcPr>
                  <w:tcW w:w="524" w:type="pct"/>
                  <w:shd w:val="clear" w:color="auto" w:fill="ACFCF8"/>
                  <w:noWrap w:val="0"/>
                  <w:vAlign w:val="center"/>
                </w:tcPr>
                <w:p>
                  <w:pPr>
                    <w:jc w:val="center"/>
                    <w:rPr>
                      <w:b/>
                      <w:szCs w:val="21"/>
                    </w:rPr>
                  </w:pPr>
                  <w:r>
                    <w:rPr>
                      <w:b/>
                      <w:szCs w:val="21"/>
                    </w:rPr>
                    <w:t>达标情况</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49" w:type="pct"/>
                  <w:noWrap w:val="0"/>
                  <w:vAlign w:val="center"/>
                </w:tcPr>
                <w:p>
                  <w:pPr>
                    <w:jc w:val="center"/>
                    <w:rPr>
                      <w:szCs w:val="21"/>
                    </w:rPr>
                  </w:pPr>
                  <w:r>
                    <w:rPr>
                      <w:szCs w:val="21"/>
                    </w:rPr>
                    <w:t>SO</w:t>
                  </w:r>
                  <w:r>
                    <w:rPr>
                      <w:szCs w:val="21"/>
                      <w:vertAlign w:val="subscript"/>
                    </w:rPr>
                    <w:t>2</w:t>
                  </w:r>
                </w:p>
              </w:tc>
              <w:tc>
                <w:tcPr>
                  <w:tcW w:w="1159" w:type="pct"/>
                  <w:vMerge w:val="restart"/>
                  <w:noWrap w:val="0"/>
                  <w:vAlign w:val="center"/>
                </w:tcPr>
                <w:p>
                  <w:pPr>
                    <w:jc w:val="center"/>
                    <w:rPr>
                      <w:szCs w:val="21"/>
                    </w:rPr>
                  </w:pPr>
                  <w:r>
                    <w:rPr>
                      <w:szCs w:val="21"/>
                    </w:rPr>
                    <w:t>年平均质量浓度</w:t>
                  </w:r>
                </w:p>
              </w:tc>
              <w:tc>
                <w:tcPr>
                  <w:tcW w:w="816" w:type="pct"/>
                  <w:noWrap w:val="0"/>
                  <w:vAlign w:val="center"/>
                </w:tcPr>
                <w:p>
                  <w:pPr>
                    <w:jc w:val="center"/>
                    <w:rPr>
                      <w:szCs w:val="21"/>
                    </w:rPr>
                  </w:pPr>
                  <w:r>
                    <w:rPr>
                      <w:szCs w:val="21"/>
                    </w:rPr>
                    <w:t>8</w:t>
                  </w:r>
                </w:p>
              </w:tc>
              <w:tc>
                <w:tcPr>
                  <w:tcW w:w="757" w:type="pct"/>
                  <w:noWrap w:val="0"/>
                  <w:vAlign w:val="center"/>
                </w:tcPr>
                <w:p>
                  <w:pPr>
                    <w:jc w:val="center"/>
                    <w:rPr>
                      <w:szCs w:val="21"/>
                    </w:rPr>
                  </w:pPr>
                  <w:r>
                    <w:rPr>
                      <w:szCs w:val="21"/>
                    </w:rPr>
                    <w:t>60</w:t>
                  </w:r>
                </w:p>
              </w:tc>
              <w:tc>
                <w:tcPr>
                  <w:tcW w:w="584" w:type="pct"/>
                  <w:noWrap w:val="0"/>
                  <w:vAlign w:val="center"/>
                </w:tcPr>
                <w:p>
                  <w:pPr>
                    <w:jc w:val="center"/>
                    <w:rPr>
                      <w:szCs w:val="21"/>
                    </w:rPr>
                  </w:pPr>
                  <w:r>
                    <w:rPr>
                      <w:szCs w:val="21"/>
                    </w:rPr>
                    <w:t>13.3</w:t>
                  </w:r>
                </w:p>
              </w:tc>
              <w:tc>
                <w:tcPr>
                  <w:tcW w:w="510" w:type="pct"/>
                  <w:noWrap w:val="0"/>
                  <w:vAlign w:val="center"/>
                </w:tcPr>
                <w:p>
                  <w:pPr>
                    <w:jc w:val="center"/>
                    <w:rPr>
                      <w:szCs w:val="21"/>
                    </w:rPr>
                  </w:pPr>
                  <w:r>
                    <w:rPr>
                      <w:szCs w:val="21"/>
                    </w:rPr>
                    <w:t>0</w:t>
                  </w:r>
                </w:p>
              </w:tc>
              <w:tc>
                <w:tcPr>
                  <w:tcW w:w="524" w:type="pct"/>
                  <w:noWrap w:val="0"/>
                  <w:vAlign w:val="center"/>
                </w:tcPr>
                <w:p>
                  <w:pPr>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49" w:type="pct"/>
                  <w:noWrap w:val="0"/>
                  <w:vAlign w:val="center"/>
                </w:tcPr>
                <w:p>
                  <w:pPr>
                    <w:jc w:val="center"/>
                    <w:rPr>
                      <w:szCs w:val="21"/>
                    </w:rPr>
                  </w:pPr>
                  <w:r>
                    <w:rPr>
                      <w:szCs w:val="21"/>
                    </w:rPr>
                    <w:t>NO</w:t>
                  </w:r>
                  <w:r>
                    <w:rPr>
                      <w:szCs w:val="21"/>
                      <w:vertAlign w:val="subscript"/>
                    </w:rPr>
                    <w:t>2</w:t>
                  </w:r>
                </w:p>
              </w:tc>
              <w:tc>
                <w:tcPr>
                  <w:tcW w:w="1159" w:type="pct"/>
                  <w:vMerge w:val="continue"/>
                  <w:noWrap w:val="0"/>
                  <w:vAlign w:val="center"/>
                </w:tcPr>
                <w:p>
                  <w:pPr>
                    <w:jc w:val="center"/>
                    <w:rPr>
                      <w:szCs w:val="21"/>
                    </w:rPr>
                  </w:pPr>
                </w:p>
              </w:tc>
              <w:tc>
                <w:tcPr>
                  <w:tcW w:w="816" w:type="pct"/>
                  <w:noWrap w:val="0"/>
                  <w:vAlign w:val="center"/>
                </w:tcPr>
                <w:p>
                  <w:pPr>
                    <w:jc w:val="center"/>
                    <w:rPr>
                      <w:szCs w:val="21"/>
                    </w:rPr>
                  </w:pPr>
                  <w:r>
                    <w:rPr>
                      <w:szCs w:val="21"/>
                    </w:rPr>
                    <w:t>33</w:t>
                  </w:r>
                </w:p>
              </w:tc>
              <w:tc>
                <w:tcPr>
                  <w:tcW w:w="757" w:type="pct"/>
                  <w:noWrap w:val="0"/>
                  <w:vAlign w:val="center"/>
                </w:tcPr>
                <w:p>
                  <w:pPr>
                    <w:jc w:val="center"/>
                    <w:rPr>
                      <w:szCs w:val="21"/>
                    </w:rPr>
                  </w:pPr>
                  <w:r>
                    <w:rPr>
                      <w:szCs w:val="21"/>
                    </w:rPr>
                    <w:t>40</w:t>
                  </w:r>
                </w:p>
              </w:tc>
              <w:tc>
                <w:tcPr>
                  <w:tcW w:w="584" w:type="pct"/>
                  <w:noWrap w:val="0"/>
                  <w:vAlign w:val="center"/>
                </w:tcPr>
                <w:p>
                  <w:pPr>
                    <w:jc w:val="center"/>
                    <w:rPr>
                      <w:szCs w:val="21"/>
                    </w:rPr>
                  </w:pPr>
                  <w:r>
                    <w:rPr>
                      <w:szCs w:val="21"/>
                    </w:rPr>
                    <w:t>82.5</w:t>
                  </w:r>
                </w:p>
              </w:tc>
              <w:tc>
                <w:tcPr>
                  <w:tcW w:w="510" w:type="pct"/>
                  <w:noWrap w:val="0"/>
                  <w:vAlign w:val="center"/>
                </w:tcPr>
                <w:p>
                  <w:pPr>
                    <w:jc w:val="center"/>
                    <w:rPr>
                      <w:szCs w:val="21"/>
                    </w:rPr>
                  </w:pPr>
                  <w:r>
                    <w:rPr>
                      <w:szCs w:val="21"/>
                    </w:rPr>
                    <w:t>0</w:t>
                  </w:r>
                </w:p>
              </w:tc>
              <w:tc>
                <w:tcPr>
                  <w:tcW w:w="524" w:type="pct"/>
                  <w:noWrap w:val="0"/>
                  <w:vAlign w:val="center"/>
                </w:tcPr>
                <w:p>
                  <w:pPr>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98" w:hRule="atLeast"/>
                <w:jc w:val="center"/>
              </w:trPr>
              <w:tc>
                <w:tcPr>
                  <w:tcW w:w="649" w:type="pct"/>
                  <w:noWrap w:val="0"/>
                  <w:vAlign w:val="center"/>
                </w:tcPr>
                <w:p>
                  <w:pPr>
                    <w:jc w:val="center"/>
                    <w:rPr>
                      <w:szCs w:val="21"/>
                    </w:rPr>
                  </w:pPr>
                  <w:r>
                    <w:rPr>
                      <w:szCs w:val="21"/>
                    </w:rPr>
                    <w:t>PM</w:t>
                  </w:r>
                  <w:r>
                    <w:rPr>
                      <w:szCs w:val="21"/>
                      <w:vertAlign w:val="subscript"/>
                    </w:rPr>
                    <w:t>10</w:t>
                  </w:r>
                </w:p>
              </w:tc>
              <w:tc>
                <w:tcPr>
                  <w:tcW w:w="1159" w:type="pct"/>
                  <w:vMerge w:val="continue"/>
                  <w:noWrap w:val="0"/>
                  <w:vAlign w:val="center"/>
                </w:tcPr>
                <w:p>
                  <w:pPr>
                    <w:jc w:val="center"/>
                    <w:rPr>
                      <w:szCs w:val="21"/>
                    </w:rPr>
                  </w:pPr>
                </w:p>
              </w:tc>
              <w:tc>
                <w:tcPr>
                  <w:tcW w:w="816" w:type="pct"/>
                  <w:noWrap w:val="0"/>
                  <w:vAlign w:val="center"/>
                </w:tcPr>
                <w:p>
                  <w:pPr>
                    <w:jc w:val="center"/>
                    <w:rPr>
                      <w:szCs w:val="21"/>
                    </w:rPr>
                  </w:pPr>
                  <w:r>
                    <w:rPr>
                      <w:szCs w:val="21"/>
                    </w:rPr>
                    <w:t>48</w:t>
                  </w:r>
                </w:p>
              </w:tc>
              <w:tc>
                <w:tcPr>
                  <w:tcW w:w="757" w:type="pct"/>
                  <w:noWrap w:val="0"/>
                  <w:vAlign w:val="center"/>
                </w:tcPr>
                <w:p>
                  <w:pPr>
                    <w:jc w:val="center"/>
                    <w:rPr>
                      <w:szCs w:val="21"/>
                    </w:rPr>
                  </w:pPr>
                  <w:r>
                    <w:rPr>
                      <w:szCs w:val="21"/>
                    </w:rPr>
                    <w:t>70</w:t>
                  </w:r>
                </w:p>
              </w:tc>
              <w:tc>
                <w:tcPr>
                  <w:tcW w:w="584" w:type="pct"/>
                  <w:noWrap w:val="0"/>
                  <w:vAlign w:val="center"/>
                </w:tcPr>
                <w:p>
                  <w:pPr>
                    <w:jc w:val="center"/>
                    <w:rPr>
                      <w:szCs w:val="21"/>
                    </w:rPr>
                  </w:pPr>
                  <w:r>
                    <w:rPr>
                      <w:szCs w:val="21"/>
                    </w:rPr>
                    <w:t>68.6</w:t>
                  </w:r>
                </w:p>
              </w:tc>
              <w:tc>
                <w:tcPr>
                  <w:tcW w:w="510" w:type="pct"/>
                  <w:noWrap w:val="0"/>
                  <w:vAlign w:val="center"/>
                </w:tcPr>
                <w:p>
                  <w:pPr>
                    <w:jc w:val="center"/>
                    <w:rPr>
                      <w:szCs w:val="21"/>
                    </w:rPr>
                  </w:pPr>
                  <w:r>
                    <w:rPr>
                      <w:szCs w:val="21"/>
                    </w:rPr>
                    <w:t>0</w:t>
                  </w:r>
                </w:p>
              </w:tc>
              <w:tc>
                <w:tcPr>
                  <w:tcW w:w="524" w:type="pct"/>
                  <w:noWrap w:val="0"/>
                  <w:vAlign w:val="center"/>
                </w:tcPr>
                <w:p>
                  <w:pPr>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49" w:type="pct"/>
                  <w:noWrap w:val="0"/>
                  <w:vAlign w:val="center"/>
                </w:tcPr>
                <w:p>
                  <w:pPr>
                    <w:jc w:val="center"/>
                    <w:rPr>
                      <w:szCs w:val="21"/>
                    </w:rPr>
                  </w:pPr>
                  <w:r>
                    <w:rPr>
                      <w:szCs w:val="21"/>
                    </w:rPr>
                    <w:t>PM</w:t>
                  </w:r>
                  <w:r>
                    <w:rPr>
                      <w:szCs w:val="21"/>
                      <w:vertAlign w:val="subscript"/>
                    </w:rPr>
                    <w:t>2.5</w:t>
                  </w:r>
                </w:p>
              </w:tc>
              <w:tc>
                <w:tcPr>
                  <w:tcW w:w="1159" w:type="pct"/>
                  <w:vMerge w:val="continue"/>
                  <w:noWrap w:val="0"/>
                  <w:vAlign w:val="center"/>
                </w:tcPr>
                <w:p>
                  <w:pPr>
                    <w:jc w:val="center"/>
                    <w:rPr>
                      <w:szCs w:val="21"/>
                    </w:rPr>
                  </w:pPr>
                </w:p>
              </w:tc>
              <w:tc>
                <w:tcPr>
                  <w:tcW w:w="816" w:type="pct"/>
                  <w:noWrap w:val="0"/>
                  <w:vAlign w:val="center"/>
                </w:tcPr>
                <w:p>
                  <w:pPr>
                    <w:jc w:val="center"/>
                    <w:rPr>
                      <w:szCs w:val="21"/>
                    </w:rPr>
                  </w:pPr>
                  <w:r>
                    <w:rPr>
                      <w:szCs w:val="21"/>
                    </w:rPr>
                    <w:t>30</w:t>
                  </w:r>
                </w:p>
              </w:tc>
              <w:tc>
                <w:tcPr>
                  <w:tcW w:w="757" w:type="pct"/>
                  <w:noWrap w:val="0"/>
                  <w:vAlign w:val="center"/>
                </w:tcPr>
                <w:p>
                  <w:pPr>
                    <w:jc w:val="center"/>
                    <w:rPr>
                      <w:szCs w:val="21"/>
                    </w:rPr>
                  </w:pPr>
                  <w:r>
                    <w:rPr>
                      <w:szCs w:val="21"/>
                    </w:rPr>
                    <w:t>35</w:t>
                  </w:r>
                </w:p>
              </w:tc>
              <w:tc>
                <w:tcPr>
                  <w:tcW w:w="584" w:type="pct"/>
                  <w:noWrap w:val="0"/>
                  <w:vAlign w:val="center"/>
                </w:tcPr>
                <w:p>
                  <w:pPr>
                    <w:jc w:val="center"/>
                    <w:rPr>
                      <w:szCs w:val="21"/>
                    </w:rPr>
                  </w:pPr>
                  <w:r>
                    <w:rPr>
                      <w:szCs w:val="21"/>
                    </w:rPr>
                    <w:t>85.7</w:t>
                  </w:r>
                </w:p>
              </w:tc>
              <w:tc>
                <w:tcPr>
                  <w:tcW w:w="510" w:type="pct"/>
                  <w:noWrap w:val="0"/>
                  <w:vAlign w:val="center"/>
                </w:tcPr>
                <w:p>
                  <w:pPr>
                    <w:jc w:val="center"/>
                    <w:rPr>
                      <w:szCs w:val="21"/>
                    </w:rPr>
                  </w:pPr>
                  <w:r>
                    <w:rPr>
                      <w:szCs w:val="21"/>
                    </w:rPr>
                    <w:t>0</w:t>
                  </w:r>
                </w:p>
              </w:tc>
              <w:tc>
                <w:tcPr>
                  <w:tcW w:w="524" w:type="pct"/>
                  <w:noWrap w:val="0"/>
                  <w:vAlign w:val="center"/>
                </w:tcPr>
                <w:p>
                  <w:pPr>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49" w:type="pct"/>
                  <w:noWrap w:val="0"/>
                  <w:vAlign w:val="center"/>
                </w:tcPr>
                <w:p>
                  <w:pPr>
                    <w:jc w:val="center"/>
                    <w:rPr>
                      <w:szCs w:val="21"/>
                    </w:rPr>
                  </w:pPr>
                  <w:r>
                    <w:rPr>
                      <w:szCs w:val="21"/>
                    </w:rPr>
                    <w:t>CO</w:t>
                  </w:r>
                </w:p>
              </w:tc>
              <w:tc>
                <w:tcPr>
                  <w:tcW w:w="1159" w:type="pct"/>
                  <w:noWrap w:val="0"/>
                  <w:vAlign w:val="center"/>
                </w:tcPr>
                <w:p>
                  <w:pPr>
                    <w:jc w:val="center"/>
                    <w:rPr>
                      <w:szCs w:val="21"/>
                    </w:rPr>
                  </w:pPr>
                  <w:r>
                    <w:rPr>
                      <w:szCs w:val="21"/>
                    </w:rPr>
                    <w:t>日均浓度的第95百分位数</w:t>
                  </w:r>
                </w:p>
              </w:tc>
              <w:tc>
                <w:tcPr>
                  <w:tcW w:w="816" w:type="pct"/>
                  <w:noWrap w:val="0"/>
                  <w:vAlign w:val="center"/>
                </w:tcPr>
                <w:p>
                  <w:pPr>
                    <w:jc w:val="center"/>
                    <w:rPr>
                      <w:szCs w:val="21"/>
                    </w:rPr>
                  </w:pPr>
                  <w:r>
                    <w:rPr>
                      <w:szCs w:val="21"/>
                    </w:rPr>
                    <w:t>1.2（mg/m</w:t>
                  </w:r>
                  <w:r>
                    <w:rPr>
                      <w:szCs w:val="21"/>
                      <w:vertAlign w:val="superscript"/>
                    </w:rPr>
                    <w:t>3</w:t>
                  </w:r>
                  <w:r>
                    <w:rPr>
                      <w:szCs w:val="21"/>
                    </w:rPr>
                    <w:t>）</w:t>
                  </w:r>
                </w:p>
              </w:tc>
              <w:tc>
                <w:tcPr>
                  <w:tcW w:w="757" w:type="pct"/>
                  <w:noWrap w:val="0"/>
                  <w:vAlign w:val="center"/>
                </w:tcPr>
                <w:p>
                  <w:pPr>
                    <w:jc w:val="center"/>
                    <w:rPr>
                      <w:szCs w:val="21"/>
                    </w:rPr>
                  </w:pPr>
                  <w:r>
                    <w:rPr>
                      <w:szCs w:val="21"/>
                    </w:rPr>
                    <w:t>4（mg/m</w:t>
                  </w:r>
                  <w:r>
                    <w:rPr>
                      <w:szCs w:val="21"/>
                      <w:vertAlign w:val="superscript"/>
                    </w:rPr>
                    <w:t>3</w:t>
                  </w:r>
                  <w:r>
                    <w:rPr>
                      <w:szCs w:val="21"/>
                    </w:rPr>
                    <w:t>）</w:t>
                  </w:r>
                </w:p>
              </w:tc>
              <w:tc>
                <w:tcPr>
                  <w:tcW w:w="584" w:type="pct"/>
                  <w:noWrap w:val="0"/>
                  <w:vAlign w:val="center"/>
                </w:tcPr>
                <w:p>
                  <w:pPr>
                    <w:jc w:val="center"/>
                    <w:rPr>
                      <w:szCs w:val="21"/>
                    </w:rPr>
                  </w:pPr>
                  <w:r>
                    <w:rPr>
                      <w:szCs w:val="21"/>
                    </w:rPr>
                    <w:t>30</w:t>
                  </w:r>
                </w:p>
              </w:tc>
              <w:tc>
                <w:tcPr>
                  <w:tcW w:w="510" w:type="pct"/>
                  <w:noWrap w:val="0"/>
                  <w:vAlign w:val="center"/>
                </w:tcPr>
                <w:p>
                  <w:pPr>
                    <w:jc w:val="center"/>
                    <w:rPr>
                      <w:szCs w:val="21"/>
                    </w:rPr>
                  </w:pPr>
                  <w:r>
                    <w:rPr>
                      <w:szCs w:val="21"/>
                    </w:rPr>
                    <w:t>0</w:t>
                  </w:r>
                </w:p>
              </w:tc>
              <w:tc>
                <w:tcPr>
                  <w:tcW w:w="524" w:type="pct"/>
                  <w:noWrap w:val="0"/>
                  <w:vAlign w:val="center"/>
                </w:tcPr>
                <w:p>
                  <w:pPr>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49" w:type="pct"/>
                  <w:noWrap w:val="0"/>
                  <w:vAlign w:val="center"/>
                </w:tcPr>
                <w:p>
                  <w:pPr>
                    <w:jc w:val="center"/>
                    <w:rPr>
                      <w:szCs w:val="21"/>
                    </w:rPr>
                  </w:pPr>
                  <w:r>
                    <w:rPr>
                      <w:szCs w:val="21"/>
                    </w:rPr>
                    <w:t>O</w:t>
                  </w:r>
                  <w:r>
                    <w:rPr>
                      <w:szCs w:val="21"/>
                      <w:vertAlign w:val="subscript"/>
                    </w:rPr>
                    <w:t>3</w:t>
                  </w:r>
                </w:p>
              </w:tc>
              <w:tc>
                <w:tcPr>
                  <w:tcW w:w="1159" w:type="pct"/>
                  <w:noWrap w:val="0"/>
                  <w:vAlign w:val="center"/>
                </w:tcPr>
                <w:p>
                  <w:pPr>
                    <w:jc w:val="center"/>
                    <w:rPr>
                      <w:szCs w:val="21"/>
                    </w:rPr>
                  </w:pPr>
                  <w:r>
                    <w:rPr>
                      <w:szCs w:val="21"/>
                    </w:rPr>
                    <w:t>日最大8h评价浓度的第90百分位</w:t>
                  </w:r>
                </w:p>
              </w:tc>
              <w:tc>
                <w:tcPr>
                  <w:tcW w:w="816" w:type="pct"/>
                  <w:noWrap w:val="0"/>
                  <w:vAlign w:val="center"/>
                </w:tcPr>
                <w:p>
                  <w:pPr>
                    <w:jc w:val="center"/>
                    <w:rPr>
                      <w:szCs w:val="21"/>
                    </w:rPr>
                  </w:pPr>
                  <w:r>
                    <w:rPr>
                      <w:szCs w:val="21"/>
                    </w:rPr>
                    <w:t>118</w:t>
                  </w:r>
                </w:p>
              </w:tc>
              <w:tc>
                <w:tcPr>
                  <w:tcW w:w="757" w:type="pct"/>
                  <w:noWrap w:val="0"/>
                  <w:vAlign w:val="center"/>
                </w:tcPr>
                <w:p>
                  <w:pPr>
                    <w:jc w:val="center"/>
                    <w:rPr>
                      <w:szCs w:val="21"/>
                    </w:rPr>
                  </w:pPr>
                  <w:r>
                    <w:rPr>
                      <w:szCs w:val="21"/>
                    </w:rPr>
                    <w:t>160</w:t>
                  </w:r>
                </w:p>
              </w:tc>
              <w:tc>
                <w:tcPr>
                  <w:tcW w:w="584" w:type="pct"/>
                  <w:noWrap w:val="0"/>
                  <w:vAlign w:val="center"/>
                </w:tcPr>
                <w:p>
                  <w:pPr>
                    <w:jc w:val="center"/>
                    <w:rPr>
                      <w:szCs w:val="21"/>
                    </w:rPr>
                  </w:pPr>
                  <w:r>
                    <w:rPr>
                      <w:szCs w:val="21"/>
                    </w:rPr>
                    <w:t>73.8</w:t>
                  </w:r>
                </w:p>
              </w:tc>
              <w:tc>
                <w:tcPr>
                  <w:tcW w:w="510" w:type="pct"/>
                  <w:noWrap w:val="0"/>
                  <w:vAlign w:val="center"/>
                </w:tcPr>
                <w:p>
                  <w:pPr>
                    <w:jc w:val="center"/>
                    <w:rPr>
                      <w:szCs w:val="21"/>
                    </w:rPr>
                  </w:pPr>
                  <w:r>
                    <w:rPr>
                      <w:szCs w:val="21"/>
                    </w:rPr>
                    <w:t>0</w:t>
                  </w:r>
                </w:p>
              </w:tc>
              <w:tc>
                <w:tcPr>
                  <w:tcW w:w="524" w:type="pct"/>
                  <w:noWrap w:val="0"/>
                  <w:vAlign w:val="center"/>
                </w:tcPr>
                <w:p>
                  <w:pPr>
                    <w:jc w:val="center"/>
                    <w:rPr>
                      <w:szCs w:val="21"/>
                    </w:rPr>
                  </w:pPr>
                  <w:r>
                    <w:rPr>
                      <w:szCs w:val="21"/>
                    </w:rPr>
                    <w:t>达标</w:t>
                  </w:r>
                </w:p>
              </w:tc>
            </w:tr>
          </w:tbl>
          <w:p>
            <w:pPr>
              <w:spacing w:line="360" w:lineRule="auto"/>
              <w:ind w:firstLine="480" w:firstLineChars="200"/>
              <w:rPr>
                <w:sz w:val="24"/>
              </w:rPr>
            </w:pPr>
            <w:r>
              <w:rPr>
                <w:sz w:val="24"/>
              </w:rPr>
              <w:t>项目位于达州市通川区，根据《2022年达州市环境状况公报》可知，项目所在地达州市通川区</w:t>
            </w:r>
            <w:r>
              <w:rPr>
                <w:b/>
                <w:bCs/>
                <w:sz w:val="24"/>
                <w:u w:val="single"/>
              </w:rPr>
              <w:t>属于达标区</w:t>
            </w:r>
            <w:r>
              <w:rPr>
                <w:sz w:val="24"/>
              </w:rPr>
              <w:t>。</w:t>
            </w:r>
          </w:p>
          <w:p>
            <w:pPr>
              <w:adjustRightInd w:val="0"/>
              <w:snapToGrid w:val="0"/>
              <w:spacing w:line="360" w:lineRule="auto"/>
              <w:ind w:firstLine="482" w:firstLineChars="200"/>
              <w:rPr>
                <w:b/>
                <w:sz w:val="24"/>
              </w:rPr>
            </w:pPr>
            <w:r>
              <w:rPr>
                <w:b/>
                <w:sz w:val="24"/>
              </w:rPr>
              <w:t>2、特征污染物环境质量现状</w:t>
            </w:r>
          </w:p>
          <w:p>
            <w:pPr>
              <w:adjustRightInd w:val="0"/>
              <w:snapToGrid w:val="0"/>
              <w:spacing w:line="360" w:lineRule="auto"/>
              <w:ind w:firstLine="480" w:firstLineChars="200"/>
              <w:rPr>
                <w:bCs/>
                <w:sz w:val="24"/>
              </w:rPr>
            </w:pPr>
            <w:r>
              <w:rPr>
                <w:bCs/>
                <w:sz w:val="24"/>
              </w:rPr>
              <w:t>为进一步了解本项目所在区域大气环境质量现状，项目引用《东岳镇污水处理厂改扩建项目检测报告》（YNX202307150检01号）中大气监测数据，监测点位位于本项目东北侧约4.57km，监测时间为2023.7.8~2023.7.10，满足引用要求。具体监测情况如下：</w:t>
            </w:r>
          </w:p>
          <w:p>
            <w:pPr>
              <w:adjustRightInd w:val="0"/>
              <w:snapToGrid w:val="0"/>
              <w:spacing w:line="360" w:lineRule="auto"/>
              <w:ind w:firstLine="480" w:firstLineChars="200"/>
              <w:rPr>
                <w:bCs/>
                <w:sz w:val="24"/>
              </w:rPr>
            </w:pPr>
            <w:r>
              <w:rPr>
                <w:bCs/>
                <w:sz w:val="24"/>
              </w:rPr>
              <w:t>（1）监测点位及内容</w:t>
            </w:r>
          </w:p>
          <w:p>
            <w:pPr>
              <w:adjustRightInd w:val="0"/>
              <w:snapToGrid w:val="0"/>
              <w:spacing w:line="360" w:lineRule="auto"/>
              <w:ind w:firstLine="480" w:firstLineChars="200"/>
              <w:rPr>
                <w:bCs/>
                <w:sz w:val="24"/>
              </w:rPr>
            </w:pPr>
            <w:r>
              <w:rPr>
                <w:bCs/>
                <w:sz w:val="24"/>
              </w:rPr>
              <w:t>监测布点见下表。</w:t>
            </w:r>
          </w:p>
          <w:p>
            <w:pPr>
              <w:pStyle w:val="287"/>
              <w:ind w:firstLine="480"/>
              <w:jc w:val="center"/>
              <w:rPr>
                <w:color w:val="auto"/>
              </w:rPr>
            </w:pPr>
            <w:r>
              <w:rPr>
                <w:color w:val="auto"/>
              </w:rPr>
              <w:t>表3-1    厂址周围环境空气现状监测内容一览表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63"/>
              <w:gridCol w:w="3483"/>
              <w:gridCol w:w="1157"/>
              <w:gridCol w:w="18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8" w:hRule="atLeast"/>
                <w:jc w:val="center"/>
              </w:trPr>
              <w:tc>
                <w:tcPr>
                  <w:tcW w:w="1023" w:type="pct"/>
                  <w:shd w:val="clear" w:color="auto" w:fill="CCFFFF"/>
                  <w:noWrap w:val="0"/>
                  <w:vAlign w:val="center"/>
                </w:tcPr>
                <w:p>
                  <w:pPr>
                    <w:pStyle w:val="289"/>
                    <w:spacing w:line="240" w:lineRule="atLeast"/>
                    <w:rPr>
                      <w:b/>
                      <w:color w:val="auto"/>
                    </w:rPr>
                  </w:pPr>
                  <w:r>
                    <w:rPr>
                      <w:b/>
                      <w:color w:val="auto"/>
                    </w:rPr>
                    <w:t>监测点编号</w:t>
                  </w:r>
                </w:p>
              </w:tc>
              <w:tc>
                <w:tcPr>
                  <w:tcW w:w="2143" w:type="pct"/>
                  <w:shd w:val="clear" w:color="auto" w:fill="CCFFFF"/>
                  <w:noWrap w:val="0"/>
                  <w:vAlign w:val="center"/>
                </w:tcPr>
                <w:p>
                  <w:pPr>
                    <w:pStyle w:val="289"/>
                    <w:spacing w:line="240" w:lineRule="atLeast"/>
                    <w:rPr>
                      <w:b/>
                      <w:color w:val="auto"/>
                    </w:rPr>
                  </w:pPr>
                  <w:r>
                    <w:rPr>
                      <w:b/>
                      <w:color w:val="auto"/>
                    </w:rPr>
                    <w:t>监测点名称</w:t>
                  </w:r>
                </w:p>
              </w:tc>
              <w:tc>
                <w:tcPr>
                  <w:tcW w:w="712" w:type="pct"/>
                  <w:shd w:val="clear" w:color="auto" w:fill="CCFFFF"/>
                  <w:noWrap w:val="0"/>
                  <w:vAlign w:val="center"/>
                </w:tcPr>
                <w:p>
                  <w:pPr>
                    <w:pStyle w:val="289"/>
                    <w:spacing w:line="240" w:lineRule="atLeast"/>
                    <w:rPr>
                      <w:b/>
                      <w:color w:val="auto"/>
                    </w:rPr>
                  </w:pPr>
                  <w:r>
                    <w:rPr>
                      <w:b/>
                      <w:color w:val="auto"/>
                    </w:rPr>
                    <w:t>方位</w:t>
                  </w:r>
                </w:p>
              </w:tc>
              <w:tc>
                <w:tcPr>
                  <w:tcW w:w="1122" w:type="pct"/>
                  <w:shd w:val="clear" w:color="auto" w:fill="CCFFFF"/>
                  <w:noWrap w:val="0"/>
                  <w:vAlign w:val="center"/>
                </w:tcPr>
                <w:p>
                  <w:pPr>
                    <w:pStyle w:val="289"/>
                    <w:spacing w:line="240" w:lineRule="atLeast"/>
                    <w:rPr>
                      <w:b/>
                      <w:color w:val="auto"/>
                    </w:rPr>
                  </w:pPr>
                  <w:r>
                    <w:rPr>
                      <w:b/>
                      <w:color w:val="auto"/>
                    </w:rPr>
                    <w:t>监测内容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023" w:type="pct"/>
                  <w:noWrap w:val="0"/>
                  <w:vAlign w:val="center"/>
                </w:tcPr>
                <w:p>
                  <w:pPr>
                    <w:pStyle w:val="289"/>
                    <w:spacing w:line="240" w:lineRule="atLeast"/>
                    <w:rPr>
                      <w:color w:val="auto"/>
                    </w:rPr>
                  </w:pPr>
                  <w:r>
                    <w:rPr>
                      <w:color w:val="auto"/>
                    </w:rPr>
                    <w:t>1#</w:t>
                  </w:r>
                </w:p>
              </w:tc>
              <w:tc>
                <w:tcPr>
                  <w:tcW w:w="2143" w:type="pct"/>
                  <w:noWrap w:val="0"/>
                  <w:vAlign w:val="center"/>
                </w:tcPr>
                <w:p>
                  <w:pPr>
                    <w:autoSpaceDE w:val="0"/>
                    <w:autoSpaceDN w:val="0"/>
                    <w:adjustRightInd w:val="0"/>
                    <w:jc w:val="center"/>
                    <w:rPr>
                      <w:szCs w:val="21"/>
                    </w:rPr>
                  </w:pPr>
                  <w:r>
                    <w:rPr>
                      <w:bCs/>
                      <w:kern w:val="0"/>
                      <w:szCs w:val="21"/>
                    </w:rPr>
                    <w:t>污水处理厂厂界外东北侧4.57km处</w:t>
                  </w:r>
                </w:p>
              </w:tc>
              <w:tc>
                <w:tcPr>
                  <w:tcW w:w="712" w:type="pct"/>
                  <w:noWrap w:val="0"/>
                  <w:vAlign w:val="center"/>
                </w:tcPr>
                <w:p>
                  <w:pPr>
                    <w:spacing w:line="240" w:lineRule="atLeast"/>
                    <w:jc w:val="center"/>
                    <w:rPr>
                      <w:szCs w:val="21"/>
                    </w:rPr>
                  </w:pPr>
                  <w:r>
                    <w:rPr>
                      <w:szCs w:val="21"/>
                    </w:rPr>
                    <w:t>厂区外</w:t>
                  </w:r>
                </w:p>
              </w:tc>
              <w:tc>
                <w:tcPr>
                  <w:tcW w:w="1122" w:type="pct"/>
                  <w:noWrap w:val="0"/>
                  <w:vAlign w:val="center"/>
                </w:tcPr>
                <w:p>
                  <w:pPr>
                    <w:pStyle w:val="289"/>
                    <w:spacing w:line="240" w:lineRule="atLeast"/>
                    <w:rPr>
                      <w:color w:val="auto"/>
                    </w:rPr>
                  </w:pPr>
                  <w:r>
                    <w:rPr>
                      <w:color w:val="auto"/>
                    </w:rPr>
                    <w:t>H</w:t>
                  </w:r>
                  <w:r>
                    <w:rPr>
                      <w:color w:val="auto"/>
                      <w:vertAlign w:val="subscript"/>
                    </w:rPr>
                    <w:t>2</w:t>
                  </w:r>
                  <w:r>
                    <w:rPr>
                      <w:color w:val="auto"/>
                    </w:rPr>
                    <w:t>S、NH</w:t>
                  </w:r>
                  <w:r>
                    <w:rPr>
                      <w:color w:val="auto"/>
                      <w:vertAlign w:val="subscript"/>
                    </w:rPr>
                    <w:t>3</w:t>
                  </w:r>
                  <w:r>
                    <w:rPr>
                      <w:color w:val="auto"/>
                    </w:rPr>
                    <w:t>、TSP</w:t>
                  </w:r>
                </w:p>
              </w:tc>
            </w:tr>
          </w:tbl>
          <w:p>
            <w:pPr>
              <w:adjustRightInd w:val="0"/>
              <w:snapToGrid w:val="0"/>
              <w:spacing w:line="360" w:lineRule="auto"/>
              <w:ind w:firstLine="480" w:firstLineChars="200"/>
              <w:rPr>
                <w:bCs/>
                <w:sz w:val="24"/>
              </w:rPr>
            </w:pPr>
            <w:r>
              <w:rPr>
                <w:bCs/>
                <w:sz w:val="24"/>
              </w:rPr>
              <w:t>（2）监测时间及频率</w:t>
            </w:r>
          </w:p>
          <w:p>
            <w:pPr>
              <w:adjustRightInd w:val="0"/>
              <w:snapToGrid w:val="0"/>
              <w:spacing w:line="360" w:lineRule="auto"/>
              <w:ind w:firstLine="480" w:firstLineChars="200"/>
              <w:rPr>
                <w:bCs/>
                <w:sz w:val="24"/>
              </w:rPr>
            </w:pPr>
            <w:r>
              <w:rPr>
                <w:bCs/>
                <w:sz w:val="24"/>
              </w:rPr>
              <w:t>连续监测3天；氨、硫化氢每天监测4次，监测1小时平均值；TSP监测24小时平均值。</w:t>
            </w:r>
          </w:p>
          <w:p>
            <w:pPr>
              <w:adjustRightInd w:val="0"/>
              <w:snapToGrid w:val="0"/>
              <w:spacing w:line="360" w:lineRule="auto"/>
              <w:ind w:firstLine="480" w:firstLineChars="200"/>
              <w:rPr>
                <w:bCs/>
                <w:sz w:val="24"/>
              </w:rPr>
            </w:pPr>
            <w:r>
              <w:rPr>
                <w:bCs/>
                <w:sz w:val="24"/>
              </w:rPr>
              <w:t>（3）评价方法</w:t>
            </w:r>
          </w:p>
          <w:p>
            <w:pPr>
              <w:pStyle w:val="138"/>
              <w:spacing w:line="360" w:lineRule="auto"/>
              <w:ind w:firstLine="480"/>
            </w:pPr>
            <w:r>
              <w:t>环境空气质量评价采用占标百分比评价法，数学表达式：</w:t>
            </w:r>
          </w:p>
          <w:p>
            <w:pPr>
              <w:pStyle w:val="138"/>
              <w:spacing w:line="360" w:lineRule="auto"/>
              <w:ind w:left="0" w:firstLine="0"/>
              <w:jc w:val="center"/>
            </w:pPr>
            <w:r>
              <w:t>P</w:t>
            </w:r>
            <w:r>
              <w:rPr>
                <w:vertAlign w:val="subscript"/>
              </w:rPr>
              <w:t>i</w:t>
            </w:r>
            <w:r>
              <w:t>=C</w:t>
            </w:r>
            <w:r>
              <w:rPr>
                <w:vertAlign w:val="subscript"/>
              </w:rPr>
              <w:t>i</w:t>
            </w:r>
            <w:r>
              <w:t>/C</w:t>
            </w:r>
            <w:r>
              <w:rPr>
                <w:vertAlign w:val="subscript"/>
              </w:rPr>
              <w:t>oi</w:t>
            </w:r>
            <w:r>
              <w:t>×100%</w:t>
            </w:r>
          </w:p>
          <w:p>
            <w:pPr>
              <w:pStyle w:val="138"/>
              <w:spacing w:line="360" w:lineRule="auto"/>
              <w:ind w:firstLine="480"/>
            </w:pPr>
            <w:r>
              <w:t>式中：P</w:t>
            </w:r>
            <w:r>
              <w:rPr>
                <w:vertAlign w:val="subscript"/>
              </w:rPr>
              <w:t>i</w:t>
            </w:r>
            <w:r>
              <w:t>——第i种</w:t>
            </w:r>
            <w:r>
              <w:rPr>
                <w:rFonts w:hint="eastAsia"/>
              </w:rPr>
              <w:t>污染</w:t>
            </w:r>
            <w:r>
              <w:t>物的占标百分比；</w:t>
            </w:r>
          </w:p>
          <w:p>
            <w:pPr>
              <w:pStyle w:val="138"/>
              <w:spacing w:line="360" w:lineRule="auto"/>
              <w:ind w:firstLine="1200" w:firstLineChars="500"/>
            </w:pPr>
            <w:r>
              <w:t>C</w:t>
            </w:r>
            <w:r>
              <w:rPr>
                <w:vertAlign w:val="subscript"/>
              </w:rPr>
              <w:t>i</w:t>
            </w:r>
            <w:r>
              <w:t>——第i种污染因子的监测值，μg/m</w:t>
            </w:r>
            <w:r>
              <w:rPr>
                <w:vertAlign w:val="superscript"/>
              </w:rPr>
              <w:t>3</w:t>
            </w:r>
            <w:r>
              <w:t>；</w:t>
            </w:r>
          </w:p>
          <w:p>
            <w:pPr>
              <w:pStyle w:val="138"/>
              <w:spacing w:line="360" w:lineRule="auto"/>
              <w:ind w:firstLine="1200" w:firstLineChars="500"/>
            </w:pPr>
            <w:r>
              <w:t>C</w:t>
            </w:r>
            <w:r>
              <w:rPr>
                <w:vertAlign w:val="subscript"/>
              </w:rPr>
              <w:t>oi</w:t>
            </w:r>
            <w:r>
              <w:t>——第i种污染因子的环境空气质量标准值μg/m</w:t>
            </w:r>
            <w:r>
              <w:rPr>
                <w:vertAlign w:val="superscript"/>
              </w:rPr>
              <w:t>3</w:t>
            </w:r>
            <w:r>
              <w:t>；</w:t>
            </w:r>
          </w:p>
          <w:p>
            <w:pPr>
              <w:pStyle w:val="138"/>
              <w:spacing w:line="360" w:lineRule="auto"/>
              <w:ind w:firstLine="480"/>
              <w:jc w:val="both"/>
            </w:pPr>
            <w:r>
              <w:t>凡是占标百分比Pi大于100%，表明该点环境质量劣于评价标准等级，反之则满足标准等级。</w:t>
            </w:r>
          </w:p>
          <w:p>
            <w:pPr>
              <w:adjustRightInd w:val="0"/>
              <w:snapToGrid w:val="0"/>
              <w:spacing w:line="360" w:lineRule="auto"/>
              <w:ind w:firstLine="480" w:firstLineChars="200"/>
              <w:rPr>
                <w:bCs/>
                <w:sz w:val="24"/>
              </w:rPr>
            </w:pPr>
            <w:r>
              <w:rPr>
                <w:bCs/>
                <w:sz w:val="24"/>
              </w:rPr>
              <w:t>（4）评价结果</w:t>
            </w:r>
          </w:p>
          <w:p>
            <w:pPr>
              <w:pStyle w:val="138"/>
              <w:spacing w:line="360" w:lineRule="auto"/>
              <w:ind w:firstLine="480"/>
            </w:pPr>
            <w:r>
              <w:t>项目区域大气环境质量评价结果详见下表。</w:t>
            </w:r>
          </w:p>
          <w:p>
            <w:pPr>
              <w:spacing w:line="400" w:lineRule="atLeast"/>
              <w:jc w:val="center"/>
              <w:rPr>
                <w:rFonts w:eastAsia="黑体"/>
                <w:sz w:val="24"/>
              </w:rPr>
            </w:pPr>
            <w:r>
              <w:rPr>
                <w:rFonts w:eastAsia="黑体"/>
                <w:sz w:val="24"/>
              </w:rPr>
              <w:t>表3-2    大气监测结果及评价表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624"/>
              <w:gridCol w:w="2038"/>
              <w:gridCol w:w="1603"/>
              <w:gridCol w:w="1894"/>
              <w:gridCol w:w="196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40" w:hRule="atLeast"/>
                <w:tblHeader/>
                <w:jc w:val="center"/>
              </w:trPr>
              <w:tc>
                <w:tcPr>
                  <w:tcW w:w="384" w:type="pct"/>
                  <w:vMerge w:val="restart"/>
                  <w:shd w:val="clear" w:color="auto" w:fill="CCFFFF"/>
                  <w:noWrap w:val="0"/>
                  <w:vAlign w:val="center"/>
                </w:tcPr>
                <w:p>
                  <w:pPr>
                    <w:snapToGrid w:val="0"/>
                    <w:jc w:val="center"/>
                    <w:rPr>
                      <w:b/>
                      <w:szCs w:val="21"/>
                    </w:rPr>
                  </w:pPr>
                  <w:r>
                    <w:rPr>
                      <w:b/>
                      <w:szCs w:val="21"/>
                    </w:rPr>
                    <w:t>监测点</w:t>
                  </w:r>
                </w:p>
              </w:tc>
              <w:tc>
                <w:tcPr>
                  <w:tcW w:w="1254" w:type="pct"/>
                  <w:shd w:val="clear" w:color="auto" w:fill="CCFFFF"/>
                  <w:noWrap w:val="0"/>
                  <w:vAlign w:val="center"/>
                </w:tcPr>
                <w:p>
                  <w:pPr>
                    <w:snapToGrid w:val="0"/>
                    <w:jc w:val="center"/>
                    <w:rPr>
                      <w:b/>
                      <w:szCs w:val="21"/>
                    </w:rPr>
                  </w:pPr>
                  <w:r>
                    <w:rPr>
                      <w:b/>
                      <w:szCs w:val="21"/>
                    </w:rPr>
                    <w:t>统计指标</w:t>
                  </w:r>
                </w:p>
              </w:tc>
              <w:tc>
                <w:tcPr>
                  <w:tcW w:w="986" w:type="pct"/>
                  <w:shd w:val="clear" w:color="auto" w:fill="CCFFFF"/>
                  <w:noWrap w:val="0"/>
                  <w:vAlign w:val="center"/>
                </w:tcPr>
                <w:p>
                  <w:pPr>
                    <w:jc w:val="center"/>
                    <w:rPr>
                      <w:b/>
                      <w:szCs w:val="21"/>
                    </w:rPr>
                  </w:pPr>
                  <w:r>
                    <w:rPr>
                      <w:b/>
                      <w:szCs w:val="21"/>
                    </w:rPr>
                    <w:t>硫化氢</w:t>
                  </w:r>
                </w:p>
              </w:tc>
              <w:tc>
                <w:tcPr>
                  <w:tcW w:w="1165" w:type="pct"/>
                  <w:shd w:val="clear" w:color="auto" w:fill="CCFFFF"/>
                  <w:noWrap w:val="0"/>
                  <w:vAlign w:val="center"/>
                </w:tcPr>
                <w:p>
                  <w:pPr>
                    <w:jc w:val="center"/>
                    <w:rPr>
                      <w:b/>
                      <w:szCs w:val="21"/>
                    </w:rPr>
                  </w:pPr>
                  <w:r>
                    <w:rPr>
                      <w:b/>
                      <w:szCs w:val="21"/>
                    </w:rPr>
                    <w:t>氨</w:t>
                  </w:r>
                </w:p>
              </w:tc>
              <w:tc>
                <w:tcPr>
                  <w:tcW w:w="1211" w:type="pct"/>
                  <w:shd w:val="clear" w:color="auto" w:fill="CCFFFF"/>
                  <w:noWrap w:val="0"/>
                  <w:vAlign w:val="center"/>
                </w:tcPr>
                <w:p>
                  <w:pPr>
                    <w:jc w:val="center"/>
                    <w:rPr>
                      <w:b/>
                      <w:szCs w:val="21"/>
                    </w:rPr>
                  </w:pPr>
                  <w:r>
                    <w:rPr>
                      <w:b/>
                      <w:szCs w:val="21"/>
                    </w:rPr>
                    <w:t>TSP</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40" w:hRule="atLeast"/>
                <w:tblHeader/>
                <w:jc w:val="center"/>
              </w:trPr>
              <w:tc>
                <w:tcPr>
                  <w:tcW w:w="384" w:type="pct"/>
                  <w:vMerge w:val="continue"/>
                  <w:shd w:val="clear" w:color="auto" w:fill="CCFFFF"/>
                  <w:noWrap w:val="0"/>
                  <w:vAlign w:val="center"/>
                </w:tcPr>
                <w:p>
                  <w:pPr>
                    <w:snapToGrid w:val="0"/>
                    <w:jc w:val="center"/>
                    <w:rPr>
                      <w:b/>
                      <w:szCs w:val="21"/>
                    </w:rPr>
                  </w:pPr>
                </w:p>
              </w:tc>
              <w:tc>
                <w:tcPr>
                  <w:tcW w:w="1254" w:type="pct"/>
                  <w:shd w:val="clear" w:color="auto" w:fill="CCFFFF"/>
                  <w:noWrap w:val="0"/>
                  <w:vAlign w:val="center"/>
                </w:tcPr>
                <w:p>
                  <w:pPr>
                    <w:snapToGrid w:val="0"/>
                    <w:jc w:val="center"/>
                    <w:rPr>
                      <w:b/>
                      <w:szCs w:val="21"/>
                    </w:rPr>
                  </w:pPr>
                  <w:r>
                    <w:rPr>
                      <w:b/>
                      <w:szCs w:val="21"/>
                    </w:rPr>
                    <w:t>标准值（mg/m</w:t>
                  </w:r>
                  <w:r>
                    <w:rPr>
                      <w:b/>
                      <w:szCs w:val="21"/>
                      <w:vertAlign w:val="superscript"/>
                    </w:rPr>
                    <w:t>3</w:t>
                  </w:r>
                  <w:r>
                    <w:rPr>
                      <w:b/>
                      <w:szCs w:val="21"/>
                    </w:rPr>
                    <w:t>）</w:t>
                  </w:r>
                </w:p>
              </w:tc>
              <w:tc>
                <w:tcPr>
                  <w:tcW w:w="986" w:type="pct"/>
                  <w:shd w:val="clear" w:color="auto" w:fill="CCFFFF"/>
                  <w:noWrap w:val="0"/>
                  <w:vAlign w:val="center"/>
                </w:tcPr>
                <w:p>
                  <w:pPr>
                    <w:jc w:val="center"/>
                    <w:rPr>
                      <w:b/>
                      <w:szCs w:val="21"/>
                    </w:rPr>
                  </w:pPr>
                  <w:r>
                    <w:rPr>
                      <w:b/>
                      <w:szCs w:val="21"/>
                    </w:rPr>
                    <w:t>0.01</w:t>
                  </w:r>
                </w:p>
              </w:tc>
              <w:tc>
                <w:tcPr>
                  <w:tcW w:w="1165" w:type="pct"/>
                  <w:shd w:val="clear" w:color="auto" w:fill="CCFFFF"/>
                  <w:noWrap w:val="0"/>
                  <w:vAlign w:val="center"/>
                </w:tcPr>
                <w:p>
                  <w:pPr>
                    <w:jc w:val="center"/>
                    <w:rPr>
                      <w:b/>
                      <w:szCs w:val="21"/>
                    </w:rPr>
                  </w:pPr>
                  <w:r>
                    <w:rPr>
                      <w:b/>
                      <w:szCs w:val="21"/>
                    </w:rPr>
                    <w:t>0.2</w:t>
                  </w:r>
                </w:p>
              </w:tc>
              <w:tc>
                <w:tcPr>
                  <w:tcW w:w="1211" w:type="pct"/>
                  <w:shd w:val="clear" w:color="auto" w:fill="CCFFFF"/>
                  <w:noWrap w:val="0"/>
                  <w:vAlign w:val="center"/>
                </w:tcPr>
                <w:p>
                  <w:pPr>
                    <w:jc w:val="center"/>
                    <w:rPr>
                      <w:b/>
                      <w:szCs w:val="21"/>
                    </w:rPr>
                  </w:pPr>
                  <w:r>
                    <w:rPr>
                      <w:b/>
                      <w:szCs w:val="21"/>
                    </w:rPr>
                    <w:t>0.3（24小时均值）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384" w:type="pct"/>
                  <w:vMerge w:val="restart"/>
                  <w:noWrap w:val="0"/>
                  <w:vAlign w:val="center"/>
                </w:tcPr>
                <w:p>
                  <w:pPr>
                    <w:snapToGrid w:val="0"/>
                    <w:jc w:val="center"/>
                    <w:rPr>
                      <w:szCs w:val="21"/>
                    </w:rPr>
                  </w:pPr>
                  <w:r>
                    <w:rPr>
                      <w:szCs w:val="21"/>
                    </w:rPr>
                    <w:t>1#</w:t>
                  </w:r>
                </w:p>
              </w:tc>
              <w:tc>
                <w:tcPr>
                  <w:tcW w:w="1254" w:type="pct"/>
                  <w:noWrap w:val="0"/>
                  <w:vAlign w:val="center"/>
                </w:tcPr>
                <w:p>
                  <w:pPr>
                    <w:snapToGrid w:val="0"/>
                    <w:jc w:val="center"/>
                    <w:rPr>
                      <w:szCs w:val="21"/>
                    </w:rPr>
                  </w:pPr>
                  <w:r>
                    <w:rPr>
                      <w:szCs w:val="21"/>
                    </w:rPr>
                    <w:t>最大值（mg/m</w:t>
                  </w:r>
                  <w:r>
                    <w:rPr>
                      <w:szCs w:val="21"/>
                      <w:vertAlign w:val="superscript"/>
                    </w:rPr>
                    <w:t>3</w:t>
                  </w:r>
                  <w:r>
                    <w:rPr>
                      <w:szCs w:val="21"/>
                    </w:rPr>
                    <w:t>）</w:t>
                  </w:r>
                </w:p>
              </w:tc>
              <w:tc>
                <w:tcPr>
                  <w:tcW w:w="986" w:type="pct"/>
                  <w:noWrap w:val="0"/>
                  <w:vAlign w:val="center"/>
                </w:tcPr>
                <w:p>
                  <w:pPr>
                    <w:jc w:val="center"/>
                    <w:rPr>
                      <w:szCs w:val="21"/>
                    </w:rPr>
                  </w:pPr>
                  <w:r>
                    <w:rPr>
                      <w:szCs w:val="21"/>
                    </w:rPr>
                    <w:t>0.005</w:t>
                  </w:r>
                </w:p>
              </w:tc>
              <w:tc>
                <w:tcPr>
                  <w:tcW w:w="1165" w:type="pct"/>
                  <w:noWrap w:val="0"/>
                  <w:vAlign w:val="center"/>
                </w:tcPr>
                <w:p>
                  <w:pPr>
                    <w:jc w:val="center"/>
                    <w:rPr>
                      <w:szCs w:val="21"/>
                    </w:rPr>
                  </w:pPr>
                  <w:r>
                    <w:rPr>
                      <w:szCs w:val="21"/>
                    </w:rPr>
                    <w:t>0.11</w:t>
                  </w:r>
                </w:p>
              </w:tc>
              <w:tc>
                <w:tcPr>
                  <w:tcW w:w="1211" w:type="pct"/>
                  <w:noWrap w:val="0"/>
                  <w:vAlign w:val="center"/>
                </w:tcPr>
                <w:p>
                  <w:pPr>
                    <w:jc w:val="center"/>
                    <w:rPr>
                      <w:szCs w:val="21"/>
                    </w:rPr>
                  </w:pPr>
                  <w:r>
                    <w:rPr>
                      <w:szCs w:val="21"/>
                    </w:rPr>
                    <w:t>0.144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384" w:type="pct"/>
                  <w:vMerge w:val="continue"/>
                  <w:noWrap w:val="0"/>
                  <w:vAlign w:val="center"/>
                </w:tcPr>
                <w:p>
                  <w:pPr>
                    <w:snapToGrid w:val="0"/>
                    <w:jc w:val="center"/>
                    <w:rPr>
                      <w:szCs w:val="21"/>
                    </w:rPr>
                  </w:pPr>
                </w:p>
              </w:tc>
              <w:tc>
                <w:tcPr>
                  <w:tcW w:w="1254" w:type="pct"/>
                  <w:noWrap w:val="0"/>
                  <w:vAlign w:val="center"/>
                </w:tcPr>
                <w:p>
                  <w:pPr>
                    <w:snapToGrid w:val="0"/>
                    <w:jc w:val="center"/>
                    <w:rPr>
                      <w:szCs w:val="21"/>
                    </w:rPr>
                  </w:pPr>
                  <w:r>
                    <w:rPr>
                      <w:rFonts w:hint="eastAsia"/>
                      <w:szCs w:val="21"/>
                    </w:rPr>
                    <w:t>最大占标率</w:t>
                  </w:r>
                  <w:r>
                    <w:rPr>
                      <w:szCs w:val="21"/>
                    </w:rPr>
                    <w:t>（</w:t>
                  </w:r>
                  <w:r>
                    <w:rPr>
                      <w:i/>
                      <w:szCs w:val="21"/>
                    </w:rPr>
                    <w:t>P</w:t>
                  </w:r>
                  <w:r>
                    <w:rPr>
                      <w:i/>
                      <w:szCs w:val="21"/>
                      <w:vertAlign w:val="subscript"/>
                    </w:rPr>
                    <w:t>imax</w:t>
                  </w:r>
                  <w:r>
                    <w:rPr>
                      <w:szCs w:val="21"/>
                    </w:rPr>
                    <w:t>）</w:t>
                  </w:r>
                </w:p>
              </w:tc>
              <w:tc>
                <w:tcPr>
                  <w:tcW w:w="986" w:type="pct"/>
                  <w:noWrap w:val="0"/>
                  <w:vAlign w:val="center"/>
                </w:tcPr>
                <w:p>
                  <w:pPr>
                    <w:jc w:val="center"/>
                    <w:rPr>
                      <w:szCs w:val="21"/>
                    </w:rPr>
                  </w:pPr>
                  <w:r>
                    <w:rPr>
                      <w:szCs w:val="21"/>
                    </w:rPr>
                    <w:t>0.5</w:t>
                  </w:r>
                </w:p>
              </w:tc>
              <w:tc>
                <w:tcPr>
                  <w:tcW w:w="1165" w:type="pct"/>
                  <w:noWrap w:val="0"/>
                  <w:vAlign w:val="center"/>
                </w:tcPr>
                <w:p>
                  <w:pPr>
                    <w:jc w:val="center"/>
                    <w:rPr>
                      <w:szCs w:val="21"/>
                    </w:rPr>
                  </w:pPr>
                  <w:r>
                    <w:rPr>
                      <w:szCs w:val="21"/>
                    </w:rPr>
                    <w:t>0.55</w:t>
                  </w:r>
                </w:p>
              </w:tc>
              <w:tc>
                <w:tcPr>
                  <w:tcW w:w="1211" w:type="pct"/>
                  <w:noWrap w:val="0"/>
                  <w:vAlign w:val="center"/>
                </w:tcPr>
                <w:p>
                  <w:pPr>
                    <w:jc w:val="center"/>
                    <w:rPr>
                      <w:szCs w:val="21"/>
                    </w:rPr>
                  </w:pPr>
                  <w:r>
                    <w:rPr>
                      <w:szCs w:val="21"/>
                    </w:rPr>
                    <w:t>0.48</w:t>
                  </w:r>
                </w:p>
              </w:tc>
            </w:tr>
          </w:tbl>
          <w:p>
            <w:pPr>
              <w:adjustRightInd w:val="0"/>
              <w:snapToGrid w:val="0"/>
              <w:spacing w:before="120" w:beforeLines="50" w:line="360" w:lineRule="auto"/>
              <w:ind w:firstLine="480" w:firstLineChars="200"/>
              <w:rPr>
                <w:bCs/>
                <w:sz w:val="24"/>
              </w:rPr>
            </w:pPr>
            <w:r>
              <w:rPr>
                <w:sz w:val="24"/>
              </w:rPr>
              <w:t>补充监测结果表明，项目所在区域的TSP监测指标满足《环境空气质量标准》（GB3095-2012）中的二级标准，项目所在区域的硫化氢、氨监测指标满足《环境影响评价技术导则 大气环境》（HJ2.2-2018）附录D中的相关要求。</w:t>
            </w:r>
          </w:p>
          <w:p>
            <w:pPr>
              <w:adjustRightInd w:val="0"/>
              <w:snapToGrid w:val="0"/>
              <w:spacing w:line="360" w:lineRule="auto"/>
              <w:jc w:val="left"/>
              <w:rPr>
                <w:kern w:val="0"/>
                <w:sz w:val="24"/>
              </w:rPr>
            </w:pPr>
            <w:r>
              <w:rPr>
                <w:b/>
                <w:kern w:val="0"/>
                <w:sz w:val="24"/>
              </w:rPr>
              <w:t>二、地表水环境质量现状</w:t>
            </w:r>
          </w:p>
          <w:p>
            <w:pPr>
              <w:adjustRightInd w:val="0"/>
              <w:spacing w:line="360" w:lineRule="auto"/>
              <w:ind w:firstLine="480" w:firstLineChars="200"/>
              <w:textAlignment w:val="center"/>
              <w:rPr>
                <w:bCs/>
                <w:sz w:val="24"/>
              </w:rPr>
            </w:pPr>
            <w:r>
              <w:rPr>
                <w:sz w:val="24"/>
              </w:rPr>
              <w:t>为更好</w:t>
            </w:r>
            <w:r>
              <w:rPr>
                <w:rFonts w:hint="eastAsia"/>
                <w:sz w:val="24"/>
                <w:lang w:val="en-US" w:eastAsia="zh-CN"/>
              </w:rPr>
              <w:t>地</w:t>
            </w:r>
            <w:bookmarkStart w:id="36" w:name="_GoBack"/>
            <w:bookmarkEnd w:id="36"/>
            <w:r>
              <w:rPr>
                <w:sz w:val="24"/>
              </w:rPr>
              <w:t>了解项目受纳水体双龙河流水质的现状情况，本次评价引用2017年~2021年双龙河阁溪桥断面（位于双龙河汇入州河处）以及2022年双龙河柏林口断面（通川区-高新区县界）的例行监测数据，2017年，双龙河阁溪桥断面现状水质状况达到《地表水环境质量标准》（GB3838-2002）中 III 类水体标准限值的要求。2018年-2021年双龙河阁溪桥断面现状水质状况未达到《地表水环境质量标准》（GB3838-2002）中 III 类水体标准限值的要求。由上表可知，2022 年双龙河柏林口断面现状水质状况未达到《地表水环境质量标准》（GB3838-2002）中 III 类水体标准限值的要求。</w:t>
            </w:r>
          </w:p>
          <w:p>
            <w:pPr>
              <w:adjustRightInd w:val="0"/>
              <w:snapToGrid w:val="0"/>
              <w:spacing w:line="360" w:lineRule="auto"/>
              <w:ind w:firstLine="480" w:firstLineChars="200"/>
              <w:rPr>
                <w:kern w:val="0"/>
                <w:sz w:val="24"/>
              </w:rPr>
            </w:pPr>
            <w:r>
              <w:rPr>
                <w:bCs/>
                <w:sz w:val="24"/>
              </w:rPr>
              <w:t>超标原因：生活污水散乱排放，农村面源影响等导致。</w:t>
            </w:r>
          </w:p>
          <w:p>
            <w:pPr>
              <w:adjustRightInd w:val="0"/>
              <w:snapToGrid w:val="0"/>
              <w:spacing w:line="360" w:lineRule="auto"/>
              <w:ind w:firstLine="480" w:firstLineChars="200"/>
              <w:rPr>
                <w:sz w:val="24"/>
              </w:rPr>
            </w:pPr>
            <w:r>
              <w:rPr>
                <w:sz w:val="24"/>
              </w:rPr>
              <w:t>补充监测显示，</w:t>
            </w:r>
            <w:r>
              <w:rPr>
                <w:bCs/>
                <w:sz w:val="24"/>
              </w:rPr>
              <w:t>本项目涉及地表水的双龙河上游500m断面处 现状水质达到《地表水环境质量标准》（GB3838-2002）中 III 类水体标准限值的要求。</w:t>
            </w:r>
          </w:p>
          <w:p>
            <w:pPr>
              <w:spacing w:line="360" w:lineRule="auto"/>
              <w:ind w:firstLine="470" w:firstLineChars="196"/>
              <w:rPr>
                <w:sz w:val="24"/>
              </w:rPr>
            </w:pPr>
            <w:r>
              <w:rPr>
                <w:sz w:val="24"/>
              </w:rPr>
              <w:t>详见地表水专题评价“4.0地表水环境现状监测与评价”。</w:t>
            </w:r>
          </w:p>
          <w:p>
            <w:pPr>
              <w:spacing w:line="360" w:lineRule="auto"/>
              <w:rPr>
                <w:kern w:val="0"/>
                <w:sz w:val="24"/>
              </w:rPr>
            </w:pPr>
            <w:r>
              <w:rPr>
                <w:b/>
                <w:kern w:val="0"/>
                <w:sz w:val="24"/>
              </w:rPr>
              <w:t>三、声环境质量现状</w:t>
            </w:r>
          </w:p>
          <w:p>
            <w:pPr>
              <w:spacing w:line="360" w:lineRule="auto"/>
              <w:ind w:firstLine="472" w:firstLineChars="196"/>
              <w:rPr>
                <w:b/>
                <w:bCs/>
                <w:sz w:val="24"/>
              </w:rPr>
            </w:pPr>
            <w:r>
              <w:rPr>
                <w:b/>
                <w:bCs/>
                <w:sz w:val="24"/>
              </w:rPr>
              <w:t>1、监测布点</w:t>
            </w:r>
          </w:p>
          <w:p>
            <w:pPr>
              <w:spacing w:line="360" w:lineRule="auto"/>
              <w:ind w:firstLine="470" w:firstLineChars="196"/>
              <w:rPr>
                <w:sz w:val="24"/>
              </w:rPr>
            </w:pPr>
            <w:r>
              <w:rPr>
                <w:sz w:val="24"/>
              </w:rPr>
              <w:t>本次评价共布设7个噪声现状监测点，具体见下表。</w:t>
            </w:r>
          </w:p>
          <w:p>
            <w:pPr>
              <w:spacing w:line="276" w:lineRule="auto"/>
              <w:jc w:val="center"/>
              <w:rPr>
                <w:rFonts w:eastAsia="黑体"/>
                <w:sz w:val="24"/>
              </w:rPr>
            </w:pPr>
            <w:r>
              <w:rPr>
                <w:rFonts w:eastAsia="黑体"/>
                <w:sz w:val="24"/>
              </w:rPr>
              <w:t>表3-3    噪声监测点一览表</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3345"/>
              <w:gridCol w:w="946"/>
              <w:gridCol w:w="1149"/>
              <w:gridCol w:w="19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6" w:type="pct"/>
                  <w:shd w:val="clear" w:color="auto" w:fill="CCFFFF"/>
                  <w:noWrap w:val="0"/>
                  <w:vAlign w:val="center"/>
                </w:tcPr>
                <w:p>
                  <w:pPr>
                    <w:jc w:val="center"/>
                    <w:rPr>
                      <w:b/>
                    </w:rPr>
                  </w:pPr>
                  <w:r>
                    <w:rPr>
                      <w:b/>
                    </w:rPr>
                    <w:t>编号</w:t>
                  </w:r>
                </w:p>
              </w:tc>
              <w:tc>
                <w:tcPr>
                  <w:tcW w:w="2058" w:type="pct"/>
                  <w:shd w:val="clear" w:color="auto" w:fill="CCFFFF"/>
                  <w:noWrap w:val="0"/>
                  <w:vAlign w:val="center"/>
                </w:tcPr>
                <w:p>
                  <w:pPr>
                    <w:jc w:val="center"/>
                    <w:rPr>
                      <w:b/>
                    </w:rPr>
                  </w:pPr>
                  <w:r>
                    <w:rPr>
                      <w:b/>
                    </w:rPr>
                    <w:t>监测点名称</w:t>
                  </w:r>
                </w:p>
              </w:tc>
              <w:tc>
                <w:tcPr>
                  <w:tcW w:w="582" w:type="pct"/>
                  <w:shd w:val="clear" w:color="auto" w:fill="CCFFFF"/>
                  <w:noWrap w:val="0"/>
                  <w:vAlign w:val="center"/>
                </w:tcPr>
                <w:p>
                  <w:pPr>
                    <w:jc w:val="center"/>
                    <w:rPr>
                      <w:b/>
                    </w:rPr>
                  </w:pPr>
                  <w:r>
                    <w:rPr>
                      <w:b/>
                    </w:rPr>
                    <w:t>监测</w:t>
                  </w:r>
                </w:p>
                <w:p>
                  <w:pPr>
                    <w:jc w:val="center"/>
                  </w:pPr>
                  <w:r>
                    <w:rPr>
                      <w:b/>
                    </w:rPr>
                    <w:t>项目</w:t>
                  </w:r>
                </w:p>
              </w:tc>
              <w:tc>
                <w:tcPr>
                  <w:tcW w:w="707" w:type="pct"/>
                  <w:shd w:val="clear" w:color="auto" w:fill="CCFFFF"/>
                  <w:noWrap w:val="0"/>
                  <w:vAlign w:val="center"/>
                </w:tcPr>
                <w:p>
                  <w:pPr>
                    <w:jc w:val="center"/>
                  </w:pPr>
                  <w:r>
                    <w:rPr>
                      <w:b/>
                    </w:rPr>
                    <w:t>监测频率</w:t>
                  </w:r>
                </w:p>
              </w:tc>
              <w:tc>
                <w:tcPr>
                  <w:tcW w:w="1177" w:type="pct"/>
                  <w:shd w:val="clear" w:color="auto" w:fill="CCFFFF"/>
                  <w:noWrap w:val="0"/>
                  <w:vAlign w:val="center"/>
                </w:tcPr>
                <w:p>
                  <w:pPr>
                    <w:jc w:val="center"/>
                    <w:rPr>
                      <w:b/>
                    </w:rPr>
                  </w:pPr>
                  <w:r>
                    <w:rPr>
                      <w:b/>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6" w:type="pct"/>
                  <w:noWrap w:val="0"/>
                  <w:vAlign w:val="center"/>
                </w:tcPr>
                <w:p>
                  <w:pPr>
                    <w:jc w:val="center"/>
                  </w:pPr>
                  <w:r>
                    <w:t>N1</w:t>
                  </w:r>
                </w:p>
              </w:tc>
              <w:tc>
                <w:tcPr>
                  <w:tcW w:w="2058" w:type="pct"/>
                  <w:noWrap w:val="0"/>
                  <w:vAlign w:val="center"/>
                </w:tcPr>
                <w:p>
                  <w:pPr>
                    <w:jc w:val="center"/>
                  </w:pPr>
                  <w:r>
                    <w:t>污水处理厂东侧厂界</w:t>
                  </w:r>
                </w:p>
              </w:tc>
              <w:tc>
                <w:tcPr>
                  <w:tcW w:w="582" w:type="pct"/>
                  <w:vMerge w:val="restart"/>
                  <w:noWrap w:val="0"/>
                  <w:vAlign w:val="center"/>
                </w:tcPr>
                <w:p>
                  <w:pPr>
                    <w:jc w:val="center"/>
                  </w:pPr>
                  <w:r>
                    <w:t>厂界噪声</w:t>
                  </w:r>
                </w:p>
              </w:tc>
              <w:tc>
                <w:tcPr>
                  <w:tcW w:w="707" w:type="pct"/>
                  <w:vMerge w:val="restart"/>
                  <w:noWrap w:val="0"/>
                  <w:vAlign w:val="center"/>
                </w:tcPr>
                <w:p>
                  <w:pPr>
                    <w:jc w:val="center"/>
                  </w:pPr>
                  <w:r>
                    <w:t>监测1天，昼间、夜间各1次</w:t>
                  </w:r>
                </w:p>
              </w:tc>
              <w:tc>
                <w:tcPr>
                  <w:tcW w:w="1177" w:type="pct"/>
                  <w:vMerge w:val="restart"/>
                  <w:noWrap w:val="0"/>
                  <w:vAlign w:val="center"/>
                </w:tcPr>
                <w:p>
                  <w:pPr>
                    <w:jc w:val="center"/>
                  </w:pPr>
                  <w:r>
                    <w:t>《声环境质量标准》（GB3096-2008）2类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6" w:type="pct"/>
                  <w:noWrap w:val="0"/>
                  <w:vAlign w:val="center"/>
                </w:tcPr>
                <w:p>
                  <w:pPr>
                    <w:jc w:val="center"/>
                  </w:pPr>
                  <w:r>
                    <w:t>N2</w:t>
                  </w:r>
                </w:p>
              </w:tc>
              <w:tc>
                <w:tcPr>
                  <w:tcW w:w="2058" w:type="pct"/>
                  <w:noWrap w:val="0"/>
                  <w:vAlign w:val="center"/>
                </w:tcPr>
                <w:p>
                  <w:pPr>
                    <w:jc w:val="center"/>
                  </w:pPr>
                  <w:r>
                    <w:t>污水处理厂南侧厂界</w:t>
                  </w:r>
                </w:p>
              </w:tc>
              <w:tc>
                <w:tcPr>
                  <w:tcW w:w="582" w:type="pct"/>
                  <w:vMerge w:val="continue"/>
                  <w:noWrap w:val="0"/>
                  <w:vAlign w:val="center"/>
                </w:tcPr>
                <w:p>
                  <w:pPr>
                    <w:jc w:val="center"/>
                  </w:pPr>
                </w:p>
              </w:tc>
              <w:tc>
                <w:tcPr>
                  <w:tcW w:w="707" w:type="pct"/>
                  <w:vMerge w:val="continue"/>
                  <w:noWrap w:val="0"/>
                  <w:vAlign w:val="center"/>
                </w:tcPr>
                <w:p>
                  <w:pPr>
                    <w:jc w:val="center"/>
                  </w:pPr>
                </w:p>
              </w:tc>
              <w:tc>
                <w:tcPr>
                  <w:tcW w:w="1177" w:type="pct"/>
                  <w:vMerge w:val="continue"/>
                  <w:noWrap w:val="0"/>
                  <w:vAlign w:val="center"/>
                </w:tcPr>
                <w:p>
                  <w:pPr>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6" w:type="pct"/>
                  <w:noWrap w:val="0"/>
                  <w:vAlign w:val="center"/>
                </w:tcPr>
                <w:p>
                  <w:pPr>
                    <w:jc w:val="center"/>
                  </w:pPr>
                  <w:r>
                    <w:t>N3</w:t>
                  </w:r>
                </w:p>
              </w:tc>
              <w:tc>
                <w:tcPr>
                  <w:tcW w:w="2058" w:type="pct"/>
                  <w:noWrap w:val="0"/>
                  <w:vAlign w:val="center"/>
                </w:tcPr>
                <w:p>
                  <w:pPr>
                    <w:jc w:val="center"/>
                  </w:pPr>
                  <w:r>
                    <w:t>污水处理厂西侧厂界</w:t>
                  </w:r>
                </w:p>
              </w:tc>
              <w:tc>
                <w:tcPr>
                  <w:tcW w:w="582" w:type="pct"/>
                  <w:vMerge w:val="continue"/>
                  <w:noWrap w:val="0"/>
                  <w:vAlign w:val="center"/>
                </w:tcPr>
                <w:p>
                  <w:pPr>
                    <w:jc w:val="center"/>
                  </w:pPr>
                </w:p>
              </w:tc>
              <w:tc>
                <w:tcPr>
                  <w:tcW w:w="707" w:type="pct"/>
                  <w:vMerge w:val="continue"/>
                  <w:noWrap w:val="0"/>
                  <w:vAlign w:val="center"/>
                </w:tcPr>
                <w:p>
                  <w:pPr>
                    <w:jc w:val="center"/>
                  </w:pPr>
                </w:p>
              </w:tc>
              <w:tc>
                <w:tcPr>
                  <w:tcW w:w="1177" w:type="pct"/>
                  <w:vMerge w:val="continue"/>
                  <w:noWrap w:val="0"/>
                  <w:vAlign w:val="center"/>
                </w:tcPr>
                <w:p>
                  <w:pPr>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6" w:type="pct"/>
                  <w:noWrap w:val="0"/>
                  <w:vAlign w:val="center"/>
                </w:tcPr>
                <w:p>
                  <w:pPr>
                    <w:jc w:val="center"/>
                  </w:pPr>
                  <w:r>
                    <w:t>N4</w:t>
                  </w:r>
                </w:p>
              </w:tc>
              <w:tc>
                <w:tcPr>
                  <w:tcW w:w="2058" w:type="pct"/>
                  <w:noWrap w:val="0"/>
                  <w:vAlign w:val="center"/>
                </w:tcPr>
                <w:p>
                  <w:pPr>
                    <w:jc w:val="center"/>
                  </w:pPr>
                  <w:r>
                    <w:t>污水处理厂北侧厂界</w:t>
                  </w:r>
                </w:p>
              </w:tc>
              <w:tc>
                <w:tcPr>
                  <w:tcW w:w="582" w:type="pct"/>
                  <w:vMerge w:val="continue"/>
                  <w:noWrap w:val="0"/>
                  <w:vAlign w:val="center"/>
                </w:tcPr>
                <w:p>
                  <w:pPr>
                    <w:jc w:val="center"/>
                  </w:pPr>
                </w:p>
              </w:tc>
              <w:tc>
                <w:tcPr>
                  <w:tcW w:w="707" w:type="pct"/>
                  <w:vMerge w:val="continue"/>
                  <w:noWrap w:val="0"/>
                  <w:vAlign w:val="center"/>
                </w:tcPr>
                <w:p>
                  <w:pPr>
                    <w:jc w:val="center"/>
                  </w:pPr>
                </w:p>
              </w:tc>
              <w:tc>
                <w:tcPr>
                  <w:tcW w:w="1177" w:type="pct"/>
                  <w:vMerge w:val="continue"/>
                  <w:noWrap w:val="0"/>
                  <w:vAlign w:val="center"/>
                </w:tcPr>
                <w:p>
                  <w:pPr>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6" w:type="pct"/>
                  <w:noWrap w:val="0"/>
                  <w:vAlign w:val="center"/>
                </w:tcPr>
                <w:p>
                  <w:pPr>
                    <w:jc w:val="center"/>
                  </w:pPr>
                  <w:r>
                    <w:t>N5</w:t>
                  </w:r>
                </w:p>
              </w:tc>
              <w:tc>
                <w:tcPr>
                  <w:tcW w:w="2058" w:type="pct"/>
                  <w:noWrap w:val="0"/>
                  <w:vAlign w:val="center"/>
                </w:tcPr>
                <w:p>
                  <w:pPr>
                    <w:jc w:val="center"/>
                  </w:pPr>
                  <w:r>
                    <w:rPr>
                      <w:sz w:val="22"/>
                      <w:szCs w:val="22"/>
                    </w:rPr>
                    <w:t>项目南侧约25m居民</w:t>
                  </w:r>
                </w:p>
              </w:tc>
              <w:tc>
                <w:tcPr>
                  <w:tcW w:w="582" w:type="pct"/>
                  <w:vMerge w:val="restart"/>
                  <w:noWrap w:val="0"/>
                  <w:vAlign w:val="center"/>
                </w:tcPr>
                <w:p>
                  <w:pPr>
                    <w:jc w:val="center"/>
                  </w:pPr>
                  <w:r>
                    <w:t>环境噪声</w:t>
                  </w:r>
                </w:p>
              </w:tc>
              <w:tc>
                <w:tcPr>
                  <w:tcW w:w="707" w:type="pct"/>
                  <w:vMerge w:val="continue"/>
                  <w:noWrap w:val="0"/>
                  <w:vAlign w:val="center"/>
                </w:tcPr>
                <w:p>
                  <w:pPr>
                    <w:jc w:val="center"/>
                  </w:pPr>
                </w:p>
              </w:tc>
              <w:tc>
                <w:tcPr>
                  <w:tcW w:w="1177" w:type="pct"/>
                  <w:vMerge w:val="continue"/>
                  <w:noWrap w:val="0"/>
                  <w:vAlign w:val="center"/>
                </w:tcPr>
                <w:p>
                  <w:pPr>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6" w:type="pct"/>
                  <w:noWrap w:val="0"/>
                  <w:vAlign w:val="center"/>
                </w:tcPr>
                <w:p>
                  <w:pPr>
                    <w:jc w:val="center"/>
                  </w:pPr>
                  <w:r>
                    <w:t>N6</w:t>
                  </w:r>
                </w:p>
              </w:tc>
              <w:tc>
                <w:tcPr>
                  <w:tcW w:w="2058" w:type="pct"/>
                  <w:noWrap w:val="0"/>
                  <w:vAlign w:val="center"/>
                </w:tcPr>
                <w:p>
                  <w:pPr>
                    <w:jc w:val="center"/>
                  </w:pPr>
                  <w:r>
                    <w:rPr>
                      <w:sz w:val="22"/>
                      <w:szCs w:val="22"/>
                    </w:rPr>
                    <w:t>项目西侧约10m居民</w:t>
                  </w:r>
                </w:p>
              </w:tc>
              <w:tc>
                <w:tcPr>
                  <w:tcW w:w="582" w:type="pct"/>
                  <w:vMerge w:val="continue"/>
                  <w:noWrap w:val="0"/>
                  <w:vAlign w:val="center"/>
                </w:tcPr>
                <w:p>
                  <w:pPr>
                    <w:jc w:val="center"/>
                  </w:pPr>
                </w:p>
              </w:tc>
              <w:tc>
                <w:tcPr>
                  <w:tcW w:w="707" w:type="pct"/>
                  <w:vMerge w:val="continue"/>
                  <w:noWrap w:val="0"/>
                  <w:vAlign w:val="center"/>
                </w:tcPr>
                <w:p>
                  <w:pPr>
                    <w:jc w:val="center"/>
                  </w:pPr>
                </w:p>
              </w:tc>
              <w:tc>
                <w:tcPr>
                  <w:tcW w:w="1177" w:type="pct"/>
                  <w:vMerge w:val="continue"/>
                  <w:noWrap w:val="0"/>
                  <w:vAlign w:val="center"/>
                </w:tcPr>
                <w:p>
                  <w:pPr>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6" w:type="pct"/>
                  <w:noWrap w:val="0"/>
                  <w:vAlign w:val="center"/>
                </w:tcPr>
                <w:p>
                  <w:pPr>
                    <w:jc w:val="center"/>
                  </w:pPr>
                  <w:r>
                    <w:t>N7</w:t>
                  </w:r>
                </w:p>
              </w:tc>
              <w:tc>
                <w:tcPr>
                  <w:tcW w:w="2058" w:type="pct"/>
                  <w:noWrap w:val="0"/>
                  <w:vAlign w:val="center"/>
                </w:tcPr>
                <w:p>
                  <w:pPr>
                    <w:jc w:val="center"/>
                  </w:pPr>
                  <w:r>
                    <w:rPr>
                      <w:sz w:val="22"/>
                      <w:szCs w:val="22"/>
                    </w:rPr>
                    <w:t>项目北侧约50m居民</w:t>
                  </w:r>
                </w:p>
              </w:tc>
              <w:tc>
                <w:tcPr>
                  <w:tcW w:w="582" w:type="pct"/>
                  <w:vMerge w:val="continue"/>
                  <w:noWrap w:val="0"/>
                  <w:vAlign w:val="center"/>
                </w:tcPr>
                <w:p>
                  <w:pPr>
                    <w:jc w:val="center"/>
                  </w:pPr>
                </w:p>
              </w:tc>
              <w:tc>
                <w:tcPr>
                  <w:tcW w:w="707" w:type="pct"/>
                  <w:vMerge w:val="continue"/>
                  <w:noWrap w:val="0"/>
                  <w:vAlign w:val="center"/>
                </w:tcPr>
                <w:p>
                  <w:pPr>
                    <w:jc w:val="center"/>
                  </w:pPr>
                </w:p>
              </w:tc>
              <w:tc>
                <w:tcPr>
                  <w:tcW w:w="1177" w:type="pct"/>
                  <w:vMerge w:val="continue"/>
                  <w:noWrap w:val="0"/>
                  <w:vAlign w:val="center"/>
                </w:tcPr>
                <w:p>
                  <w:pPr>
                    <w:jc w:val="center"/>
                  </w:pPr>
                </w:p>
              </w:tc>
            </w:tr>
          </w:tbl>
          <w:p>
            <w:pPr>
              <w:snapToGrid w:val="0"/>
              <w:spacing w:line="360" w:lineRule="auto"/>
              <w:ind w:firstLine="482" w:firstLineChars="200"/>
              <w:rPr>
                <w:b/>
                <w:sz w:val="24"/>
              </w:rPr>
            </w:pPr>
            <w:r>
              <w:rPr>
                <w:b/>
                <w:sz w:val="24"/>
              </w:rPr>
              <w:t>2、监测因子</w:t>
            </w:r>
          </w:p>
          <w:p>
            <w:pPr>
              <w:snapToGrid w:val="0"/>
              <w:spacing w:line="360" w:lineRule="auto"/>
              <w:ind w:firstLine="480" w:firstLineChars="200"/>
              <w:rPr>
                <w:sz w:val="24"/>
              </w:rPr>
            </w:pPr>
            <w:r>
              <w:rPr>
                <w:sz w:val="24"/>
              </w:rPr>
              <w:t>监测项目为：各测点处的等效A声级：LAeq。</w:t>
            </w:r>
          </w:p>
          <w:p>
            <w:pPr>
              <w:snapToGrid w:val="0"/>
              <w:spacing w:line="360" w:lineRule="auto"/>
              <w:ind w:firstLine="482" w:firstLineChars="200"/>
              <w:rPr>
                <w:b/>
                <w:sz w:val="24"/>
              </w:rPr>
            </w:pPr>
            <w:r>
              <w:rPr>
                <w:b/>
                <w:sz w:val="24"/>
              </w:rPr>
              <w:t>3、监测时间及要求</w:t>
            </w:r>
          </w:p>
          <w:p>
            <w:pPr>
              <w:snapToGrid w:val="0"/>
              <w:spacing w:line="360" w:lineRule="auto"/>
              <w:ind w:firstLine="480" w:firstLineChars="200"/>
              <w:rPr>
                <w:sz w:val="24"/>
              </w:rPr>
            </w:pPr>
            <w:r>
              <w:rPr>
                <w:sz w:val="24"/>
              </w:rPr>
              <w:t>监测时间按：2021年7月9日</w:t>
            </w:r>
          </w:p>
          <w:p>
            <w:pPr>
              <w:snapToGrid w:val="0"/>
              <w:spacing w:line="360" w:lineRule="auto"/>
              <w:ind w:firstLine="480" w:firstLineChars="200"/>
              <w:rPr>
                <w:sz w:val="24"/>
              </w:rPr>
            </w:pPr>
            <w:r>
              <w:rPr>
                <w:sz w:val="24"/>
              </w:rPr>
              <w:t>监测要求：采样和分析按《声环境质量标准》（GB3096-2008）的规定，采用符合国家计量规定的声级进行监测。</w:t>
            </w:r>
          </w:p>
          <w:p>
            <w:pPr>
              <w:spacing w:line="360" w:lineRule="auto"/>
              <w:ind w:firstLine="472" w:firstLineChars="196"/>
              <w:rPr>
                <w:b/>
                <w:bCs/>
                <w:sz w:val="24"/>
              </w:rPr>
            </w:pPr>
            <w:r>
              <w:rPr>
                <w:b/>
                <w:bCs/>
                <w:sz w:val="24"/>
              </w:rPr>
              <w:t>4、监测结果</w:t>
            </w:r>
          </w:p>
          <w:p>
            <w:pPr>
              <w:pStyle w:val="2"/>
              <w:spacing w:before="0" w:after="0" w:line="276" w:lineRule="auto"/>
              <w:ind w:right="0"/>
              <w:jc w:val="center"/>
              <w:rPr>
                <w:rFonts w:eastAsia="黑体"/>
                <w:sz w:val="24"/>
                <w:szCs w:val="24"/>
              </w:rPr>
            </w:pPr>
            <w:r>
              <w:rPr>
                <w:rFonts w:eastAsia="黑体"/>
                <w:sz w:val="24"/>
                <w:szCs w:val="24"/>
              </w:rPr>
              <w:t>表3-4    项目噪声监测值  单位：dB（A）</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240"/>
              <w:gridCol w:w="896"/>
              <w:gridCol w:w="3740"/>
              <w:gridCol w:w="728"/>
              <w:gridCol w:w="152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763" w:type="pct"/>
                  <w:shd w:val="clear" w:color="auto" w:fill="CCFFFF"/>
                  <w:noWrap w:val="0"/>
                  <w:vAlign w:val="center"/>
                </w:tcPr>
                <w:p>
                  <w:pPr>
                    <w:autoSpaceDE w:val="0"/>
                    <w:autoSpaceDN w:val="0"/>
                    <w:adjustRightInd w:val="0"/>
                    <w:jc w:val="center"/>
                    <w:rPr>
                      <w:sz w:val="22"/>
                      <w:szCs w:val="22"/>
                    </w:rPr>
                  </w:pPr>
                  <w:r>
                    <w:rPr>
                      <w:b/>
                      <w:bCs/>
                      <w:sz w:val="22"/>
                      <w:szCs w:val="22"/>
                    </w:rPr>
                    <w:t>采样日期</w:t>
                  </w:r>
                </w:p>
              </w:tc>
              <w:tc>
                <w:tcPr>
                  <w:tcW w:w="551" w:type="pct"/>
                  <w:shd w:val="clear" w:color="auto" w:fill="CCFFFF"/>
                  <w:noWrap w:val="0"/>
                  <w:vAlign w:val="center"/>
                </w:tcPr>
                <w:p>
                  <w:pPr>
                    <w:jc w:val="center"/>
                    <w:rPr>
                      <w:b/>
                      <w:bCs/>
                      <w:sz w:val="22"/>
                      <w:szCs w:val="22"/>
                    </w:rPr>
                  </w:pPr>
                  <w:r>
                    <w:rPr>
                      <w:b/>
                      <w:bCs/>
                      <w:sz w:val="22"/>
                      <w:szCs w:val="22"/>
                    </w:rPr>
                    <w:t>测点</w:t>
                  </w:r>
                </w:p>
                <w:p>
                  <w:pPr>
                    <w:jc w:val="center"/>
                    <w:rPr>
                      <w:sz w:val="22"/>
                      <w:szCs w:val="22"/>
                    </w:rPr>
                  </w:pPr>
                  <w:r>
                    <w:rPr>
                      <w:b/>
                      <w:bCs/>
                      <w:sz w:val="22"/>
                      <w:szCs w:val="22"/>
                    </w:rPr>
                    <w:t>编号</w:t>
                  </w:r>
                </w:p>
              </w:tc>
              <w:tc>
                <w:tcPr>
                  <w:tcW w:w="2301" w:type="pct"/>
                  <w:shd w:val="clear" w:color="auto" w:fill="CCFFFF"/>
                  <w:noWrap w:val="0"/>
                  <w:vAlign w:val="center"/>
                </w:tcPr>
                <w:p>
                  <w:pPr>
                    <w:jc w:val="center"/>
                    <w:rPr>
                      <w:b/>
                      <w:bCs/>
                      <w:sz w:val="22"/>
                      <w:szCs w:val="22"/>
                    </w:rPr>
                  </w:pPr>
                  <w:r>
                    <w:rPr>
                      <w:b/>
                      <w:bCs/>
                      <w:sz w:val="22"/>
                      <w:szCs w:val="22"/>
                    </w:rPr>
                    <w:t>测点信息</w:t>
                  </w:r>
                </w:p>
              </w:tc>
              <w:tc>
                <w:tcPr>
                  <w:tcW w:w="448" w:type="pct"/>
                  <w:shd w:val="clear" w:color="auto" w:fill="CCFFFF"/>
                  <w:noWrap w:val="0"/>
                  <w:vAlign w:val="center"/>
                </w:tcPr>
                <w:p>
                  <w:pPr>
                    <w:jc w:val="center"/>
                    <w:rPr>
                      <w:b/>
                      <w:bCs/>
                      <w:sz w:val="22"/>
                      <w:szCs w:val="22"/>
                    </w:rPr>
                  </w:pPr>
                  <w:r>
                    <w:rPr>
                      <w:b/>
                      <w:bCs/>
                      <w:sz w:val="22"/>
                      <w:szCs w:val="22"/>
                    </w:rPr>
                    <w:t>检测</w:t>
                  </w:r>
                </w:p>
                <w:p>
                  <w:pPr>
                    <w:jc w:val="center"/>
                    <w:rPr>
                      <w:b/>
                      <w:bCs/>
                      <w:sz w:val="22"/>
                      <w:szCs w:val="22"/>
                    </w:rPr>
                  </w:pPr>
                  <w:r>
                    <w:rPr>
                      <w:b/>
                      <w:bCs/>
                      <w:sz w:val="22"/>
                      <w:szCs w:val="22"/>
                    </w:rPr>
                    <w:t>时段</w:t>
                  </w:r>
                </w:p>
              </w:tc>
              <w:tc>
                <w:tcPr>
                  <w:tcW w:w="937" w:type="pct"/>
                  <w:shd w:val="clear" w:color="auto" w:fill="CCFFFF"/>
                  <w:noWrap w:val="0"/>
                  <w:vAlign w:val="center"/>
                </w:tcPr>
                <w:p>
                  <w:pPr>
                    <w:jc w:val="center"/>
                    <w:rPr>
                      <w:b/>
                      <w:bCs/>
                      <w:sz w:val="22"/>
                      <w:szCs w:val="22"/>
                    </w:rPr>
                  </w:pPr>
                  <w:r>
                    <w:rPr>
                      <w:b/>
                      <w:bCs/>
                      <w:sz w:val="22"/>
                      <w:szCs w:val="22"/>
                    </w:rPr>
                    <w:t>检测结果</w:t>
                  </w:r>
                </w:p>
                <w:p>
                  <w:pPr>
                    <w:jc w:val="center"/>
                    <w:rPr>
                      <w:sz w:val="22"/>
                      <w:szCs w:val="22"/>
                    </w:rPr>
                  </w:pPr>
                  <w:r>
                    <w:rPr>
                      <w:b/>
                      <w:bCs/>
                      <w:sz w:val="22"/>
                      <w:szCs w:val="22"/>
                    </w:rPr>
                    <w:t>dB（A）</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763" w:type="pct"/>
                  <w:vMerge w:val="restart"/>
                  <w:noWrap w:val="0"/>
                  <w:vAlign w:val="center"/>
                </w:tcPr>
                <w:p>
                  <w:pPr>
                    <w:jc w:val="center"/>
                    <w:rPr>
                      <w:sz w:val="22"/>
                      <w:szCs w:val="22"/>
                    </w:rPr>
                  </w:pPr>
                  <w:r>
                    <w:rPr>
                      <w:sz w:val="22"/>
                      <w:szCs w:val="22"/>
                    </w:rPr>
                    <w:t>2023.07.09</w:t>
                  </w:r>
                </w:p>
              </w:tc>
              <w:tc>
                <w:tcPr>
                  <w:tcW w:w="551" w:type="pct"/>
                  <w:vMerge w:val="restart"/>
                  <w:noWrap w:val="0"/>
                  <w:vAlign w:val="center"/>
                </w:tcPr>
                <w:p>
                  <w:pPr>
                    <w:jc w:val="center"/>
                    <w:rPr>
                      <w:sz w:val="22"/>
                      <w:szCs w:val="22"/>
                    </w:rPr>
                  </w:pPr>
                  <w:r>
                    <w:rPr>
                      <w:sz w:val="22"/>
                      <w:szCs w:val="22"/>
                    </w:rPr>
                    <w:t>1#</w:t>
                  </w:r>
                </w:p>
              </w:tc>
              <w:tc>
                <w:tcPr>
                  <w:tcW w:w="2301" w:type="pct"/>
                  <w:vMerge w:val="restart"/>
                  <w:noWrap w:val="0"/>
                  <w:vAlign w:val="center"/>
                </w:tcPr>
                <w:p>
                  <w:pPr>
                    <w:jc w:val="center"/>
                    <w:rPr>
                      <w:sz w:val="22"/>
                      <w:szCs w:val="22"/>
                    </w:rPr>
                  </w:pPr>
                  <w:r>
                    <w:rPr>
                      <w:sz w:val="22"/>
                      <w:szCs w:val="22"/>
                    </w:rPr>
                    <w:t>项目东侧厂界外1m，高于围墙0.5m以上</w:t>
                  </w:r>
                </w:p>
              </w:tc>
              <w:tc>
                <w:tcPr>
                  <w:tcW w:w="448" w:type="pct"/>
                  <w:noWrap w:val="0"/>
                  <w:vAlign w:val="center"/>
                </w:tcPr>
                <w:p>
                  <w:pPr>
                    <w:jc w:val="center"/>
                    <w:rPr>
                      <w:sz w:val="22"/>
                      <w:szCs w:val="22"/>
                    </w:rPr>
                  </w:pPr>
                  <w:r>
                    <w:rPr>
                      <w:sz w:val="22"/>
                      <w:szCs w:val="22"/>
                    </w:rPr>
                    <w:t>昼间</w:t>
                  </w:r>
                </w:p>
              </w:tc>
              <w:tc>
                <w:tcPr>
                  <w:tcW w:w="937" w:type="pct"/>
                  <w:noWrap w:val="0"/>
                  <w:vAlign w:val="center"/>
                </w:tcPr>
                <w:p>
                  <w:pPr>
                    <w:jc w:val="center"/>
                    <w:rPr>
                      <w:sz w:val="22"/>
                      <w:szCs w:val="22"/>
                    </w:rPr>
                  </w:pPr>
                  <w:r>
                    <w:rPr>
                      <w:sz w:val="22"/>
                      <w:szCs w:val="22"/>
                    </w:rPr>
                    <w:t>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763" w:type="pct"/>
                  <w:vMerge w:val="continue"/>
                  <w:noWrap w:val="0"/>
                  <w:vAlign w:val="center"/>
                </w:tcPr>
                <w:p>
                  <w:pPr>
                    <w:jc w:val="center"/>
                    <w:rPr>
                      <w:sz w:val="22"/>
                      <w:szCs w:val="22"/>
                    </w:rPr>
                  </w:pPr>
                </w:p>
              </w:tc>
              <w:tc>
                <w:tcPr>
                  <w:tcW w:w="551" w:type="pct"/>
                  <w:vMerge w:val="continue"/>
                  <w:noWrap w:val="0"/>
                  <w:vAlign w:val="center"/>
                </w:tcPr>
                <w:p>
                  <w:pPr>
                    <w:jc w:val="center"/>
                    <w:rPr>
                      <w:sz w:val="22"/>
                      <w:szCs w:val="22"/>
                    </w:rPr>
                  </w:pPr>
                </w:p>
              </w:tc>
              <w:tc>
                <w:tcPr>
                  <w:tcW w:w="2301" w:type="pct"/>
                  <w:vMerge w:val="continue"/>
                  <w:noWrap w:val="0"/>
                  <w:vAlign w:val="center"/>
                </w:tcPr>
                <w:p>
                  <w:pPr>
                    <w:jc w:val="center"/>
                    <w:rPr>
                      <w:sz w:val="22"/>
                      <w:szCs w:val="22"/>
                    </w:rPr>
                  </w:pPr>
                </w:p>
              </w:tc>
              <w:tc>
                <w:tcPr>
                  <w:tcW w:w="448" w:type="pct"/>
                  <w:noWrap w:val="0"/>
                  <w:vAlign w:val="center"/>
                </w:tcPr>
                <w:p>
                  <w:pPr>
                    <w:jc w:val="center"/>
                    <w:rPr>
                      <w:sz w:val="22"/>
                      <w:szCs w:val="22"/>
                    </w:rPr>
                  </w:pPr>
                  <w:r>
                    <w:rPr>
                      <w:sz w:val="22"/>
                      <w:szCs w:val="22"/>
                    </w:rPr>
                    <w:t>夜间</w:t>
                  </w:r>
                </w:p>
              </w:tc>
              <w:tc>
                <w:tcPr>
                  <w:tcW w:w="937" w:type="pct"/>
                  <w:noWrap w:val="0"/>
                  <w:vAlign w:val="center"/>
                </w:tcPr>
                <w:p>
                  <w:pPr>
                    <w:jc w:val="center"/>
                    <w:rPr>
                      <w:sz w:val="22"/>
                      <w:szCs w:val="22"/>
                    </w:rPr>
                  </w:pPr>
                  <w:r>
                    <w:rPr>
                      <w:sz w:val="22"/>
                      <w:szCs w:val="22"/>
                    </w:rPr>
                    <w:t>46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763" w:type="pct"/>
                  <w:vMerge w:val="continue"/>
                  <w:noWrap w:val="0"/>
                  <w:vAlign w:val="center"/>
                </w:tcPr>
                <w:p>
                  <w:pPr>
                    <w:jc w:val="center"/>
                    <w:rPr>
                      <w:sz w:val="22"/>
                      <w:szCs w:val="22"/>
                    </w:rPr>
                  </w:pPr>
                </w:p>
              </w:tc>
              <w:tc>
                <w:tcPr>
                  <w:tcW w:w="551" w:type="pct"/>
                  <w:vMerge w:val="restart"/>
                  <w:noWrap w:val="0"/>
                  <w:vAlign w:val="center"/>
                </w:tcPr>
                <w:p>
                  <w:pPr>
                    <w:jc w:val="center"/>
                    <w:rPr>
                      <w:sz w:val="22"/>
                      <w:szCs w:val="22"/>
                    </w:rPr>
                  </w:pPr>
                  <w:r>
                    <w:rPr>
                      <w:sz w:val="22"/>
                      <w:szCs w:val="22"/>
                    </w:rPr>
                    <w:t>2#</w:t>
                  </w:r>
                </w:p>
              </w:tc>
              <w:tc>
                <w:tcPr>
                  <w:tcW w:w="2301" w:type="pct"/>
                  <w:vMerge w:val="restart"/>
                  <w:noWrap w:val="0"/>
                  <w:vAlign w:val="center"/>
                </w:tcPr>
                <w:p>
                  <w:pPr>
                    <w:jc w:val="center"/>
                    <w:rPr>
                      <w:sz w:val="22"/>
                      <w:szCs w:val="22"/>
                    </w:rPr>
                  </w:pPr>
                  <w:r>
                    <w:rPr>
                      <w:sz w:val="22"/>
                      <w:szCs w:val="22"/>
                    </w:rPr>
                    <w:t>项目南侧厂界外1m，高于围墙0.5m以上</w:t>
                  </w:r>
                </w:p>
              </w:tc>
              <w:tc>
                <w:tcPr>
                  <w:tcW w:w="448" w:type="pct"/>
                  <w:noWrap w:val="0"/>
                  <w:vAlign w:val="center"/>
                </w:tcPr>
                <w:p>
                  <w:pPr>
                    <w:jc w:val="center"/>
                    <w:rPr>
                      <w:sz w:val="22"/>
                      <w:szCs w:val="22"/>
                    </w:rPr>
                  </w:pPr>
                  <w:r>
                    <w:rPr>
                      <w:sz w:val="22"/>
                      <w:szCs w:val="22"/>
                    </w:rPr>
                    <w:t>昼间</w:t>
                  </w:r>
                </w:p>
              </w:tc>
              <w:tc>
                <w:tcPr>
                  <w:tcW w:w="937" w:type="pct"/>
                  <w:noWrap w:val="0"/>
                  <w:vAlign w:val="center"/>
                </w:tcPr>
                <w:p>
                  <w:pPr>
                    <w:jc w:val="center"/>
                    <w:rPr>
                      <w:sz w:val="22"/>
                      <w:szCs w:val="22"/>
                    </w:rPr>
                  </w:pPr>
                  <w:r>
                    <w:rPr>
                      <w:sz w:val="22"/>
                      <w:szCs w:val="22"/>
                    </w:rPr>
                    <w:t>51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763" w:type="pct"/>
                  <w:vMerge w:val="continue"/>
                  <w:noWrap w:val="0"/>
                  <w:vAlign w:val="center"/>
                </w:tcPr>
                <w:p>
                  <w:pPr>
                    <w:jc w:val="center"/>
                    <w:rPr>
                      <w:sz w:val="22"/>
                      <w:szCs w:val="22"/>
                    </w:rPr>
                  </w:pPr>
                </w:p>
              </w:tc>
              <w:tc>
                <w:tcPr>
                  <w:tcW w:w="551" w:type="pct"/>
                  <w:vMerge w:val="continue"/>
                  <w:noWrap w:val="0"/>
                  <w:vAlign w:val="center"/>
                </w:tcPr>
                <w:p>
                  <w:pPr>
                    <w:jc w:val="center"/>
                    <w:rPr>
                      <w:sz w:val="22"/>
                      <w:szCs w:val="22"/>
                    </w:rPr>
                  </w:pPr>
                </w:p>
              </w:tc>
              <w:tc>
                <w:tcPr>
                  <w:tcW w:w="2301" w:type="pct"/>
                  <w:vMerge w:val="continue"/>
                  <w:noWrap w:val="0"/>
                  <w:vAlign w:val="center"/>
                </w:tcPr>
                <w:p>
                  <w:pPr>
                    <w:jc w:val="center"/>
                    <w:rPr>
                      <w:sz w:val="22"/>
                      <w:szCs w:val="22"/>
                    </w:rPr>
                  </w:pPr>
                </w:p>
              </w:tc>
              <w:tc>
                <w:tcPr>
                  <w:tcW w:w="448" w:type="pct"/>
                  <w:noWrap w:val="0"/>
                  <w:vAlign w:val="center"/>
                </w:tcPr>
                <w:p>
                  <w:pPr>
                    <w:jc w:val="center"/>
                    <w:rPr>
                      <w:sz w:val="22"/>
                      <w:szCs w:val="22"/>
                    </w:rPr>
                  </w:pPr>
                  <w:r>
                    <w:rPr>
                      <w:sz w:val="22"/>
                      <w:szCs w:val="22"/>
                    </w:rPr>
                    <w:t>夜间</w:t>
                  </w:r>
                </w:p>
              </w:tc>
              <w:tc>
                <w:tcPr>
                  <w:tcW w:w="937" w:type="pct"/>
                  <w:noWrap w:val="0"/>
                  <w:vAlign w:val="center"/>
                </w:tcPr>
                <w:p>
                  <w:pPr>
                    <w:jc w:val="center"/>
                    <w:rPr>
                      <w:sz w:val="22"/>
                      <w:szCs w:val="22"/>
                    </w:rPr>
                  </w:pPr>
                  <w:r>
                    <w:rPr>
                      <w:sz w:val="22"/>
                      <w:szCs w:val="22"/>
                    </w:rPr>
                    <w:t>46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763" w:type="pct"/>
                  <w:vMerge w:val="continue"/>
                  <w:noWrap w:val="0"/>
                  <w:vAlign w:val="center"/>
                </w:tcPr>
                <w:p>
                  <w:pPr>
                    <w:jc w:val="center"/>
                    <w:rPr>
                      <w:sz w:val="22"/>
                      <w:szCs w:val="22"/>
                    </w:rPr>
                  </w:pPr>
                </w:p>
              </w:tc>
              <w:tc>
                <w:tcPr>
                  <w:tcW w:w="551" w:type="pct"/>
                  <w:vMerge w:val="restart"/>
                  <w:noWrap w:val="0"/>
                  <w:vAlign w:val="center"/>
                </w:tcPr>
                <w:p>
                  <w:pPr>
                    <w:jc w:val="center"/>
                    <w:rPr>
                      <w:sz w:val="22"/>
                      <w:szCs w:val="22"/>
                    </w:rPr>
                  </w:pPr>
                  <w:r>
                    <w:rPr>
                      <w:sz w:val="22"/>
                      <w:szCs w:val="22"/>
                    </w:rPr>
                    <w:t>3#</w:t>
                  </w:r>
                </w:p>
              </w:tc>
              <w:tc>
                <w:tcPr>
                  <w:tcW w:w="2301" w:type="pct"/>
                  <w:vMerge w:val="restart"/>
                  <w:noWrap w:val="0"/>
                  <w:vAlign w:val="center"/>
                </w:tcPr>
                <w:p>
                  <w:pPr>
                    <w:jc w:val="center"/>
                    <w:rPr>
                      <w:sz w:val="22"/>
                      <w:szCs w:val="22"/>
                    </w:rPr>
                  </w:pPr>
                  <w:r>
                    <w:rPr>
                      <w:sz w:val="22"/>
                      <w:szCs w:val="22"/>
                    </w:rPr>
                    <w:t>项目西侧厂界外1m处</w:t>
                  </w:r>
                </w:p>
              </w:tc>
              <w:tc>
                <w:tcPr>
                  <w:tcW w:w="448" w:type="pct"/>
                  <w:noWrap w:val="0"/>
                  <w:vAlign w:val="center"/>
                </w:tcPr>
                <w:p>
                  <w:pPr>
                    <w:jc w:val="center"/>
                    <w:rPr>
                      <w:sz w:val="22"/>
                      <w:szCs w:val="22"/>
                    </w:rPr>
                  </w:pPr>
                  <w:r>
                    <w:rPr>
                      <w:sz w:val="22"/>
                      <w:szCs w:val="22"/>
                    </w:rPr>
                    <w:t>昼间</w:t>
                  </w:r>
                </w:p>
              </w:tc>
              <w:tc>
                <w:tcPr>
                  <w:tcW w:w="937" w:type="pct"/>
                  <w:noWrap w:val="0"/>
                  <w:vAlign w:val="center"/>
                </w:tcPr>
                <w:p>
                  <w:pPr>
                    <w:jc w:val="center"/>
                    <w:rPr>
                      <w:sz w:val="22"/>
                      <w:szCs w:val="22"/>
                    </w:rPr>
                  </w:pPr>
                  <w:r>
                    <w:rPr>
                      <w:sz w:val="22"/>
                      <w:szCs w:val="22"/>
                    </w:rPr>
                    <w:t>51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763" w:type="pct"/>
                  <w:vMerge w:val="continue"/>
                  <w:noWrap w:val="0"/>
                  <w:vAlign w:val="center"/>
                </w:tcPr>
                <w:p>
                  <w:pPr>
                    <w:jc w:val="center"/>
                    <w:rPr>
                      <w:sz w:val="22"/>
                      <w:szCs w:val="22"/>
                    </w:rPr>
                  </w:pPr>
                </w:p>
              </w:tc>
              <w:tc>
                <w:tcPr>
                  <w:tcW w:w="551" w:type="pct"/>
                  <w:vMerge w:val="continue"/>
                  <w:noWrap w:val="0"/>
                  <w:vAlign w:val="center"/>
                </w:tcPr>
                <w:p>
                  <w:pPr>
                    <w:jc w:val="center"/>
                    <w:rPr>
                      <w:sz w:val="22"/>
                      <w:szCs w:val="22"/>
                    </w:rPr>
                  </w:pPr>
                </w:p>
              </w:tc>
              <w:tc>
                <w:tcPr>
                  <w:tcW w:w="2301" w:type="pct"/>
                  <w:vMerge w:val="continue"/>
                  <w:noWrap w:val="0"/>
                  <w:vAlign w:val="center"/>
                </w:tcPr>
                <w:p>
                  <w:pPr>
                    <w:jc w:val="center"/>
                    <w:rPr>
                      <w:sz w:val="22"/>
                      <w:szCs w:val="22"/>
                    </w:rPr>
                  </w:pPr>
                </w:p>
              </w:tc>
              <w:tc>
                <w:tcPr>
                  <w:tcW w:w="448" w:type="pct"/>
                  <w:noWrap w:val="0"/>
                  <w:vAlign w:val="center"/>
                </w:tcPr>
                <w:p>
                  <w:pPr>
                    <w:jc w:val="center"/>
                    <w:rPr>
                      <w:sz w:val="22"/>
                      <w:szCs w:val="22"/>
                    </w:rPr>
                  </w:pPr>
                  <w:r>
                    <w:rPr>
                      <w:sz w:val="22"/>
                      <w:szCs w:val="22"/>
                    </w:rPr>
                    <w:t>夜间</w:t>
                  </w:r>
                </w:p>
              </w:tc>
              <w:tc>
                <w:tcPr>
                  <w:tcW w:w="937" w:type="pct"/>
                  <w:noWrap w:val="0"/>
                  <w:vAlign w:val="center"/>
                </w:tcPr>
                <w:p>
                  <w:pPr>
                    <w:jc w:val="center"/>
                    <w:rPr>
                      <w:sz w:val="22"/>
                      <w:szCs w:val="22"/>
                    </w:rPr>
                  </w:pPr>
                  <w:r>
                    <w:rPr>
                      <w:sz w:val="22"/>
                      <w:szCs w:val="22"/>
                    </w:rPr>
                    <w:t>45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763" w:type="pct"/>
                  <w:vMerge w:val="continue"/>
                  <w:noWrap w:val="0"/>
                  <w:vAlign w:val="center"/>
                </w:tcPr>
                <w:p>
                  <w:pPr>
                    <w:jc w:val="center"/>
                    <w:rPr>
                      <w:sz w:val="22"/>
                      <w:szCs w:val="22"/>
                    </w:rPr>
                  </w:pPr>
                </w:p>
              </w:tc>
              <w:tc>
                <w:tcPr>
                  <w:tcW w:w="551" w:type="pct"/>
                  <w:vMerge w:val="restart"/>
                  <w:noWrap w:val="0"/>
                  <w:vAlign w:val="center"/>
                </w:tcPr>
                <w:p>
                  <w:pPr>
                    <w:jc w:val="center"/>
                    <w:rPr>
                      <w:sz w:val="22"/>
                      <w:szCs w:val="22"/>
                    </w:rPr>
                  </w:pPr>
                  <w:r>
                    <w:rPr>
                      <w:sz w:val="22"/>
                      <w:szCs w:val="22"/>
                    </w:rPr>
                    <w:t>4#</w:t>
                  </w:r>
                </w:p>
              </w:tc>
              <w:tc>
                <w:tcPr>
                  <w:tcW w:w="2301" w:type="pct"/>
                  <w:vMerge w:val="restart"/>
                  <w:noWrap w:val="0"/>
                  <w:vAlign w:val="center"/>
                </w:tcPr>
                <w:p>
                  <w:pPr>
                    <w:jc w:val="center"/>
                    <w:rPr>
                      <w:sz w:val="22"/>
                      <w:szCs w:val="22"/>
                    </w:rPr>
                  </w:pPr>
                  <w:r>
                    <w:rPr>
                      <w:sz w:val="22"/>
                      <w:szCs w:val="22"/>
                    </w:rPr>
                    <w:t>项目北侧厂界外1m，高于围墙0.5m以上</w:t>
                  </w:r>
                </w:p>
              </w:tc>
              <w:tc>
                <w:tcPr>
                  <w:tcW w:w="448" w:type="pct"/>
                  <w:noWrap w:val="0"/>
                  <w:vAlign w:val="center"/>
                </w:tcPr>
                <w:p>
                  <w:pPr>
                    <w:jc w:val="center"/>
                    <w:rPr>
                      <w:sz w:val="22"/>
                      <w:szCs w:val="22"/>
                    </w:rPr>
                  </w:pPr>
                  <w:r>
                    <w:rPr>
                      <w:sz w:val="22"/>
                      <w:szCs w:val="22"/>
                    </w:rPr>
                    <w:t>昼间</w:t>
                  </w:r>
                </w:p>
              </w:tc>
              <w:tc>
                <w:tcPr>
                  <w:tcW w:w="937" w:type="pct"/>
                  <w:noWrap w:val="0"/>
                  <w:vAlign w:val="center"/>
                </w:tcPr>
                <w:p>
                  <w:pPr>
                    <w:jc w:val="center"/>
                    <w:rPr>
                      <w:sz w:val="22"/>
                      <w:szCs w:val="22"/>
                    </w:rPr>
                  </w:pPr>
                  <w:r>
                    <w:rPr>
                      <w:sz w:val="22"/>
                      <w:szCs w:val="22"/>
                    </w:rPr>
                    <w:t>49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763" w:type="pct"/>
                  <w:vMerge w:val="continue"/>
                  <w:noWrap w:val="0"/>
                  <w:vAlign w:val="center"/>
                </w:tcPr>
                <w:p>
                  <w:pPr>
                    <w:jc w:val="center"/>
                    <w:rPr>
                      <w:sz w:val="22"/>
                      <w:szCs w:val="22"/>
                    </w:rPr>
                  </w:pPr>
                </w:p>
              </w:tc>
              <w:tc>
                <w:tcPr>
                  <w:tcW w:w="551" w:type="pct"/>
                  <w:vMerge w:val="continue"/>
                  <w:noWrap w:val="0"/>
                  <w:vAlign w:val="center"/>
                </w:tcPr>
                <w:p>
                  <w:pPr>
                    <w:jc w:val="center"/>
                    <w:rPr>
                      <w:sz w:val="22"/>
                      <w:szCs w:val="22"/>
                    </w:rPr>
                  </w:pPr>
                </w:p>
              </w:tc>
              <w:tc>
                <w:tcPr>
                  <w:tcW w:w="2301" w:type="pct"/>
                  <w:vMerge w:val="continue"/>
                  <w:noWrap w:val="0"/>
                  <w:vAlign w:val="center"/>
                </w:tcPr>
                <w:p>
                  <w:pPr>
                    <w:jc w:val="center"/>
                    <w:rPr>
                      <w:sz w:val="22"/>
                      <w:szCs w:val="22"/>
                    </w:rPr>
                  </w:pPr>
                </w:p>
              </w:tc>
              <w:tc>
                <w:tcPr>
                  <w:tcW w:w="448" w:type="pct"/>
                  <w:noWrap w:val="0"/>
                  <w:vAlign w:val="center"/>
                </w:tcPr>
                <w:p>
                  <w:pPr>
                    <w:jc w:val="center"/>
                    <w:rPr>
                      <w:sz w:val="22"/>
                      <w:szCs w:val="22"/>
                    </w:rPr>
                  </w:pPr>
                  <w:r>
                    <w:rPr>
                      <w:sz w:val="22"/>
                      <w:szCs w:val="22"/>
                    </w:rPr>
                    <w:t>夜间</w:t>
                  </w:r>
                </w:p>
              </w:tc>
              <w:tc>
                <w:tcPr>
                  <w:tcW w:w="937" w:type="pct"/>
                  <w:noWrap w:val="0"/>
                  <w:vAlign w:val="center"/>
                </w:tcPr>
                <w:p>
                  <w:pPr>
                    <w:jc w:val="center"/>
                    <w:rPr>
                      <w:sz w:val="22"/>
                      <w:szCs w:val="22"/>
                    </w:rPr>
                  </w:pPr>
                  <w:r>
                    <w:rPr>
                      <w:sz w:val="22"/>
                      <w:szCs w:val="22"/>
                    </w:rPr>
                    <w:t>45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763" w:type="pct"/>
                  <w:vMerge w:val="continue"/>
                  <w:noWrap w:val="0"/>
                  <w:vAlign w:val="center"/>
                </w:tcPr>
                <w:p>
                  <w:pPr>
                    <w:jc w:val="center"/>
                    <w:rPr>
                      <w:sz w:val="22"/>
                      <w:szCs w:val="22"/>
                    </w:rPr>
                  </w:pPr>
                </w:p>
              </w:tc>
              <w:tc>
                <w:tcPr>
                  <w:tcW w:w="551" w:type="pct"/>
                  <w:vMerge w:val="restart"/>
                  <w:noWrap w:val="0"/>
                  <w:vAlign w:val="center"/>
                </w:tcPr>
                <w:p>
                  <w:pPr>
                    <w:jc w:val="center"/>
                    <w:rPr>
                      <w:sz w:val="22"/>
                      <w:szCs w:val="22"/>
                    </w:rPr>
                  </w:pPr>
                  <w:r>
                    <w:rPr>
                      <w:sz w:val="22"/>
                      <w:szCs w:val="22"/>
                    </w:rPr>
                    <w:t>5#</w:t>
                  </w:r>
                </w:p>
              </w:tc>
              <w:tc>
                <w:tcPr>
                  <w:tcW w:w="2301" w:type="pct"/>
                  <w:vMerge w:val="restart"/>
                  <w:noWrap w:val="0"/>
                  <w:vAlign w:val="center"/>
                </w:tcPr>
                <w:p>
                  <w:pPr>
                    <w:jc w:val="center"/>
                    <w:rPr>
                      <w:sz w:val="22"/>
                      <w:szCs w:val="22"/>
                    </w:rPr>
                  </w:pPr>
                  <w:r>
                    <w:rPr>
                      <w:sz w:val="22"/>
                      <w:szCs w:val="22"/>
                    </w:rPr>
                    <w:t>项目南侧约25m居民房门外1m处</w:t>
                  </w:r>
                </w:p>
              </w:tc>
              <w:tc>
                <w:tcPr>
                  <w:tcW w:w="448" w:type="pct"/>
                  <w:noWrap w:val="0"/>
                  <w:vAlign w:val="center"/>
                </w:tcPr>
                <w:p>
                  <w:pPr>
                    <w:jc w:val="center"/>
                    <w:rPr>
                      <w:sz w:val="22"/>
                      <w:szCs w:val="22"/>
                    </w:rPr>
                  </w:pPr>
                  <w:r>
                    <w:rPr>
                      <w:sz w:val="22"/>
                      <w:szCs w:val="22"/>
                    </w:rPr>
                    <w:t>昼间</w:t>
                  </w:r>
                </w:p>
              </w:tc>
              <w:tc>
                <w:tcPr>
                  <w:tcW w:w="937" w:type="pct"/>
                  <w:noWrap w:val="0"/>
                  <w:vAlign w:val="center"/>
                </w:tcPr>
                <w:p>
                  <w:pPr>
                    <w:jc w:val="center"/>
                    <w:rPr>
                      <w:sz w:val="22"/>
                      <w:szCs w:val="22"/>
                    </w:rPr>
                  </w:pPr>
                  <w:r>
                    <w:rPr>
                      <w:sz w:val="22"/>
                      <w:szCs w:val="22"/>
                    </w:rPr>
                    <w:t>51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763" w:type="pct"/>
                  <w:vMerge w:val="continue"/>
                  <w:noWrap w:val="0"/>
                  <w:vAlign w:val="center"/>
                </w:tcPr>
                <w:p>
                  <w:pPr>
                    <w:jc w:val="center"/>
                    <w:rPr>
                      <w:sz w:val="22"/>
                      <w:szCs w:val="22"/>
                    </w:rPr>
                  </w:pPr>
                </w:p>
              </w:tc>
              <w:tc>
                <w:tcPr>
                  <w:tcW w:w="551" w:type="pct"/>
                  <w:vMerge w:val="continue"/>
                  <w:noWrap w:val="0"/>
                  <w:vAlign w:val="center"/>
                </w:tcPr>
                <w:p>
                  <w:pPr>
                    <w:jc w:val="center"/>
                    <w:rPr>
                      <w:sz w:val="22"/>
                      <w:szCs w:val="22"/>
                    </w:rPr>
                  </w:pPr>
                </w:p>
              </w:tc>
              <w:tc>
                <w:tcPr>
                  <w:tcW w:w="2301" w:type="pct"/>
                  <w:vMerge w:val="continue"/>
                  <w:noWrap w:val="0"/>
                  <w:vAlign w:val="center"/>
                </w:tcPr>
                <w:p>
                  <w:pPr>
                    <w:jc w:val="center"/>
                    <w:rPr>
                      <w:sz w:val="22"/>
                      <w:szCs w:val="22"/>
                    </w:rPr>
                  </w:pPr>
                </w:p>
              </w:tc>
              <w:tc>
                <w:tcPr>
                  <w:tcW w:w="448" w:type="pct"/>
                  <w:noWrap w:val="0"/>
                  <w:vAlign w:val="center"/>
                </w:tcPr>
                <w:p>
                  <w:pPr>
                    <w:jc w:val="center"/>
                    <w:rPr>
                      <w:sz w:val="22"/>
                      <w:szCs w:val="22"/>
                    </w:rPr>
                  </w:pPr>
                  <w:r>
                    <w:rPr>
                      <w:sz w:val="22"/>
                      <w:szCs w:val="22"/>
                    </w:rPr>
                    <w:t>夜间</w:t>
                  </w:r>
                </w:p>
              </w:tc>
              <w:tc>
                <w:tcPr>
                  <w:tcW w:w="937" w:type="pct"/>
                  <w:noWrap w:val="0"/>
                  <w:vAlign w:val="center"/>
                </w:tcPr>
                <w:p>
                  <w:pPr>
                    <w:jc w:val="center"/>
                    <w:rPr>
                      <w:sz w:val="22"/>
                      <w:szCs w:val="22"/>
                    </w:rPr>
                  </w:pPr>
                  <w:r>
                    <w:rPr>
                      <w:sz w:val="22"/>
                      <w:szCs w:val="22"/>
                    </w:rPr>
                    <w:t>47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763" w:type="pct"/>
                  <w:vMerge w:val="continue"/>
                  <w:noWrap w:val="0"/>
                  <w:vAlign w:val="center"/>
                </w:tcPr>
                <w:p>
                  <w:pPr>
                    <w:jc w:val="center"/>
                    <w:rPr>
                      <w:sz w:val="22"/>
                      <w:szCs w:val="22"/>
                    </w:rPr>
                  </w:pPr>
                </w:p>
              </w:tc>
              <w:tc>
                <w:tcPr>
                  <w:tcW w:w="551" w:type="pct"/>
                  <w:vMerge w:val="restart"/>
                  <w:noWrap w:val="0"/>
                  <w:vAlign w:val="center"/>
                </w:tcPr>
                <w:p>
                  <w:pPr>
                    <w:jc w:val="center"/>
                    <w:rPr>
                      <w:sz w:val="22"/>
                      <w:szCs w:val="22"/>
                    </w:rPr>
                  </w:pPr>
                  <w:r>
                    <w:rPr>
                      <w:sz w:val="22"/>
                      <w:szCs w:val="22"/>
                    </w:rPr>
                    <w:t>6#</w:t>
                  </w:r>
                </w:p>
              </w:tc>
              <w:tc>
                <w:tcPr>
                  <w:tcW w:w="2301" w:type="pct"/>
                  <w:vMerge w:val="restart"/>
                  <w:noWrap w:val="0"/>
                  <w:vAlign w:val="center"/>
                </w:tcPr>
                <w:p>
                  <w:pPr>
                    <w:jc w:val="center"/>
                    <w:rPr>
                      <w:sz w:val="22"/>
                      <w:szCs w:val="22"/>
                    </w:rPr>
                  </w:pPr>
                  <w:r>
                    <w:rPr>
                      <w:sz w:val="22"/>
                      <w:szCs w:val="22"/>
                    </w:rPr>
                    <w:t>项目西侧约10m居民房门外1m处</w:t>
                  </w:r>
                </w:p>
              </w:tc>
              <w:tc>
                <w:tcPr>
                  <w:tcW w:w="448" w:type="pct"/>
                  <w:noWrap w:val="0"/>
                  <w:vAlign w:val="center"/>
                </w:tcPr>
                <w:p>
                  <w:pPr>
                    <w:jc w:val="center"/>
                    <w:rPr>
                      <w:sz w:val="22"/>
                      <w:szCs w:val="22"/>
                    </w:rPr>
                  </w:pPr>
                  <w:r>
                    <w:rPr>
                      <w:sz w:val="22"/>
                      <w:szCs w:val="22"/>
                    </w:rPr>
                    <w:t>昼间</w:t>
                  </w:r>
                </w:p>
              </w:tc>
              <w:tc>
                <w:tcPr>
                  <w:tcW w:w="937" w:type="pct"/>
                  <w:noWrap w:val="0"/>
                  <w:vAlign w:val="center"/>
                </w:tcPr>
                <w:p>
                  <w:pPr>
                    <w:jc w:val="center"/>
                    <w:rPr>
                      <w:sz w:val="22"/>
                      <w:szCs w:val="22"/>
                    </w:rPr>
                  </w:pPr>
                  <w:r>
                    <w:rPr>
                      <w:sz w:val="22"/>
                      <w:szCs w:val="22"/>
                    </w:rPr>
                    <w:t>52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763" w:type="pct"/>
                  <w:vMerge w:val="continue"/>
                  <w:noWrap w:val="0"/>
                  <w:vAlign w:val="center"/>
                </w:tcPr>
                <w:p>
                  <w:pPr>
                    <w:jc w:val="center"/>
                    <w:rPr>
                      <w:sz w:val="22"/>
                      <w:szCs w:val="22"/>
                    </w:rPr>
                  </w:pPr>
                </w:p>
              </w:tc>
              <w:tc>
                <w:tcPr>
                  <w:tcW w:w="551" w:type="pct"/>
                  <w:vMerge w:val="continue"/>
                  <w:noWrap w:val="0"/>
                  <w:vAlign w:val="center"/>
                </w:tcPr>
                <w:p>
                  <w:pPr>
                    <w:jc w:val="center"/>
                    <w:rPr>
                      <w:sz w:val="22"/>
                      <w:szCs w:val="22"/>
                    </w:rPr>
                  </w:pPr>
                </w:p>
              </w:tc>
              <w:tc>
                <w:tcPr>
                  <w:tcW w:w="2301" w:type="pct"/>
                  <w:vMerge w:val="continue"/>
                  <w:noWrap w:val="0"/>
                  <w:vAlign w:val="center"/>
                </w:tcPr>
                <w:p>
                  <w:pPr>
                    <w:jc w:val="center"/>
                    <w:rPr>
                      <w:sz w:val="22"/>
                      <w:szCs w:val="22"/>
                    </w:rPr>
                  </w:pPr>
                </w:p>
              </w:tc>
              <w:tc>
                <w:tcPr>
                  <w:tcW w:w="448" w:type="pct"/>
                  <w:noWrap w:val="0"/>
                  <w:vAlign w:val="center"/>
                </w:tcPr>
                <w:p>
                  <w:pPr>
                    <w:jc w:val="center"/>
                    <w:rPr>
                      <w:sz w:val="22"/>
                      <w:szCs w:val="22"/>
                    </w:rPr>
                  </w:pPr>
                  <w:r>
                    <w:rPr>
                      <w:sz w:val="22"/>
                      <w:szCs w:val="22"/>
                    </w:rPr>
                    <w:t>夜间</w:t>
                  </w:r>
                </w:p>
              </w:tc>
              <w:tc>
                <w:tcPr>
                  <w:tcW w:w="937" w:type="pct"/>
                  <w:noWrap w:val="0"/>
                  <w:vAlign w:val="center"/>
                </w:tcPr>
                <w:p>
                  <w:pPr>
                    <w:jc w:val="center"/>
                    <w:rPr>
                      <w:sz w:val="22"/>
                      <w:szCs w:val="22"/>
                    </w:rPr>
                  </w:pPr>
                  <w:r>
                    <w:rPr>
                      <w:sz w:val="22"/>
                      <w:szCs w:val="22"/>
                    </w:rPr>
                    <w:t>46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763" w:type="pct"/>
                  <w:vMerge w:val="continue"/>
                  <w:noWrap w:val="0"/>
                  <w:vAlign w:val="center"/>
                </w:tcPr>
                <w:p>
                  <w:pPr>
                    <w:jc w:val="center"/>
                    <w:rPr>
                      <w:sz w:val="22"/>
                      <w:szCs w:val="22"/>
                    </w:rPr>
                  </w:pPr>
                </w:p>
              </w:tc>
              <w:tc>
                <w:tcPr>
                  <w:tcW w:w="551" w:type="pct"/>
                  <w:vMerge w:val="restart"/>
                  <w:noWrap w:val="0"/>
                  <w:vAlign w:val="center"/>
                </w:tcPr>
                <w:p>
                  <w:pPr>
                    <w:jc w:val="center"/>
                    <w:rPr>
                      <w:sz w:val="22"/>
                      <w:szCs w:val="22"/>
                    </w:rPr>
                  </w:pPr>
                  <w:r>
                    <w:rPr>
                      <w:sz w:val="22"/>
                      <w:szCs w:val="22"/>
                    </w:rPr>
                    <w:t>7#</w:t>
                  </w:r>
                </w:p>
              </w:tc>
              <w:tc>
                <w:tcPr>
                  <w:tcW w:w="2301" w:type="pct"/>
                  <w:vMerge w:val="restart"/>
                  <w:noWrap w:val="0"/>
                  <w:vAlign w:val="center"/>
                </w:tcPr>
                <w:p>
                  <w:pPr>
                    <w:jc w:val="center"/>
                    <w:rPr>
                      <w:sz w:val="22"/>
                      <w:szCs w:val="22"/>
                    </w:rPr>
                  </w:pPr>
                  <w:r>
                    <w:rPr>
                      <w:sz w:val="22"/>
                      <w:szCs w:val="22"/>
                    </w:rPr>
                    <w:t>项目北侧约50m居民房门外1m处</w:t>
                  </w:r>
                </w:p>
              </w:tc>
              <w:tc>
                <w:tcPr>
                  <w:tcW w:w="448" w:type="pct"/>
                  <w:noWrap w:val="0"/>
                  <w:vAlign w:val="center"/>
                </w:tcPr>
                <w:p>
                  <w:pPr>
                    <w:jc w:val="center"/>
                    <w:rPr>
                      <w:sz w:val="22"/>
                      <w:szCs w:val="22"/>
                    </w:rPr>
                  </w:pPr>
                  <w:r>
                    <w:rPr>
                      <w:sz w:val="22"/>
                      <w:szCs w:val="22"/>
                    </w:rPr>
                    <w:t>昼间</w:t>
                  </w:r>
                </w:p>
              </w:tc>
              <w:tc>
                <w:tcPr>
                  <w:tcW w:w="937" w:type="pct"/>
                  <w:noWrap w:val="0"/>
                  <w:vAlign w:val="center"/>
                </w:tcPr>
                <w:p>
                  <w:pPr>
                    <w:jc w:val="center"/>
                    <w:rPr>
                      <w:sz w:val="22"/>
                      <w:szCs w:val="22"/>
                    </w:rPr>
                  </w:pPr>
                  <w:r>
                    <w:rPr>
                      <w:sz w:val="22"/>
                      <w:szCs w:val="22"/>
                    </w:rPr>
                    <w:t>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763" w:type="pct"/>
                  <w:vMerge w:val="continue"/>
                  <w:noWrap w:val="0"/>
                  <w:vAlign w:val="center"/>
                </w:tcPr>
                <w:p>
                  <w:pPr>
                    <w:jc w:val="center"/>
                    <w:rPr>
                      <w:sz w:val="22"/>
                      <w:szCs w:val="22"/>
                    </w:rPr>
                  </w:pPr>
                </w:p>
              </w:tc>
              <w:tc>
                <w:tcPr>
                  <w:tcW w:w="551" w:type="pct"/>
                  <w:vMerge w:val="continue"/>
                  <w:noWrap w:val="0"/>
                  <w:vAlign w:val="center"/>
                </w:tcPr>
                <w:p>
                  <w:pPr>
                    <w:jc w:val="center"/>
                    <w:rPr>
                      <w:sz w:val="22"/>
                      <w:szCs w:val="22"/>
                    </w:rPr>
                  </w:pPr>
                </w:p>
              </w:tc>
              <w:tc>
                <w:tcPr>
                  <w:tcW w:w="2301" w:type="pct"/>
                  <w:vMerge w:val="continue"/>
                  <w:noWrap w:val="0"/>
                  <w:vAlign w:val="center"/>
                </w:tcPr>
                <w:p>
                  <w:pPr>
                    <w:jc w:val="center"/>
                    <w:rPr>
                      <w:sz w:val="22"/>
                      <w:szCs w:val="22"/>
                    </w:rPr>
                  </w:pPr>
                </w:p>
              </w:tc>
              <w:tc>
                <w:tcPr>
                  <w:tcW w:w="448" w:type="pct"/>
                  <w:noWrap w:val="0"/>
                  <w:vAlign w:val="center"/>
                </w:tcPr>
                <w:p>
                  <w:pPr>
                    <w:jc w:val="center"/>
                    <w:rPr>
                      <w:sz w:val="22"/>
                      <w:szCs w:val="22"/>
                    </w:rPr>
                  </w:pPr>
                  <w:r>
                    <w:rPr>
                      <w:sz w:val="22"/>
                      <w:szCs w:val="22"/>
                    </w:rPr>
                    <w:t>夜间</w:t>
                  </w:r>
                </w:p>
              </w:tc>
              <w:tc>
                <w:tcPr>
                  <w:tcW w:w="937" w:type="pct"/>
                  <w:noWrap w:val="0"/>
                  <w:vAlign w:val="center"/>
                </w:tcPr>
                <w:p>
                  <w:pPr>
                    <w:jc w:val="center"/>
                    <w:rPr>
                      <w:sz w:val="22"/>
                      <w:szCs w:val="22"/>
                    </w:rPr>
                  </w:pPr>
                  <w:r>
                    <w:rPr>
                      <w:sz w:val="22"/>
                      <w:szCs w:val="22"/>
                    </w:rPr>
                    <w:t>45</w:t>
                  </w:r>
                </w:p>
              </w:tc>
            </w:tr>
          </w:tbl>
          <w:p>
            <w:pPr>
              <w:spacing w:before="120" w:beforeLines="50" w:line="360" w:lineRule="auto"/>
              <w:ind w:firstLine="470" w:firstLineChars="196"/>
              <w:rPr>
                <w:sz w:val="24"/>
              </w:rPr>
            </w:pPr>
            <w:r>
              <w:rPr>
                <w:sz w:val="24"/>
              </w:rPr>
              <w:t>各监测点位昼间、夜间声环境质量监测值均能满足《声环境质量标准》（GB3096-2008）2类标准限值。</w:t>
            </w:r>
          </w:p>
          <w:p>
            <w:pPr>
              <w:pStyle w:val="19"/>
              <w:spacing w:line="360" w:lineRule="auto"/>
              <w:ind w:firstLine="0"/>
              <w:rPr>
                <w:rFonts w:ascii="Times New Roman"/>
                <w:b/>
                <w:kern w:val="0"/>
                <w:sz w:val="24"/>
              </w:rPr>
            </w:pPr>
            <w:r>
              <w:rPr>
                <w:rFonts w:ascii="Times New Roman"/>
                <w:b/>
                <w:kern w:val="0"/>
                <w:sz w:val="24"/>
              </w:rPr>
              <w:t>四、地下水环境</w:t>
            </w:r>
          </w:p>
          <w:p>
            <w:pPr>
              <w:pStyle w:val="19"/>
              <w:spacing w:line="360" w:lineRule="auto"/>
              <w:ind w:firstLine="482" w:firstLineChars="200"/>
              <w:rPr>
                <w:rFonts w:ascii="Times New Roman"/>
                <w:b/>
                <w:bCs/>
                <w:sz w:val="24"/>
              </w:rPr>
            </w:pPr>
            <w:r>
              <w:rPr>
                <w:rFonts w:ascii="Times New Roman"/>
                <w:b/>
                <w:bCs/>
                <w:sz w:val="24"/>
              </w:rPr>
              <w:t>1、监测点位</w:t>
            </w:r>
          </w:p>
          <w:p>
            <w:pPr>
              <w:pStyle w:val="19"/>
              <w:spacing w:line="360" w:lineRule="auto"/>
              <w:ind w:firstLine="480" w:firstLineChars="200"/>
              <w:rPr>
                <w:rFonts w:ascii="Times New Roman"/>
                <w:sz w:val="24"/>
              </w:rPr>
            </w:pPr>
            <w:r>
              <w:rPr>
                <w:rFonts w:ascii="Times New Roman"/>
                <w:sz w:val="24"/>
              </w:rPr>
              <w:t>结合区域环境特征及地下水流向（自西北向东南），本次评价在厂址及附近监测布设1个监测点。</w:t>
            </w:r>
          </w:p>
          <w:p>
            <w:pPr>
              <w:spacing w:line="276" w:lineRule="auto"/>
              <w:jc w:val="center"/>
              <w:rPr>
                <w:rFonts w:eastAsia="黑体"/>
                <w:sz w:val="24"/>
              </w:rPr>
            </w:pPr>
            <w:r>
              <w:rPr>
                <w:rFonts w:eastAsia="黑体"/>
                <w:sz w:val="24"/>
              </w:rPr>
              <w:t>表3-5    地下水监测点位布设情况一览表</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39"/>
              <w:gridCol w:w="63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0" w:type="pct"/>
                  <w:shd w:val="clear" w:color="auto" w:fill="CCFFFF"/>
                  <w:noWrap w:val="0"/>
                  <w:vAlign w:val="center"/>
                </w:tcPr>
                <w:p>
                  <w:pPr>
                    <w:jc w:val="center"/>
                    <w:rPr>
                      <w:b/>
                    </w:rPr>
                  </w:pPr>
                  <w:r>
                    <w:rPr>
                      <w:b/>
                    </w:rPr>
                    <w:t>编号</w:t>
                  </w:r>
                </w:p>
              </w:tc>
              <w:tc>
                <w:tcPr>
                  <w:tcW w:w="3930" w:type="pct"/>
                  <w:shd w:val="clear" w:color="auto" w:fill="CCFFFF"/>
                  <w:noWrap w:val="0"/>
                  <w:vAlign w:val="center"/>
                </w:tcPr>
                <w:p>
                  <w:pPr>
                    <w:jc w:val="center"/>
                    <w:rPr>
                      <w:b/>
                    </w:rPr>
                  </w:pPr>
                  <w:r>
                    <w:rPr>
                      <w:b/>
                    </w:rPr>
                    <w:t>监测点名称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0" w:type="pct"/>
                  <w:noWrap w:val="0"/>
                  <w:vAlign w:val="center"/>
                </w:tcPr>
                <w:p>
                  <w:pPr>
                    <w:jc w:val="center"/>
                  </w:pPr>
                  <w:r>
                    <w:rPr>
                      <w:szCs w:val="21"/>
                    </w:rPr>
                    <w:t>1#</w:t>
                  </w:r>
                </w:p>
              </w:tc>
              <w:tc>
                <w:tcPr>
                  <w:tcW w:w="3930" w:type="pct"/>
                  <w:noWrap w:val="0"/>
                  <w:vAlign w:val="center"/>
                </w:tcPr>
                <w:p>
                  <w:pPr>
                    <w:jc w:val="center"/>
                  </w:pPr>
                  <w:r>
                    <w:t>项目西侧厂界外约5m处水井</w:t>
                  </w:r>
                </w:p>
              </w:tc>
            </w:tr>
          </w:tbl>
          <w:p>
            <w:pPr>
              <w:spacing w:before="120" w:beforeLines="50" w:line="360" w:lineRule="auto"/>
              <w:ind w:firstLine="482" w:firstLineChars="200"/>
              <w:rPr>
                <w:b/>
                <w:bCs/>
                <w:sz w:val="24"/>
              </w:rPr>
            </w:pPr>
            <w:r>
              <w:rPr>
                <w:b/>
                <w:bCs/>
                <w:sz w:val="24"/>
              </w:rPr>
              <w:t>2、监测时间和频率</w:t>
            </w:r>
          </w:p>
          <w:p>
            <w:pPr>
              <w:spacing w:line="360" w:lineRule="auto"/>
              <w:ind w:firstLine="480" w:firstLineChars="200"/>
              <w:rPr>
                <w:sz w:val="24"/>
              </w:rPr>
            </w:pPr>
            <w:r>
              <w:rPr>
                <w:sz w:val="24"/>
              </w:rPr>
              <w:t>监测1天，采样1次。</w:t>
            </w:r>
          </w:p>
          <w:p>
            <w:pPr>
              <w:spacing w:line="360" w:lineRule="auto"/>
              <w:ind w:firstLine="482" w:firstLineChars="200"/>
              <w:rPr>
                <w:b/>
                <w:bCs/>
                <w:sz w:val="24"/>
              </w:rPr>
            </w:pPr>
            <w:r>
              <w:rPr>
                <w:b/>
                <w:bCs/>
                <w:sz w:val="24"/>
              </w:rPr>
              <w:t>3、监测因子</w:t>
            </w:r>
          </w:p>
          <w:p>
            <w:pPr>
              <w:spacing w:line="360" w:lineRule="auto"/>
              <w:ind w:firstLine="480" w:firstLineChars="200"/>
              <w:rPr>
                <w:sz w:val="24"/>
              </w:rPr>
            </w:pPr>
            <w:r>
              <w:rPr>
                <w:sz w:val="24"/>
              </w:rPr>
              <w:t>地下水化学因子：K</w:t>
            </w:r>
            <w:r>
              <w:rPr>
                <w:sz w:val="24"/>
                <w:vertAlign w:val="superscript"/>
              </w:rPr>
              <w:t>+</w:t>
            </w:r>
            <w:r>
              <w:rPr>
                <w:sz w:val="24"/>
              </w:rPr>
              <w:t>、Na</w:t>
            </w:r>
            <w:r>
              <w:rPr>
                <w:sz w:val="24"/>
                <w:vertAlign w:val="superscript"/>
              </w:rPr>
              <w:t>+</w:t>
            </w:r>
            <w:r>
              <w:rPr>
                <w:sz w:val="24"/>
              </w:rPr>
              <w:t>、Ca</w:t>
            </w:r>
            <w:r>
              <w:rPr>
                <w:sz w:val="24"/>
                <w:vertAlign w:val="superscript"/>
              </w:rPr>
              <w:t>2+</w:t>
            </w:r>
            <w:r>
              <w:rPr>
                <w:sz w:val="24"/>
              </w:rPr>
              <w:t>、Mg</w:t>
            </w:r>
            <w:r>
              <w:rPr>
                <w:sz w:val="24"/>
                <w:vertAlign w:val="superscript"/>
              </w:rPr>
              <w:t>2+</w:t>
            </w:r>
            <w:r>
              <w:rPr>
                <w:sz w:val="24"/>
              </w:rPr>
              <w:t>、CO</w:t>
            </w:r>
            <w:r>
              <w:rPr>
                <w:sz w:val="24"/>
                <w:vertAlign w:val="subscript"/>
              </w:rPr>
              <w:t>3</w:t>
            </w:r>
            <w:r>
              <w:rPr>
                <w:sz w:val="24"/>
                <w:vertAlign w:val="superscript"/>
              </w:rPr>
              <w:t>2-</w:t>
            </w:r>
            <w:r>
              <w:rPr>
                <w:sz w:val="24"/>
              </w:rPr>
              <w:t>、HCO</w:t>
            </w:r>
            <w:r>
              <w:rPr>
                <w:sz w:val="24"/>
                <w:vertAlign w:val="subscript"/>
              </w:rPr>
              <w:t>3</w:t>
            </w:r>
            <w:r>
              <w:rPr>
                <w:sz w:val="24"/>
                <w:vertAlign w:val="superscript"/>
              </w:rPr>
              <w:t>-</w:t>
            </w:r>
            <w:r>
              <w:rPr>
                <w:sz w:val="24"/>
              </w:rPr>
              <w:t>、Cl</w:t>
            </w:r>
            <w:r>
              <w:rPr>
                <w:sz w:val="24"/>
                <w:vertAlign w:val="superscript"/>
              </w:rPr>
              <w:t>-</w:t>
            </w:r>
            <w:r>
              <w:rPr>
                <w:sz w:val="24"/>
              </w:rPr>
              <w:t>、SO</w:t>
            </w:r>
            <w:r>
              <w:rPr>
                <w:sz w:val="24"/>
                <w:vertAlign w:val="subscript"/>
              </w:rPr>
              <w:t>4</w:t>
            </w:r>
            <w:r>
              <w:rPr>
                <w:sz w:val="24"/>
                <w:vertAlign w:val="superscript"/>
              </w:rPr>
              <w:t>2-</w:t>
            </w:r>
            <w:r>
              <w:rPr>
                <w:sz w:val="24"/>
              </w:rPr>
              <w:t>；</w:t>
            </w:r>
          </w:p>
          <w:p>
            <w:pPr>
              <w:spacing w:line="360" w:lineRule="auto"/>
              <w:ind w:firstLine="480" w:firstLineChars="200"/>
              <w:rPr>
                <w:sz w:val="24"/>
              </w:rPr>
            </w:pPr>
            <w:r>
              <w:rPr>
                <w:sz w:val="24"/>
              </w:rPr>
              <w:t>基本水质因子：pH、硝酸盐、亚硝酸盐、挥发性酚类、氰化物、砷、汞、铬（六价）、总硬度、铅、氟、铁、锰、溶解性总固体、硫酸盐、氯化物、总大肠菌群；</w:t>
            </w:r>
          </w:p>
          <w:p>
            <w:pPr>
              <w:spacing w:line="360" w:lineRule="auto"/>
              <w:ind w:firstLine="480" w:firstLineChars="200"/>
              <w:rPr>
                <w:sz w:val="24"/>
              </w:rPr>
            </w:pPr>
            <w:r>
              <w:rPr>
                <w:sz w:val="24"/>
              </w:rPr>
              <w:t>特征污染物：耗氧量（COD</w:t>
            </w:r>
            <w:r>
              <w:rPr>
                <w:sz w:val="24"/>
                <w:vertAlign w:val="subscript"/>
              </w:rPr>
              <w:t>Mn</w:t>
            </w:r>
            <w:r>
              <w:rPr>
                <w:sz w:val="24"/>
              </w:rPr>
              <w:t>法）、NH</w:t>
            </w:r>
            <w:r>
              <w:rPr>
                <w:sz w:val="24"/>
                <w:vertAlign w:val="subscript"/>
              </w:rPr>
              <w:t>3</w:t>
            </w:r>
            <w:r>
              <w:rPr>
                <w:sz w:val="24"/>
              </w:rPr>
              <w:t>-N、TP。</w:t>
            </w:r>
          </w:p>
          <w:p>
            <w:pPr>
              <w:spacing w:line="360" w:lineRule="auto"/>
              <w:ind w:firstLine="482" w:firstLineChars="200"/>
              <w:rPr>
                <w:b/>
                <w:bCs/>
                <w:sz w:val="24"/>
              </w:rPr>
            </w:pPr>
            <w:r>
              <w:rPr>
                <w:b/>
                <w:bCs/>
                <w:sz w:val="24"/>
              </w:rPr>
              <w:t>4、评价方法</w:t>
            </w:r>
          </w:p>
          <w:p>
            <w:pPr>
              <w:spacing w:line="360" w:lineRule="auto"/>
              <w:ind w:firstLine="480"/>
              <w:rPr>
                <w:sz w:val="24"/>
              </w:rPr>
            </w:pPr>
            <w:r>
              <w:rPr>
                <w:sz w:val="24"/>
              </w:rPr>
              <w:t>采用单项评价指数法评价，其数学模式如下：</w:t>
            </w:r>
          </w:p>
          <w:p>
            <w:pPr>
              <w:spacing w:line="360" w:lineRule="auto"/>
              <w:ind w:firstLine="480"/>
              <w:rPr>
                <w:sz w:val="24"/>
              </w:rPr>
            </w:pPr>
            <w:r>
              <w:rPr>
                <w:sz w:val="24"/>
              </w:rPr>
              <w:t>（1）一般污染物</w:t>
            </w:r>
          </w:p>
          <w:p>
            <w:pPr>
              <w:adjustRightInd w:val="0"/>
              <w:snapToGrid w:val="0"/>
              <w:spacing w:line="360" w:lineRule="auto"/>
              <w:jc w:val="center"/>
              <w:rPr>
                <w:sz w:val="24"/>
              </w:rPr>
            </w:pPr>
            <w:bookmarkStart w:id="23" w:name="_Toc418518985"/>
            <w:bookmarkStart w:id="24" w:name="_Toc418515683"/>
            <w:r>
              <w:rPr>
                <w:sz w:val="24"/>
              </w:rPr>
              <w:t>S</w:t>
            </w:r>
            <w:r>
              <w:rPr>
                <w:sz w:val="24"/>
                <w:vertAlign w:val="subscript"/>
              </w:rPr>
              <w:t>ij</w:t>
            </w:r>
            <w:r>
              <w:rPr>
                <w:sz w:val="24"/>
              </w:rPr>
              <w:t>=</w:t>
            </w:r>
            <w:r>
              <w:rPr>
                <w:position w:val="-30"/>
                <w:sz w:val="24"/>
              </w:rPr>
              <w:object>
                <v:shape id="_x0000_i1027" o:spt="75" type="#_x0000_t75" style="height:35pt;width:20pt;" o:ole="t" filled="f" o:preferrelative="t" stroked="f" coordsize="21600,21600">
                  <v:path/>
                  <v:fill on="f" focussize="0,0"/>
                  <v:stroke on="f"/>
                  <v:imagedata r:id="rId23" o:title=""/>
                  <o:lock v:ext="edit" grouping="f" rotation="f" text="f" aspectratio="t"/>
                  <w10:wrap type="none"/>
                  <w10:anchorlock/>
                </v:shape>
                <o:OLEObject Type="Embed" ProgID="Equation.3" ShapeID="_x0000_i1027" DrawAspect="Content" ObjectID="_1468075727" r:id="rId22">
                  <o:LockedField>false</o:LockedField>
                </o:OLEObject>
              </w:object>
            </w:r>
            <w:bookmarkEnd w:id="23"/>
            <w:bookmarkEnd w:id="24"/>
          </w:p>
          <w:p>
            <w:pPr>
              <w:adjustRightInd w:val="0"/>
              <w:snapToGrid w:val="0"/>
              <w:spacing w:line="360" w:lineRule="auto"/>
              <w:ind w:firstLine="480"/>
              <w:rPr>
                <w:sz w:val="24"/>
              </w:rPr>
            </w:pPr>
            <w:r>
              <w:rPr>
                <w:sz w:val="24"/>
              </w:rPr>
              <w:t>式中：</w:t>
            </w:r>
            <w:r>
              <w:rPr>
                <w:i/>
                <w:sz w:val="24"/>
              </w:rPr>
              <w:t>S</w:t>
            </w:r>
            <w:r>
              <w:rPr>
                <w:i/>
                <w:sz w:val="24"/>
                <w:vertAlign w:val="subscript"/>
              </w:rPr>
              <w:t>ij</w:t>
            </w:r>
            <w:r>
              <w:rPr>
                <w:sz w:val="24"/>
              </w:rPr>
              <w:t>——</w:t>
            </w:r>
            <w:r>
              <w:rPr>
                <w:i/>
                <w:sz w:val="24"/>
              </w:rPr>
              <w:t>i</w:t>
            </w:r>
            <w:r>
              <w:rPr>
                <w:sz w:val="24"/>
              </w:rPr>
              <w:t>污染物在监测点</w:t>
            </w:r>
            <w:r>
              <w:rPr>
                <w:i/>
                <w:sz w:val="24"/>
              </w:rPr>
              <w:t>j</w:t>
            </w:r>
            <w:r>
              <w:rPr>
                <w:sz w:val="24"/>
              </w:rPr>
              <w:t>的标准指数；</w:t>
            </w:r>
          </w:p>
          <w:p>
            <w:pPr>
              <w:adjustRightInd w:val="0"/>
              <w:snapToGrid w:val="0"/>
              <w:spacing w:line="360" w:lineRule="auto"/>
              <w:ind w:firstLine="1200" w:firstLineChars="500"/>
              <w:rPr>
                <w:sz w:val="24"/>
              </w:rPr>
            </w:pPr>
            <w:r>
              <w:rPr>
                <w:i/>
                <w:sz w:val="24"/>
              </w:rPr>
              <w:t>C</w:t>
            </w:r>
            <w:r>
              <w:rPr>
                <w:i/>
                <w:sz w:val="24"/>
                <w:vertAlign w:val="subscript"/>
              </w:rPr>
              <w:t>ij</w:t>
            </w:r>
            <w:r>
              <w:rPr>
                <w:sz w:val="24"/>
              </w:rPr>
              <w:t>——</w:t>
            </w:r>
            <w:r>
              <w:rPr>
                <w:i/>
                <w:sz w:val="24"/>
              </w:rPr>
              <w:t>i</w:t>
            </w:r>
            <w:r>
              <w:rPr>
                <w:sz w:val="24"/>
              </w:rPr>
              <w:t>污染物在监测点</w:t>
            </w:r>
            <w:r>
              <w:rPr>
                <w:i/>
                <w:sz w:val="24"/>
              </w:rPr>
              <w:t>j</w:t>
            </w:r>
            <w:r>
              <w:rPr>
                <w:sz w:val="24"/>
              </w:rPr>
              <w:t>的地表水浓度值（mg/L）；</w:t>
            </w:r>
          </w:p>
          <w:p>
            <w:pPr>
              <w:adjustRightInd w:val="0"/>
              <w:snapToGrid w:val="0"/>
              <w:spacing w:line="360" w:lineRule="auto"/>
              <w:ind w:firstLine="1200" w:firstLineChars="500"/>
              <w:rPr>
                <w:sz w:val="24"/>
              </w:rPr>
            </w:pPr>
            <w:r>
              <w:rPr>
                <w:sz w:val="24"/>
              </w:rPr>
              <w:t>C</w:t>
            </w:r>
            <w:r>
              <w:rPr>
                <w:sz w:val="24"/>
                <w:vertAlign w:val="subscript"/>
              </w:rPr>
              <w:t>si</w:t>
            </w:r>
            <w:r>
              <w:rPr>
                <w:sz w:val="24"/>
              </w:rPr>
              <w:t>——</w:t>
            </w:r>
            <w:r>
              <w:rPr>
                <w:i/>
                <w:sz w:val="24"/>
              </w:rPr>
              <w:t>i</w:t>
            </w:r>
            <w:r>
              <w:rPr>
                <w:sz w:val="24"/>
              </w:rPr>
              <w:t>污染物的地表水环境质量标准值（mg/L）。</w:t>
            </w:r>
          </w:p>
          <w:p>
            <w:pPr>
              <w:adjustRightInd w:val="0"/>
              <w:snapToGrid w:val="0"/>
              <w:spacing w:line="360" w:lineRule="auto"/>
              <w:ind w:firstLine="480"/>
              <w:rPr>
                <w:sz w:val="24"/>
              </w:rPr>
            </w:pPr>
            <w:r>
              <w:rPr>
                <w:sz w:val="24"/>
              </w:rPr>
              <w:t>（2）pH</w:t>
            </w:r>
          </w:p>
          <w:p>
            <w:pPr>
              <w:adjustRightInd w:val="0"/>
              <w:snapToGrid w:val="0"/>
              <w:spacing w:line="360" w:lineRule="auto"/>
              <w:ind w:firstLine="480"/>
              <w:jc w:val="center"/>
              <w:rPr>
                <w:sz w:val="24"/>
              </w:rPr>
            </w:pPr>
            <w:r>
              <w:rPr>
                <w:sz w:val="24"/>
              </w:rPr>
              <w:t>S</w:t>
            </w:r>
            <w:r>
              <w:rPr>
                <w:sz w:val="24"/>
                <w:vertAlign w:val="subscript"/>
              </w:rPr>
              <w:t>pH,j</w:t>
            </w:r>
            <w:r>
              <w:rPr>
                <w:sz w:val="24"/>
              </w:rPr>
              <w:t>=</w:t>
            </w:r>
            <w:r>
              <w:rPr>
                <w:position w:val="-30"/>
                <w:sz w:val="24"/>
              </w:rPr>
              <w:object>
                <v:shape id="_x0000_i1028" o:spt="75" type="#_x0000_t75" style="height:36pt;width:58pt;" o:ole="t" filled="f" stroked="f" coordsize="21600,21600">
                  <v:path/>
                  <v:fill on="f" focussize="0,0"/>
                  <v:stroke on="f"/>
                  <v:imagedata r:id="rId25" o:title=""/>
                  <o:lock v:ext="edit" grouping="f" rotation="f" text="f" aspectratio="t"/>
                  <w10:wrap type="none"/>
                  <w10:anchorlock/>
                </v:shape>
                <o:OLEObject Type="Embed" ProgID="Equation.3" ShapeID="_x0000_i1028" DrawAspect="Content" ObjectID="_1468075728" r:id="rId24">
                  <o:LockedField>false</o:LockedField>
                </o:OLEObject>
              </w:object>
            </w:r>
            <w:r>
              <w:rPr>
                <w:sz w:val="24"/>
              </w:rPr>
              <w:t xml:space="preserve">          pH</w:t>
            </w:r>
            <w:r>
              <w:rPr>
                <w:sz w:val="24"/>
                <w:vertAlign w:val="subscript"/>
              </w:rPr>
              <w:t>j</w:t>
            </w:r>
            <w:r>
              <w:rPr>
                <w:sz w:val="24"/>
              </w:rPr>
              <w:t>≤7.0</w:t>
            </w:r>
          </w:p>
          <w:p>
            <w:pPr>
              <w:adjustRightInd w:val="0"/>
              <w:snapToGrid w:val="0"/>
              <w:spacing w:line="360" w:lineRule="auto"/>
              <w:ind w:firstLine="480"/>
              <w:jc w:val="center"/>
              <w:rPr>
                <w:sz w:val="24"/>
              </w:rPr>
            </w:pPr>
            <w:r>
              <w:rPr>
                <w:sz w:val="24"/>
              </w:rPr>
              <w:t>S</w:t>
            </w:r>
            <w:r>
              <w:rPr>
                <w:sz w:val="24"/>
                <w:vertAlign w:val="subscript"/>
              </w:rPr>
              <w:t>pH,j</w:t>
            </w:r>
            <w:r>
              <w:rPr>
                <w:sz w:val="24"/>
              </w:rPr>
              <w:t>=</w:t>
            </w:r>
            <w:r>
              <w:rPr>
                <w:position w:val="-30"/>
                <w:sz w:val="24"/>
              </w:rPr>
              <w:object>
                <v:shape id="_x0000_i1029" o:spt="75" type="#_x0000_t75" style="height:36pt;width:57pt;" o:ole="t" filled="f" stroked="f" coordsize="21600,21600">
                  <v:path/>
                  <v:fill on="f" focussize="0,0"/>
                  <v:stroke on="f"/>
                  <v:imagedata r:id="rId27" o:title=""/>
                  <o:lock v:ext="edit" grouping="f" rotation="f" text="f" aspectratio="t"/>
                  <w10:wrap type="none"/>
                  <w10:anchorlock/>
                </v:shape>
                <o:OLEObject Type="Embed" ProgID="Equation.3" ShapeID="_x0000_i1029" DrawAspect="Content" ObjectID="_1468075729" r:id="rId26">
                  <o:LockedField>false</o:LockedField>
                </o:OLEObject>
              </w:object>
            </w:r>
            <w:r>
              <w:rPr>
                <w:sz w:val="24"/>
              </w:rPr>
              <w:t xml:space="preserve">          pH</w:t>
            </w:r>
            <w:r>
              <w:rPr>
                <w:sz w:val="24"/>
                <w:vertAlign w:val="subscript"/>
              </w:rPr>
              <w:t>j</w:t>
            </w:r>
            <w:r>
              <w:rPr>
                <w:sz w:val="24"/>
              </w:rPr>
              <w:t>＞7.0</w:t>
            </w:r>
          </w:p>
          <w:p>
            <w:pPr>
              <w:adjustRightInd w:val="0"/>
              <w:snapToGrid w:val="0"/>
              <w:spacing w:line="360" w:lineRule="auto"/>
              <w:ind w:firstLine="480"/>
              <w:rPr>
                <w:sz w:val="24"/>
              </w:rPr>
            </w:pPr>
            <w:r>
              <w:rPr>
                <w:sz w:val="24"/>
              </w:rPr>
              <w:t>式中：pH</w:t>
            </w:r>
            <w:r>
              <w:rPr>
                <w:sz w:val="24"/>
                <w:vertAlign w:val="subscript"/>
              </w:rPr>
              <w:t>j</w:t>
            </w:r>
            <w:r>
              <w:rPr>
                <w:sz w:val="24"/>
              </w:rPr>
              <w:t>——监测点j的pH值；</w:t>
            </w:r>
          </w:p>
          <w:p>
            <w:pPr>
              <w:adjustRightInd w:val="0"/>
              <w:snapToGrid w:val="0"/>
              <w:spacing w:line="360" w:lineRule="auto"/>
              <w:ind w:firstLine="1200" w:firstLineChars="500"/>
              <w:rPr>
                <w:sz w:val="24"/>
              </w:rPr>
            </w:pPr>
            <w:r>
              <w:rPr>
                <w:sz w:val="24"/>
              </w:rPr>
              <w:t>pH</w:t>
            </w:r>
            <w:r>
              <w:rPr>
                <w:sz w:val="24"/>
                <w:vertAlign w:val="subscript"/>
              </w:rPr>
              <w:t>sd</w:t>
            </w:r>
            <w:r>
              <w:rPr>
                <w:sz w:val="24"/>
              </w:rPr>
              <w:t>——地下水水质标准中规定的pH的下限值；</w:t>
            </w:r>
          </w:p>
          <w:p>
            <w:pPr>
              <w:adjustRightInd w:val="0"/>
              <w:snapToGrid w:val="0"/>
              <w:spacing w:line="360" w:lineRule="auto"/>
              <w:ind w:firstLine="1440" w:firstLineChars="600"/>
              <w:rPr>
                <w:sz w:val="24"/>
              </w:rPr>
            </w:pPr>
            <w:r>
              <w:rPr>
                <w:sz w:val="24"/>
              </w:rPr>
              <w:t>pH</w:t>
            </w:r>
            <w:r>
              <w:rPr>
                <w:sz w:val="24"/>
                <w:vertAlign w:val="subscript"/>
              </w:rPr>
              <w:t>su</w:t>
            </w:r>
            <w:r>
              <w:rPr>
                <w:sz w:val="24"/>
              </w:rPr>
              <w:t>——地下水水质标准中规定的pH的上限值。</w:t>
            </w:r>
          </w:p>
          <w:p>
            <w:pPr>
              <w:pStyle w:val="19"/>
              <w:spacing w:line="360" w:lineRule="auto"/>
              <w:ind w:firstLine="482" w:firstLineChars="200"/>
              <w:rPr>
                <w:rFonts w:ascii="Times New Roman"/>
                <w:b/>
                <w:bCs/>
                <w:sz w:val="24"/>
              </w:rPr>
            </w:pPr>
            <w:r>
              <w:rPr>
                <w:rFonts w:ascii="Times New Roman"/>
                <w:b/>
                <w:bCs/>
                <w:sz w:val="24"/>
              </w:rPr>
              <w:t>5、监测结果</w:t>
            </w:r>
          </w:p>
          <w:p>
            <w:pPr>
              <w:spacing w:before="120" w:beforeLines="50" w:line="276" w:lineRule="auto"/>
              <w:jc w:val="center"/>
              <w:rPr>
                <w:rFonts w:eastAsia="黑体"/>
                <w:sz w:val="24"/>
              </w:rPr>
            </w:pPr>
            <w:r>
              <w:rPr>
                <w:rFonts w:eastAsia="黑体"/>
                <w:sz w:val="24"/>
              </w:rPr>
              <w:t>表3-6    地下水检测结果</w:t>
            </w:r>
          </w:p>
          <w:tbl>
            <w:tblPr>
              <w:tblStyle w:val="32"/>
              <w:tblpPr w:leftFromText="180" w:rightFromText="180" w:vertAnchor="text" w:horzAnchor="page" w:tblpXSpec="center" w:tblpY="1"/>
              <w:tblOverlap w:val="never"/>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108" w:type="dxa"/>
                <w:bottom w:w="0" w:type="dxa"/>
                <w:right w:w="108" w:type="dxa"/>
              </w:tblCellMar>
            </w:tblPr>
            <w:tblGrid>
              <w:gridCol w:w="1232"/>
              <w:gridCol w:w="1674"/>
              <w:gridCol w:w="2463"/>
              <w:gridCol w:w="1337"/>
              <w:gridCol w:w="1421"/>
            </w:tblGrid>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83" w:hRule="atLeast"/>
                <w:jc w:val="center"/>
              </w:trPr>
              <w:tc>
                <w:tcPr>
                  <w:tcW w:w="762" w:type="pct"/>
                  <w:shd w:val="clear" w:color="auto" w:fill="CCFFFF"/>
                  <w:noWrap w:val="0"/>
                  <w:vAlign w:val="center"/>
                </w:tcPr>
                <w:p>
                  <w:pPr>
                    <w:autoSpaceDE w:val="0"/>
                    <w:autoSpaceDN w:val="0"/>
                    <w:adjustRightInd w:val="0"/>
                    <w:jc w:val="center"/>
                    <w:rPr>
                      <w:sz w:val="22"/>
                      <w:szCs w:val="22"/>
                    </w:rPr>
                  </w:pPr>
                  <w:r>
                    <w:rPr>
                      <w:b/>
                      <w:bCs/>
                      <w:sz w:val="22"/>
                      <w:szCs w:val="22"/>
                    </w:rPr>
                    <w:t>采样日期</w:t>
                  </w:r>
                </w:p>
              </w:tc>
              <w:tc>
                <w:tcPr>
                  <w:tcW w:w="1034" w:type="pct"/>
                  <w:shd w:val="clear" w:color="auto" w:fill="CCFFFF"/>
                  <w:noWrap w:val="0"/>
                  <w:vAlign w:val="center"/>
                </w:tcPr>
                <w:p>
                  <w:pPr>
                    <w:jc w:val="center"/>
                    <w:rPr>
                      <w:sz w:val="22"/>
                      <w:szCs w:val="22"/>
                    </w:rPr>
                  </w:pPr>
                  <w:r>
                    <w:rPr>
                      <w:b/>
                      <w:bCs/>
                      <w:sz w:val="22"/>
                      <w:szCs w:val="22"/>
                    </w:rPr>
                    <w:t>检测点位</w:t>
                  </w:r>
                </w:p>
              </w:tc>
              <w:tc>
                <w:tcPr>
                  <w:tcW w:w="1519" w:type="pct"/>
                  <w:shd w:val="clear" w:color="auto" w:fill="CCFFFF"/>
                  <w:noWrap w:val="0"/>
                  <w:vAlign w:val="center"/>
                </w:tcPr>
                <w:p>
                  <w:pPr>
                    <w:jc w:val="center"/>
                    <w:rPr>
                      <w:b/>
                      <w:bCs/>
                      <w:sz w:val="22"/>
                      <w:szCs w:val="22"/>
                    </w:rPr>
                  </w:pPr>
                  <w:r>
                    <w:rPr>
                      <w:b/>
                      <w:bCs/>
                      <w:sz w:val="22"/>
                      <w:szCs w:val="22"/>
                    </w:rPr>
                    <w:t>检测项目</w:t>
                  </w:r>
                </w:p>
              </w:tc>
              <w:tc>
                <w:tcPr>
                  <w:tcW w:w="807" w:type="pct"/>
                  <w:shd w:val="clear" w:color="auto" w:fill="CCFFFF"/>
                  <w:noWrap w:val="0"/>
                  <w:vAlign w:val="center"/>
                </w:tcPr>
                <w:p>
                  <w:pPr>
                    <w:jc w:val="center"/>
                    <w:rPr>
                      <w:b/>
                      <w:bCs/>
                      <w:sz w:val="22"/>
                      <w:szCs w:val="22"/>
                    </w:rPr>
                  </w:pPr>
                  <w:r>
                    <w:rPr>
                      <w:b/>
                      <w:bCs/>
                      <w:sz w:val="22"/>
                      <w:szCs w:val="22"/>
                    </w:rPr>
                    <w:t>单位</w:t>
                  </w:r>
                </w:p>
              </w:tc>
              <w:tc>
                <w:tcPr>
                  <w:tcW w:w="878" w:type="pct"/>
                  <w:shd w:val="clear" w:color="auto" w:fill="CCFFFF"/>
                  <w:noWrap w:val="0"/>
                  <w:vAlign w:val="center"/>
                </w:tcPr>
                <w:p>
                  <w:pPr>
                    <w:autoSpaceDE w:val="0"/>
                    <w:autoSpaceDN w:val="0"/>
                    <w:adjustRightInd w:val="0"/>
                    <w:jc w:val="center"/>
                    <w:rPr>
                      <w:sz w:val="22"/>
                      <w:szCs w:val="22"/>
                    </w:rPr>
                  </w:pPr>
                  <w:r>
                    <w:rPr>
                      <w:b/>
                      <w:bCs/>
                      <w:sz w:val="22"/>
                      <w:szCs w:val="22"/>
                    </w:rPr>
                    <w:t>检测结果</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83" w:hRule="atLeast"/>
                <w:jc w:val="center"/>
              </w:trPr>
              <w:tc>
                <w:tcPr>
                  <w:tcW w:w="762" w:type="pct"/>
                  <w:vMerge w:val="restart"/>
                  <w:noWrap w:val="0"/>
                  <w:vAlign w:val="center"/>
                </w:tcPr>
                <w:p>
                  <w:pPr>
                    <w:jc w:val="center"/>
                    <w:rPr>
                      <w:sz w:val="22"/>
                      <w:szCs w:val="22"/>
                    </w:rPr>
                  </w:pPr>
                  <w:r>
                    <w:rPr>
                      <w:sz w:val="22"/>
                      <w:szCs w:val="22"/>
                    </w:rPr>
                    <w:t>2023.07.08</w:t>
                  </w:r>
                </w:p>
              </w:tc>
              <w:tc>
                <w:tcPr>
                  <w:tcW w:w="1034" w:type="pct"/>
                  <w:vMerge w:val="restart"/>
                  <w:noWrap w:val="0"/>
                  <w:vAlign w:val="center"/>
                </w:tcPr>
                <w:p>
                  <w:pPr>
                    <w:autoSpaceDE w:val="0"/>
                    <w:autoSpaceDN w:val="0"/>
                    <w:adjustRightInd w:val="0"/>
                    <w:jc w:val="center"/>
                    <w:rPr>
                      <w:sz w:val="22"/>
                      <w:szCs w:val="22"/>
                    </w:rPr>
                  </w:pPr>
                  <w:r>
                    <w:rPr>
                      <w:sz w:val="22"/>
                      <w:szCs w:val="22"/>
                    </w:rPr>
                    <w:t>1#项目西侧厂界外约5m处水井</w:t>
                  </w:r>
                </w:p>
                <w:p>
                  <w:pPr>
                    <w:jc w:val="center"/>
                    <w:rPr>
                      <w:sz w:val="22"/>
                      <w:szCs w:val="22"/>
                    </w:rPr>
                  </w:pPr>
                </w:p>
              </w:tc>
              <w:tc>
                <w:tcPr>
                  <w:tcW w:w="1519" w:type="pct"/>
                  <w:noWrap w:val="0"/>
                  <w:vAlign w:val="center"/>
                </w:tcPr>
                <w:p>
                  <w:pPr>
                    <w:jc w:val="center"/>
                    <w:rPr>
                      <w:sz w:val="22"/>
                      <w:szCs w:val="22"/>
                    </w:rPr>
                  </w:pPr>
                  <w:r>
                    <w:rPr>
                      <w:sz w:val="22"/>
                      <w:szCs w:val="22"/>
                    </w:rPr>
                    <w:t>pH</w:t>
                  </w:r>
                </w:p>
              </w:tc>
              <w:tc>
                <w:tcPr>
                  <w:tcW w:w="807" w:type="pct"/>
                  <w:noWrap w:val="0"/>
                  <w:vAlign w:val="center"/>
                </w:tcPr>
                <w:p>
                  <w:pPr>
                    <w:jc w:val="center"/>
                    <w:rPr>
                      <w:sz w:val="22"/>
                      <w:szCs w:val="22"/>
                    </w:rPr>
                  </w:pPr>
                  <w:r>
                    <w:rPr>
                      <w:szCs w:val="21"/>
                    </w:rPr>
                    <w:t>无量纲</w:t>
                  </w:r>
                </w:p>
              </w:tc>
              <w:tc>
                <w:tcPr>
                  <w:tcW w:w="878" w:type="pct"/>
                  <w:noWrap w:val="0"/>
                  <w:vAlign w:val="center"/>
                </w:tcPr>
                <w:p>
                  <w:pPr>
                    <w:jc w:val="center"/>
                    <w:rPr>
                      <w:sz w:val="22"/>
                      <w:szCs w:val="22"/>
                    </w:rPr>
                  </w:pPr>
                  <w:r>
                    <w:rPr>
                      <w:sz w:val="22"/>
                      <w:szCs w:val="22"/>
                    </w:rPr>
                    <w:t>7.0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90" w:hRule="atLeast"/>
                <w:jc w:val="center"/>
              </w:trPr>
              <w:tc>
                <w:tcPr>
                  <w:tcW w:w="762" w:type="pct"/>
                  <w:vMerge w:val="continue"/>
                  <w:noWrap w:val="0"/>
                  <w:vAlign w:val="center"/>
                </w:tcPr>
                <w:p>
                  <w:pPr>
                    <w:rPr>
                      <w:sz w:val="22"/>
                      <w:szCs w:val="22"/>
                    </w:rPr>
                  </w:pPr>
                </w:p>
              </w:tc>
              <w:tc>
                <w:tcPr>
                  <w:tcW w:w="1034" w:type="pct"/>
                  <w:vMerge w:val="continue"/>
                  <w:noWrap w:val="0"/>
                  <w:vAlign w:val="center"/>
                </w:tcPr>
                <w:p>
                  <w:pPr>
                    <w:jc w:val="center"/>
                    <w:rPr>
                      <w:sz w:val="22"/>
                      <w:szCs w:val="22"/>
                    </w:rPr>
                  </w:pPr>
                </w:p>
              </w:tc>
              <w:tc>
                <w:tcPr>
                  <w:tcW w:w="1519" w:type="pct"/>
                  <w:noWrap w:val="0"/>
                  <w:vAlign w:val="center"/>
                </w:tcPr>
                <w:p>
                  <w:pPr>
                    <w:jc w:val="center"/>
                    <w:rPr>
                      <w:sz w:val="22"/>
                      <w:szCs w:val="22"/>
                    </w:rPr>
                  </w:pPr>
                  <w:r>
                    <w:rPr>
                      <w:sz w:val="22"/>
                      <w:szCs w:val="22"/>
                    </w:rPr>
                    <w:t>总硬度</w:t>
                  </w:r>
                </w:p>
              </w:tc>
              <w:tc>
                <w:tcPr>
                  <w:tcW w:w="807" w:type="pct"/>
                  <w:noWrap w:val="0"/>
                  <w:vAlign w:val="center"/>
                </w:tcPr>
                <w:p>
                  <w:pPr>
                    <w:jc w:val="center"/>
                    <w:rPr>
                      <w:sz w:val="22"/>
                      <w:szCs w:val="22"/>
                    </w:rPr>
                  </w:pPr>
                  <w:r>
                    <w:rPr>
                      <w:szCs w:val="21"/>
                    </w:rPr>
                    <w:t>mg/L</w:t>
                  </w:r>
                </w:p>
              </w:tc>
              <w:tc>
                <w:tcPr>
                  <w:tcW w:w="878" w:type="pct"/>
                  <w:noWrap w:val="0"/>
                  <w:vAlign w:val="center"/>
                </w:tcPr>
                <w:p>
                  <w:pPr>
                    <w:jc w:val="center"/>
                    <w:rPr>
                      <w:sz w:val="22"/>
                      <w:szCs w:val="22"/>
                    </w:rPr>
                  </w:pPr>
                  <w:r>
                    <w:rPr>
                      <w:sz w:val="22"/>
                      <w:szCs w:val="22"/>
                    </w:rPr>
                    <w:t>240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83" w:hRule="atLeast"/>
                <w:jc w:val="center"/>
              </w:trPr>
              <w:tc>
                <w:tcPr>
                  <w:tcW w:w="762" w:type="pct"/>
                  <w:vMerge w:val="continue"/>
                  <w:noWrap w:val="0"/>
                  <w:vAlign w:val="center"/>
                </w:tcPr>
                <w:p>
                  <w:pPr>
                    <w:jc w:val="center"/>
                    <w:rPr>
                      <w:sz w:val="22"/>
                      <w:szCs w:val="22"/>
                    </w:rPr>
                  </w:pPr>
                </w:p>
              </w:tc>
              <w:tc>
                <w:tcPr>
                  <w:tcW w:w="1034" w:type="pct"/>
                  <w:vMerge w:val="continue"/>
                  <w:noWrap w:val="0"/>
                  <w:vAlign w:val="center"/>
                </w:tcPr>
                <w:p>
                  <w:pPr>
                    <w:jc w:val="center"/>
                    <w:rPr>
                      <w:sz w:val="22"/>
                      <w:szCs w:val="22"/>
                    </w:rPr>
                  </w:pPr>
                </w:p>
              </w:tc>
              <w:tc>
                <w:tcPr>
                  <w:tcW w:w="1519" w:type="pct"/>
                  <w:noWrap w:val="0"/>
                  <w:vAlign w:val="center"/>
                </w:tcPr>
                <w:p>
                  <w:pPr>
                    <w:jc w:val="center"/>
                    <w:rPr>
                      <w:sz w:val="22"/>
                      <w:szCs w:val="22"/>
                    </w:rPr>
                  </w:pPr>
                  <w:r>
                    <w:rPr>
                      <w:sz w:val="22"/>
                      <w:szCs w:val="22"/>
                    </w:rPr>
                    <w:t>溶解性总固体</w:t>
                  </w:r>
                </w:p>
              </w:tc>
              <w:tc>
                <w:tcPr>
                  <w:tcW w:w="807" w:type="pct"/>
                  <w:noWrap w:val="0"/>
                  <w:vAlign w:val="center"/>
                </w:tcPr>
                <w:p>
                  <w:pPr>
                    <w:jc w:val="center"/>
                    <w:rPr>
                      <w:sz w:val="22"/>
                      <w:szCs w:val="22"/>
                    </w:rPr>
                  </w:pPr>
                  <w:r>
                    <w:rPr>
                      <w:szCs w:val="21"/>
                    </w:rPr>
                    <w:t>mg/L</w:t>
                  </w:r>
                </w:p>
              </w:tc>
              <w:tc>
                <w:tcPr>
                  <w:tcW w:w="878" w:type="pct"/>
                  <w:noWrap w:val="0"/>
                  <w:vAlign w:val="center"/>
                </w:tcPr>
                <w:p>
                  <w:pPr>
                    <w:jc w:val="center"/>
                    <w:rPr>
                      <w:sz w:val="22"/>
                      <w:szCs w:val="22"/>
                    </w:rPr>
                  </w:pPr>
                  <w:r>
                    <w:rPr>
                      <w:sz w:val="22"/>
                      <w:szCs w:val="22"/>
                    </w:rPr>
                    <w:t>280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83" w:hRule="atLeast"/>
                <w:jc w:val="center"/>
              </w:trPr>
              <w:tc>
                <w:tcPr>
                  <w:tcW w:w="762" w:type="pct"/>
                  <w:vMerge w:val="continue"/>
                  <w:noWrap w:val="0"/>
                  <w:vAlign w:val="center"/>
                </w:tcPr>
                <w:p>
                  <w:pPr>
                    <w:jc w:val="center"/>
                    <w:rPr>
                      <w:sz w:val="22"/>
                      <w:szCs w:val="22"/>
                    </w:rPr>
                  </w:pPr>
                </w:p>
              </w:tc>
              <w:tc>
                <w:tcPr>
                  <w:tcW w:w="1034" w:type="pct"/>
                  <w:vMerge w:val="continue"/>
                  <w:noWrap w:val="0"/>
                  <w:vAlign w:val="center"/>
                </w:tcPr>
                <w:p>
                  <w:pPr>
                    <w:jc w:val="center"/>
                    <w:rPr>
                      <w:sz w:val="22"/>
                      <w:szCs w:val="22"/>
                    </w:rPr>
                  </w:pPr>
                </w:p>
              </w:tc>
              <w:tc>
                <w:tcPr>
                  <w:tcW w:w="1519" w:type="pct"/>
                  <w:noWrap w:val="0"/>
                  <w:vAlign w:val="center"/>
                </w:tcPr>
                <w:p>
                  <w:pPr>
                    <w:jc w:val="center"/>
                    <w:rPr>
                      <w:sz w:val="22"/>
                      <w:szCs w:val="22"/>
                    </w:rPr>
                  </w:pPr>
                  <w:r>
                    <w:rPr>
                      <w:sz w:val="22"/>
                      <w:szCs w:val="22"/>
                    </w:rPr>
                    <w:t>耗氧量</w:t>
                  </w:r>
                </w:p>
              </w:tc>
              <w:tc>
                <w:tcPr>
                  <w:tcW w:w="807" w:type="pct"/>
                  <w:noWrap w:val="0"/>
                  <w:vAlign w:val="center"/>
                </w:tcPr>
                <w:p>
                  <w:pPr>
                    <w:jc w:val="center"/>
                    <w:rPr>
                      <w:sz w:val="22"/>
                      <w:szCs w:val="22"/>
                    </w:rPr>
                  </w:pPr>
                  <w:r>
                    <w:rPr>
                      <w:szCs w:val="21"/>
                    </w:rPr>
                    <w:t>mg/L</w:t>
                  </w:r>
                </w:p>
              </w:tc>
              <w:tc>
                <w:tcPr>
                  <w:tcW w:w="878" w:type="pct"/>
                  <w:noWrap w:val="0"/>
                  <w:vAlign w:val="center"/>
                </w:tcPr>
                <w:p>
                  <w:pPr>
                    <w:jc w:val="center"/>
                    <w:rPr>
                      <w:sz w:val="22"/>
                      <w:szCs w:val="22"/>
                    </w:rPr>
                  </w:pPr>
                  <w:r>
                    <w:rPr>
                      <w:sz w:val="22"/>
                      <w:szCs w:val="22"/>
                    </w:rPr>
                    <w:t>1.89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83" w:hRule="atLeast"/>
                <w:jc w:val="center"/>
              </w:trPr>
              <w:tc>
                <w:tcPr>
                  <w:tcW w:w="762" w:type="pct"/>
                  <w:vMerge w:val="continue"/>
                  <w:noWrap w:val="0"/>
                  <w:vAlign w:val="center"/>
                </w:tcPr>
                <w:p>
                  <w:pPr>
                    <w:jc w:val="center"/>
                    <w:rPr>
                      <w:sz w:val="22"/>
                      <w:szCs w:val="22"/>
                    </w:rPr>
                  </w:pPr>
                </w:p>
              </w:tc>
              <w:tc>
                <w:tcPr>
                  <w:tcW w:w="1034" w:type="pct"/>
                  <w:vMerge w:val="continue"/>
                  <w:noWrap w:val="0"/>
                  <w:vAlign w:val="center"/>
                </w:tcPr>
                <w:p>
                  <w:pPr>
                    <w:jc w:val="center"/>
                    <w:rPr>
                      <w:sz w:val="22"/>
                      <w:szCs w:val="22"/>
                    </w:rPr>
                  </w:pPr>
                </w:p>
              </w:tc>
              <w:tc>
                <w:tcPr>
                  <w:tcW w:w="1519" w:type="pct"/>
                  <w:noWrap w:val="0"/>
                  <w:vAlign w:val="center"/>
                </w:tcPr>
                <w:p>
                  <w:pPr>
                    <w:jc w:val="center"/>
                    <w:rPr>
                      <w:sz w:val="22"/>
                      <w:szCs w:val="22"/>
                    </w:rPr>
                  </w:pPr>
                  <w:r>
                    <w:rPr>
                      <w:sz w:val="22"/>
                      <w:szCs w:val="22"/>
                    </w:rPr>
                    <w:t>氨氮</w:t>
                  </w:r>
                </w:p>
              </w:tc>
              <w:tc>
                <w:tcPr>
                  <w:tcW w:w="807" w:type="pct"/>
                  <w:noWrap w:val="0"/>
                  <w:vAlign w:val="center"/>
                </w:tcPr>
                <w:p>
                  <w:pPr>
                    <w:jc w:val="center"/>
                    <w:rPr>
                      <w:sz w:val="22"/>
                      <w:szCs w:val="22"/>
                    </w:rPr>
                  </w:pPr>
                  <w:r>
                    <w:rPr>
                      <w:szCs w:val="21"/>
                    </w:rPr>
                    <w:t>mg/L</w:t>
                  </w:r>
                </w:p>
              </w:tc>
              <w:tc>
                <w:tcPr>
                  <w:tcW w:w="878" w:type="pct"/>
                  <w:noWrap w:val="0"/>
                  <w:vAlign w:val="center"/>
                </w:tcPr>
                <w:p>
                  <w:pPr>
                    <w:jc w:val="center"/>
                    <w:rPr>
                      <w:sz w:val="22"/>
                      <w:szCs w:val="22"/>
                    </w:rPr>
                  </w:pPr>
                  <w:r>
                    <w:rPr>
                      <w:sz w:val="22"/>
                      <w:szCs w:val="22"/>
                    </w:rPr>
                    <w:t>0.382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83" w:hRule="atLeast"/>
                <w:jc w:val="center"/>
              </w:trPr>
              <w:tc>
                <w:tcPr>
                  <w:tcW w:w="762" w:type="pct"/>
                  <w:vMerge w:val="continue"/>
                  <w:noWrap w:val="0"/>
                  <w:vAlign w:val="center"/>
                </w:tcPr>
                <w:p>
                  <w:pPr>
                    <w:jc w:val="center"/>
                    <w:rPr>
                      <w:sz w:val="22"/>
                      <w:szCs w:val="22"/>
                    </w:rPr>
                  </w:pPr>
                </w:p>
              </w:tc>
              <w:tc>
                <w:tcPr>
                  <w:tcW w:w="1034" w:type="pct"/>
                  <w:vMerge w:val="continue"/>
                  <w:noWrap w:val="0"/>
                  <w:vAlign w:val="center"/>
                </w:tcPr>
                <w:p>
                  <w:pPr>
                    <w:jc w:val="center"/>
                    <w:rPr>
                      <w:sz w:val="22"/>
                      <w:szCs w:val="22"/>
                    </w:rPr>
                  </w:pPr>
                </w:p>
              </w:tc>
              <w:tc>
                <w:tcPr>
                  <w:tcW w:w="1519" w:type="pct"/>
                  <w:noWrap w:val="0"/>
                  <w:vAlign w:val="center"/>
                </w:tcPr>
                <w:p>
                  <w:pPr>
                    <w:jc w:val="center"/>
                    <w:rPr>
                      <w:sz w:val="22"/>
                      <w:szCs w:val="22"/>
                    </w:rPr>
                  </w:pPr>
                  <w:r>
                    <w:rPr>
                      <w:sz w:val="22"/>
                      <w:szCs w:val="22"/>
                    </w:rPr>
                    <w:t>总磷</w:t>
                  </w:r>
                </w:p>
              </w:tc>
              <w:tc>
                <w:tcPr>
                  <w:tcW w:w="807" w:type="pct"/>
                  <w:noWrap w:val="0"/>
                  <w:vAlign w:val="center"/>
                </w:tcPr>
                <w:p>
                  <w:pPr>
                    <w:jc w:val="center"/>
                    <w:rPr>
                      <w:sz w:val="22"/>
                      <w:szCs w:val="22"/>
                    </w:rPr>
                  </w:pPr>
                  <w:r>
                    <w:rPr>
                      <w:szCs w:val="21"/>
                    </w:rPr>
                    <w:t>mg/L</w:t>
                  </w:r>
                </w:p>
              </w:tc>
              <w:tc>
                <w:tcPr>
                  <w:tcW w:w="878" w:type="pct"/>
                  <w:noWrap w:val="0"/>
                  <w:vAlign w:val="center"/>
                </w:tcPr>
                <w:p>
                  <w:pPr>
                    <w:jc w:val="center"/>
                    <w:rPr>
                      <w:sz w:val="22"/>
                      <w:szCs w:val="22"/>
                    </w:rPr>
                  </w:pPr>
                  <w:r>
                    <w:rPr>
                      <w:sz w:val="22"/>
                      <w:szCs w:val="22"/>
                    </w:rPr>
                    <w:t>0.04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83" w:hRule="atLeast"/>
                <w:jc w:val="center"/>
              </w:trPr>
              <w:tc>
                <w:tcPr>
                  <w:tcW w:w="762" w:type="pct"/>
                  <w:vMerge w:val="continue"/>
                  <w:noWrap w:val="0"/>
                  <w:vAlign w:val="center"/>
                </w:tcPr>
                <w:p>
                  <w:pPr>
                    <w:jc w:val="center"/>
                    <w:rPr>
                      <w:sz w:val="22"/>
                      <w:szCs w:val="22"/>
                    </w:rPr>
                  </w:pPr>
                </w:p>
              </w:tc>
              <w:tc>
                <w:tcPr>
                  <w:tcW w:w="1034" w:type="pct"/>
                  <w:vMerge w:val="continue"/>
                  <w:noWrap w:val="0"/>
                  <w:vAlign w:val="center"/>
                </w:tcPr>
                <w:p>
                  <w:pPr>
                    <w:jc w:val="center"/>
                    <w:rPr>
                      <w:sz w:val="22"/>
                      <w:szCs w:val="22"/>
                    </w:rPr>
                  </w:pPr>
                </w:p>
              </w:tc>
              <w:tc>
                <w:tcPr>
                  <w:tcW w:w="1519" w:type="pct"/>
                  <w:noWrap w:val="0"/>
                  <w:vAlign w:val="center"/>
                </w:tcPr>
                <w:p>
                  <w:pPr>
                    <w:jc w:val="center"/>
                    <w:rPr>
                      <w:sz w:val="22"/>
                      <w:szCs w:val="22"/>
                    </w:rPr>
                  </w:pPr>
                  <w:r>
                    <w:rPr>
                      <w:sz w:val="22"/>
                      <w:szCs w:val="22"/>
                    </w:rPr>
                    <w:t>硝酸盐（以N计）</w:t>
                  </w:r>
                </w:p>
              </w:tc>
              <w:tc>
                <w:tcPr>
                  <w:tcW w:w="807" w:type="pct"/>
                  <w:noWrap w:val="0"/>
                  <w:vAlign w:val="center"/>
                </w:tcPr>
                <w:p>
                  <w:pPr>
                    <w:jc w:val="center"/>
                    <w:rPr>
                      <w:sz w:val="22"/>
                      <w:szCs w:val="22"/>
                    </w:rPr>
                  </w:pPr>
                  <w:r>
                    <w:rPr>
                      <w:szCs w:val="21"/>
                    </w:rPr>
                    <w:t>mg/L</w:t>
                  </w:r>
                </w:p>
              </w:tc>
              <w:tc>
                <w:tcPr>
                  <w:tcW w:w="878" w:type="pct"/>
                  <w:noWrap w:val="0"/>
                  <w:vAlign w:val="center"/>
                </w:tcPr>
                <w:p>
                  <w:pPr>
                    <w:jc w:val="center"/>
                    <w:rPr>
                      <w:sz w:val="22"/>
                      <w:szCs w:val="22"/>
                    </w:rPr>
                  </w:pPr>
                  <w:r>
                    <w:rPr>
                      <w:sz w:val="22"/>
                      <w:szCs w:val="22"/>
                    </w:rPr>
                    <w:t>未检出</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83" w:hRule="atLeast"/>
                <w:jc w:val="center"/>
              </w:trPr>
              <w:tc>
                <w:tcPr>
                  <w:tcW w:w="762" w:type="pct"/>
                  <w:vMerge w:val="continue"/>
                  <w:noWrap w:val="0"/>
                  <w:vAlign w:val="center"/>
                </w:tcPr>
                <w:p>
                  <w:pPr>
                    <w:jc w:val="center"/>
                    <w:rPr>
                      <w:sz w:val="22"/>
                      <w:szCs w:val="22"/>
                    </w:rPr>
                  </w:pPr>
                </w:p>
              </w:tc>
              <w:tc>
                <w:tcPr>
                  <w:tcW w:w="1034" w:type="pct"/>
                  <w:vMerge w:val="continue"/>
                  <w:noWrap w:val="0"/>
                  <w:vAlign w:val="center"/>
                </w:tcPr>
                <w:p>
                  <w:pPr>
                    <w:jc w:val="center"/>
                    <w:rPr>
                      <w:sz w:val="22"/>
                      <w:szCs w:val="22"/>
                    </w:rPr>
                  </w:pPr>
                </w:p>
              </w:tc>
              <w:tc>
                <w:tcPr>
                  <w:tcW w:w="1519" w:type="pct"/>
                  <w:noWrap w:val="0"/>
                  <w:vAlign w:val="center"/>
                </w:tcPr>
                <w:p>
                  <w:pPr>
                    <w:jc w:val="center"/>
                    <w:rPr>
                      <w:sz w:val="22"/>
                      <w:szCs w:val="22"/>
                    </w:rPr>
                  </w:pPr>
                  <w:r>
                    <w:rPr>
                      <w:sz w:val="22"/>
                      <w:szCs w:val="22"/>
                    </w:rPr>
                    <w:t>亚硝酸盐（以N计）</w:t>
                  </w:r>
                </w:p>
              </w:tc>
              <w:tc>
                <w:tcPr>
                  <w:tcW w:w="807" w:type="pct"/>
                  <w:noWrap w:val="0"/>
                  <w:vAlign w:val="center"/>
                </w:tcPr>
                <w:p>
                  <w:pPr>
                    <w:jc w:val="center"/>
                    <w:rPr>
                      <w:sz w:val="22"/>
                      <w:szCs w:val="22"/>
                    </w:rPr>
                  </w:pPr>
                  <w:r>
                    <w:rPr>
                      <w:szCs w:val="21"/>
                    </w:rPr>
                    <w:t>mg/L</w:t>
                  </w:r>
                </w:p>
              </w:tc>
              <w:tc>
                <w:tcPr>
                  <w:tcW w:w="878" w:type="pct"/>
                  <w:noWrap w:val="0"/>
                  <w:vAlign w:val="center"/>
                </w:tcPr>
                <w:p>
                  <w:pPr>
                    <w:jc w:val="center"/>
                    <w:rPr>
                      <w:sz w:val="22"/>
                      <w:szCs w:val="22"/>
                    </w:rPr>
                  </w:pPr>
                  <w:r>
                    <w:rPr>
                      <w:sz w:val="22"/>
                      <w:szCs w:val="22"/>
                    </w:rPr>
                    <w:t>未检出</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83" w:hRule="atLeast"/>
                <w:jc w:val="center"/>
              </w:trPr>
              <w:tc>
                <w:tcPr>
                  <w:tcW w:w="762" w:type="pct"/>
                  <w:vMerge w:val="continue"/>
                  <w:noWrap w:val="0"/>
                  <w:vAlign w:val="center"/>
                </w:tcPr>
                <w:p>
                  <w:pPr>
                    <w:jc w:val="center"/>
                    <w:rPr>
                      <w:sz w:val="22"/>
                      <w:szCs w:val="22"/>
                    </w:rPr>
                  </w:pPr>
                </w:p>
              </w:tc>
              <w:tc>
                <w:tcPr>
                  <w:tcW w:w="1034" w:type="pct"/>
                  <w:vMerge w:val="continue"/>
                  <w:noWrap w:val="0"/>
                  <w:vAlign w:val="center"/>
                </w:tcPr>
                <w:p>
                  <w:pPr>
                    <w:jc w:val="center"/>
                    <w:rPr>
                      <w:sz w:val="22"/>
                      <w:szCs w:val="22"/>
                    </w:rPr>
                  </w:pPr>
                </w:p>
              </w:tc>
              <w:tc>
                <w:tcPr>
                  <w:tcW w:w="1519" w:type="pct"/>
                  <w:noWrap w:val="0"/>
                  <w:vAlign w:val="center"/>
                </w:tcPr>
                <w:p>
                  <w:pPr>
                    <w:jc w:val="center"/>
                    <w:rPr>
                      <w:sz w:val="22"/>
                      <w:szCs w:val="22"/>
                    </w:rPr>
                  </w:pPr>
                  <w:r>
                    <w:rPr>
                      <w:sz w:val="22"/>
                      <w:szCs w:val="22"/>
                    </w:rPr>
                    <w:t>氟化物</w:t>
                  </w:r>
                </w:p>
              </w:tc>
              <w:tc>
                <w:tcPr>
                  <w:tcW w:w="807" w:type="pct"/>
                  <w:noWrap w:val="0"/>
                  <w:vAlign w:val="center"/>
                </w:tcPr>
                <w:p>
                  <w:pPr>
                    <w:jc w:val="center"/>
                    <w:rPr>
                      <w:sz w:val="22"/>
                      <w:szCs w:val="22"/>
                    </w:rPr>
                  </w:pPr>
                  <w:r>
                    <w:rPr>
                      <w:szCs w:val="21"/>
                    </w:rPr>
                    <w:t>mg/L</w:t>
                  </w:r>
                </w:p>
              </w:tc>
              <w:tc>
                <w:tcPr>
                  <w:tcW w:w="878" w:type="pct"/>
                  <w:noWrap w:val="0"/>
                  <w:vAlign w:val="center"/>
                </w:tcPr>
                <w:p>
                  <w:pPr>
                    <w:jc w:val="center"/>
                    <w:rPr>
                      <w:sz w:val="22"/>
                      <w:szCs w:val="22"/>
                    </w:rPr>
                  </w:pPr>
                  <w:r>
                    <w:rPr>
                      <w:sz w:val="22"/>
                      <w:szCs w:val="22"/>
                    </w:rPr>
                    <w:t>0.158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83" w:hRule="atLeast"/>
                <w:jc w:val="center"/>
              </w:trPr>
              <w:tc>
                <w:tcPr>
                  <w:tcW w:w="762" w:type="pct"/>
                  <w:vMerge w:val="continue"/>
                  <w:noWrap w:val="0"/>
                  <w:vAlign w:val="center"/>
                </w:tcPr>
                <w:p>
                  <w:pPr>
                    <w:jc w:val="center"/>
                    <w:rPr>
                      <w:sz w:val="22"/>
                      <w:szCs w:val="22"/>
                    </w:rPr>
                  </w:pPr>
                </w:p>
              </w:tc>
              <w:tc>
                <w:tcPr>
                  <w:tcW w:w="1034" w:type="pct"/>
                  <w:vMerge w:val="continue"/>
                  <w:noWrap w:val="0"/>
                  <w:vAlign w:val="center"/>
                </w:tcPr>
                <w:p>
                  <w:pPr>
                    <w:jc w:val="center"/>
                    <w:rPr>
                      <w:sz w:val="22"/>
                      <w:szCs w:val="22"/>
                    </w:rPr>
                  </w:pPr>
                </w:p>
              </w:tc>
              <w:tc>
                <w:tcPr>
                  <w:tcW w:w="1519" w:type="pct"/>
                  <w:noWrap w:val="0"/>
                  <w:vAlign w:val="center"/>
                </w:tcPr>
                <w:p>
                  <w:pPr>
                    <w:jc w:val="center"/>
                    <w:rPr>
                      <w:sz w:val="22"/>
                      <w:szCs w:val="22"/>
                    </w:rPr>
                  </w:pPr>
                  <w:r>
                    <w:rPr>
                      <w:sz w:val="22"/>
                      <w:szCs w:val="22"/>
                    </w:rPr>
                    <w:t>硫酸盐（</w:t>
                  </w:r>
                  <w:r>
                    <w:rPr>
                      <w:bCs/>
                      <w:sz w:val="22"/>
                      <w:szCs w:val="22"/>
                    </w:rPr>
                    <w:t>SO</w:t>
                  </w:r>
                  <w:r>
                    <w:rPr>
                      <w:bCs/>
                      <w:sz w:val="22"/>
                      <w:szCs w:val="22"/>
                      <w:vertAlign w:val="subscript"/>
                    </w:rPr>
                    <w:t>4</w:t>
                  </w:r>
                  <w:r>
                    <w:rPr>
                      <w:bCs/>
                      <w:sz w:val="22"/>
                      <w:szCs w:val="22"/>
                      <w:vertAlign w:val="superscript"/>
                    </w:rPr>
                    <w:t>2-</w:t>
                  </w:r>
                  <w:r>
                    <w:rPr>
                      <w:sz w:val="22"/>
                      <w:szCs w:val="22"/>
                    </w:rPr>
                    <w:t>）</w:t>
                  </w:r>
                </w:p>
              </w:tc>
              <w:tc>
                <w:tcPr>
                  <w:tcW w:w="807" w:type="pct"/>
                  <w:noWrap w:val="0"/>
                  <w:vAlign w:val="center"/>
                </w:tcPr>
                <w:p>
                  <w:pPr>
                    <w:jc w:val="center"/>
                    <w:rPr>
                      <w:sz w:val="22"/>
                      <w:szCs w:val="22"/>
                    </w:rPr>
                  </w:pPr>
                  <w:r>
                    <w:rPr>
                      <w:szCs w:val="21"/>
                    </w:rPr>
                    <w:t>mg/L</w:t>
                  </w:r>
                </w:p>
              </w:tc>
              <w:tc>
                <w:tcPr>
                  <w:tcW w:w="878" w:type="pct"/>
                  <w:noWrap w:val="0"/>
                  <w:vAlign w:val="center"/>
                </w:tcPr>
                <w:p>
                  <w:pPr>
                    <w:jc w:val="center"/>
                    <w:rPr>
                      <w:sz w:val="22"/>
                      <w:szCs w:val="22"/>
                    </w:rPr>
                  </w:pPr>
                  <w:r>
                    <w:rPr>
                      <w:sz w:val="22"/>
                      <w:szCs w:val="22"/>
                    </w:rPr>
                    <w:t>17.9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83" w:hRule="atLeast"/>
                <w:jc w:val="center"/>
              </w:trPr>
              <w:tc>
                <w:tcPr>
                  <w:tcW w:w="762" w:type="pct"/>
                  <w:vMerge w:val="continue"/>
                  <w:noWrap w:val="0"/>
                  <w:vAlign w:val="center"/>
                </w:tcPr>
                <w:p>
                  <w:pPr>
                    <w:jc w:val="center"/>
                    <w:rPr>
                      <w:sz w:val="22"/>
                      <w:szCs w:val="22"/>
                    </w:rPr>
                  </w:pPr>
                </w:p>
              </w:tc>
              <w:tc>
                <w:tcPr>
                  <w:tcW w:w="1034" w:type="pct"/>
                  <w:vMerge w:val="continue"/>
                  <w:noWrap w:val="0"/>
                  <w:vAlign w:val="center"/>
                </w:tcPr>
                <w:p>
                  <w:pPr>
                    <w:jc w:val="center"/>
                    <w:rPr>
                      <w:sz w:val="22"/>
                      <w:szCs w:val="22"/>
                    </w:rPr>
                  </w:pPr>
                </w:p>
              </w:tc>
              <w:tc>
                <w:tcPr>
                  <w:tcW w:w="1519" w:type="pct"/>
                  <w:noWrap w:val="0"/>
                  <w:vAlign w:val="center"/>
                </w:tcPr>
                <w:p>
                  <w:pPr>
                    <w:jc w:val="center"/>
                    <w:rPr>
                      <w:sz w:val="22"/>
                      <w:szCs w:val="22"/>
                    </w:rPr>
                  </w:pPr>
                  <w:r>
                    <w:rPr>
                      <w:sz w:val="22"/>
                      <w:szCs w:val="22"/>
                    </w:rPr>
                    <w:t>氯化物（Cl</w:t>
                  </w:r>
                  <w:r>
                    <w:rPr>
                      <w:sz w:val="22"/>
                      <w:szCs w:val="22"/>
                      <w:vertAlign w:val="superscript"/>
                    </w:rPr>
                    <w:t>-</w:t>
                  </w:r>
                  <w:r>
                    <w:rPr>
                      <w:sz w:val="22"/>
                      <w:szCs w:val="22"/>
                    </w:rPr>
                    <w:t>）</w:t>
                  </w:r>
                </w:p>
              </w:tc>
              <w:tc>
                <w:tcPr>
                  <w:tcW w:w="807" w:type="pct"/>
                  <w:noWrap w:val="0"/>
                  <w:vAlign w:val="center"/>
                </w:tcPr>
                <w:p>
                  <w:pPr>
                    <w:jc w:val="center"/>
                    <w:rPr>
                      <w:sz w:val="22"/>
                      <w:szCs w:val="22"/>
                    </w:rPr>
                  </w:pPr>
                  <w:r>
                    <w:rPr>
                      <w:szCs w:val="21"/>
                    </w:rPr>
                    <w:t>mg/L</w:t>
                  </w:r>
                </w:p>
              </w:tc>
              <w:tc>
                <w:tcPr>
                  <w:tcW w:w="878" w:type="pct"/>
                  <w:noWrap w:val="0"/>
                  <w:vAlign w:val="center"/>
                </w:tcPr>
                <w:p>
                  <w:pPr>
                    <w:jc w:val="center"/>
                    <w:rPr>
                      <w:sz w:val="22"/>
                      <w:szCs w:val="22"/>
                    </w:rPr>
                  </w:pPr>
                  <w:r>
                    <w:rPr>
                      <w:sz w:val="22"/>
                      <w:szCs w:val="22"/>
                    </w:rPr>
                    <w:t>123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83" w:hRule="atLeast"/>
                <w:jc w:val="center"/>
              </w:trPr>
              <w:tc>
                <w:tcPr>
                  <w:tcW w:w="762" w:type="pct"/>
                  <w:vMerge w:val="continue"/>
                  <w:noWrap w:val="0"/>
                  <w:vAlign w:val="center"/>
                </w:tcPr>
                <w:p>
                  <w:pPr>
                    <w:jc w:val="center"/>
                    <w:rPr>
                      <w:sz w:val="22"/>
                      <w:szCs w:val="22"/>
                    </w:rPr>
                  </w:pPr>
                </w:p>
              </w:tc>
              <w:tc>
                <w:tcPr>
                  <w:tcW w:w="1034" w:type="pct"/>
                  <w:vMerge w:val="continue"/>
                  <w:noWrap w:val="0"/>
                  <w:vAlign w:val="center"/>
                </w:tcPr>
                <w:p>
                  <w:pPr>
                    <w:jc w:val="center"/>
                    <w:rPr>
                      <w:sz w:val="22"/>
                      <w:szCs w:val="22"/>
                    </w:rPr>
                  </w:pPr>
                </w:p>
              </w:tc>
              <w:tc>
                <w:tcPr>
                  <w:tcW w:w="1519" w:type="pct"/>
                  <w:noWrap w:val="0"/>
                  <w:vAlign w:val="center"/>
                </w:tcPr>
                <w:p>
                  <w:pPr>
                    <w:jc w:val="center"/>
                    <w:rPr>
                      <w:sz w:val="22"/>
                      <w:szCs w:val="22"/>
                    </w:rPr>
                  </w:pPr>
                  <w:r>
                    <w:rPr>
                      <w:sz w:val="22"/>
                      <w:szCs w:val="22"/>
                    </w:rPr>
                    <w:t>挥发酚</w:t>
                  </w:r>
                </w:p>
              </w:tc>
              <w:tc>
                <w:tcPr>
                  <w:tcW w:w="807" w:type="pct"/>
                  <w:noWrap w:val="0"/>
                  <w:vAlign w:val="center"/>
                </w:tcPr>
                <w:p>
                  <w:pPr>
                    <w:jc w:val="center"/>
                    <w:rPr>
                      <w:sz w:val="22"/>
                      <w:szCs w:val="22"/>
                    </w:rPr>
                  </w:pPr>
                  <w:r>
                    <w:rPr>
                      <w:szCs w:val="21"/>
                    </w:rPr>
                    <w:t>mg/L</w:t>
                  </w:r>
                </w:p>
              </w:tc>
              <w:tc>
                <w:tcPr>
                  <w:tcW w:w="878" w:type="pct"/>
                  <w:noWrap w:val="0"/>
                  <w:vAlign w:val="center"/>
                </w:tcPr>
                <w:p>
                  <w:pPr>
                    <w:jc w:val="center"/>
                    <w:rPr>
                      <w:sz w:val="22"/>
                      <w:szCs w:val="22"/>
                    </w:rPr>
                  </w:pPr>
                  <w:r>
                    <w:rPr>
                      <w:sz w:val="22"/>
                      <w:szCs w:val="22"/>
                    </w:rPr>
                    <w:t>0.0004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83" w:hRule="atLeast"/>
                <w:jc w:val="center"/>
              </w:trPr>
              <w:tc>
                <w:tcPr>
                  <w:tcW w:w="762" w:type="pct"/>
                  <w:vMerge w:val="continue"/>
                  <w:noWrap w:val="0"/>
                  <w:vAlign w:val="center"/>
                </w:tcPr>
                <w:p>
                  <w:pPr>
                    <w:jc w:val="center"/>
                    <w:rPr>
                      <w:sz w:val="22"/>
                      <w:szCs w:val="22"/>
                    </w:rPr>
                  </w:pPr>
                </w:p>
              </w:tc>
              <w:tc>
                <w:tcPr>
                  <w:tcW w:w="1034" w:type="pct"/>
                  <w:vMerge w:val="continue"/>
                  <w:noWrap w:val="0"/>
                  <w:vAlign w:val="center"/>
                </w:tcPr>
                <w:p>
                  <w:pPr>
                    <w:jc w:val="center"/>
                    <w:rPr>
                      <w:sz w:val="22"/>
                      <w:szCs w:val="22"/>
                    </w:rPr>
                  </w:pPr>
                </w:p>
              </w:tc>
              <w:tc>
                <w:tcPr>
                  <w:tcW w:w="1519" w:type="pct"/>
                  <w:noWrap w:val="0"/>
                  <w:vAlign w:val="center"/>
                </w:tcPr>
                <w:p>
                  <w:pPr>
                    <w:jc w:val="center"/>
                    <w:rPr>
                      <w:sz w:val="22"/>
                      <w:szCs w:val="22"/>
                    </w:rPr>
                  </w:pPr>
                  <w:r>
                    <w:rPr>
                      <w:sz w:val="22"/>
                      <w:szCs w:val="22"/>
                    </w:rPr>
                    <w:t>氰化物</w:t>
                  </w:r>
                </w:p>
              </w:tc>
              <w:tc>
                <w:tcPr>
                  <w:tcW w:w="807" w:type="pct"/>
                  <w:noWrap w:val="0"/>
                  <w:vAlign w:val="center"/>
                </w:tcPr>
                <w:p>
                  <w:pPr>
                    <w:jc w:val="center"/>
                    <w:rPr>
                      <w:sz w:val="22"/>
                      <w:szCs w:val="22"/>
                    </w:rPr>
                  </w:pPr>
                  <w:r>
                    <w:rPr>
                      <w:szCs w:val="21"/>
                    </w:rPr>
                    <w:t>mg/L</w:t>
                  </w:r>
                </w:p>
              </w:tc>
              <w:tc>
                <w:tcPr>
                  <w:tcW w:w="878" w:type="pct"/>
                  <w:noWrap w:val="0"/>
                  <w:vAlign w:val="center"/>
                </w:tcPr>
                <w:p>
                  <w:pPr>
                    <w:jc w:val="center"/>
                    <w:rPr>
                      <w:sz w:val="22"/>
                      <w:szCs w:val="22"/>
                    </w:rPr>
                  </w:pPr>
                  <w:r>
                    <w:rPr>
                      <w:sz w:val="22"/>
                      <w:szCs w:val="22"/>
                    </w:rPr>
                    <w:t>&lt;0.002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83" w:hRule="atLeast"/>
                <w:jc w:val="center"/>
              </w:trPr>
              <w:tc>
                <w:tcPr>
                  <w:tcW w:w="762" w:type="pct"/>
                  <w:vMerge w:val="continue"/>
                  <w:noWrap w:val="0"/>
                  <w:vAlign w:val="center"/>
                </w:tcPr>
                <w:p>
                  <w:pPr>
                    <w:jc w:val="center"/>
                    <w:rPr>
                      <w:sz w:val="22"/>
                      <w:szCs w:val="22"/>
                    </w:rPr>
                  </w:pPr>
                </w:p>
              </w:tc>
              <w:tc>
                <w:tcPr>
                  <w:tcW w:w="1034" w:type="pct"/>
                  <w:vMerge w:val="continue"/>
                  <w:noWrap w:val="0"/>
                  <w:vAlign w:val="center"/>
                </w:tcPr>
                <w:p>
                  <w:pPr>
                    <w:jc w:val="center"/>
                    <w:rPr>
                      <w:sz w:val="22"/>
                      <w:szCs w:val="22"/>
                    </w:rPr>
                  </w:pPr>
                </w:p>
              </w:tc>
              <w:tc>
                <w:tcPr>
                  <w:tcW w:w="1519" w:type="pct"/>
                  <w:noWrap w:val="0"/>
                  <w:vAlign w:val="center"/>
                </w:tcPr>
                <w:p>
                  <w:pPr>
                    <w:jc w:val="center"/>
                    <w:rPr>
                      <w:sz w:val="22"/>
                      <w:szCs w:val="22"/>
                    </w:rPr>
                  </w:pPr>
                  <w:r>
                    <w:rPr>
                      <w:sz w:val="22"/>
                      <w:szCs w:val="22"/>
                    </w:rPr>
                    <w:t>砷</w:t>
                  </w:r>
                </w:p>
              </w:tc>
              <w:tc>
                <w:tcPr>
                  <w:tcW w:w="807" w:type="pct"/>
                  <w:noWrap w:val="0"/>
                  <w:vAlign w:val="center"/>
                </w:tcPr>
                <w:p>
                  <w:pPr>
                    <w:jc w:val="center"/>
                    <w:rPr>
                      <w:sz w:val="22"/>
                      <w:szCs w:val="22"/>
                    </w:rPr>
                  </w:pPr>
                  <w:r>
                    <w:rPr>
                      <w:szCs w:val="21"/>
                    </w:rPr>
                    <w:t>mg/L</w:t>
                  </w:r>
                </w:p>
              </w:tc>
              <w:tc>
                <w:tcPr>
                  <w:tcW w:w="878" w:type="pct"/>
                  <w:noWrap w:val="0"/>
                  <w:vAlign w:val="center"/>
                </w:tcPr>
                <w:p>
                  <w:pPr>
                    <w:jc w:val="center"/>
                    <w:rPr>
                      <w:sz w:val="22"/>
                      <w:szCs w:val="22"/>
                    </w:rPr>
                  </w:pPr>
                  <w:r>
                    <w:rPr>
                      <w:sz w:val="22"/>
                      <w:szCs w:val="22"/>
                    </w:rPr>
                    <w:t>未检出</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83" w:hRule="atLeast"/>
                <w:jc w:val="center"/>
              </w:trPr>
              <w:tc>
                <w:tcPr>
                  <w:tcW w:w="762" w:type="pct"/>
                  <w:vMerge w:val="continue"/>
                  <w:noWrap w:val="0"/>
                  <w:vAlign w:val="center"/>
                </w:tcPr>
                <w:p>
                  <w:pPr>
                    <w:jc w:val="center"/>
                    <w:rPr>
                      <w:sz w:val="22"/>
                      <w:szCs w:val="22"/>
                    </w:rPr>
                  </w:pPr>
                </w:p>
              </w:tc>
              <w:tc>
                <w:tcPr>
                  <w:tcW w:w="1034" w:type="pct"/>
                  <w:vMerge w:val="continue"/>
                  <w:noWrap w:val="0"/>
                  <w:vAlign w:val="center"/>
                </w:tcPr>
                <w:p>
                  <w:pPr>
                    <w:jc w:val="center"/>
                    <w:rPr>
                      <w:sz w:val="22"/>
                      <w:szCs w:val="22"/>
                    </w:rPr>
                  </w:pPr>
                </w:p>
              </w:tc>
              <w:tc>
                <w:tcPr>
                  <w:tcW w:w="1519" w:type="pct"/>
                  <w:noWrap w:val="0"/>
                  <w:vAlign w:val="center"/>
                </w:tcPr>
                <w:p>
                  <w:pPr>
                    <w:jc w:val="center"/>
                    <w:rPr>
                      <w:sz w:val="22"/>
                      <w:szCs w:val="22"/>
                    </w:rPr>
                  </w:pPr>
                  <w:r>
                    <w:rPr>
                      <w:sz w:val="22"/>
                      <w:szCs w:val="22"/>
                    </w:rPr>
                    <w:t>汞</w:t>
                  </w:r>
                </w:p>
              </w:tc>
              <w:tc>
                <w:tcPr>
                  <w:tcW w:w="807" w:type="pct"/>
                  <w:noWrap w:val="0"/>
                  <w:vAlign w:val="center"/>
                </w:tcPr>
                <w:p>
                  <w:pPr>
                    <w:jc w:val="center"/>
                    <w:rPr>
                      <w:sz w:val="22"/>
                      <w:szCs w:val="22"/>
                    </w:rPr>
                  </w:pPr>
                  <w:r>
                    <w:rPr>
                      <w:szCs w:val="21"/>
                    </w:rPr>
                    <w:t>mg/L</w:t>
                  </w:r>
                </w:p>
              </w:tc>
              <w:tc>
                <w:tcPr>
                  <w:tcW w:w="878" w:type="pct"/>
                  <w:noWrap w:val="0"/>
                  <w:vAlign w:val="center"/>
                </w:tcPr>
                <w:p>
                  <w:pPr>
                    <w:jc w:val="center"/>
                    <w:rPr>
                      <w:sz w:val="22"/>
                      <w:szCs w:val="22"/>
                    </w:rPr>
                  </w:pPr>
                  <w:r>
                    <w:rPr>
                      <w:sz w:val="22"/>
                      <w:szCs w:val="22"/>
                    </w:rPr>
                    <w:t>未检出</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90" w:hRule="atLeast"/>
                <w:jc w:val="center"/>
              </w:trPr>
              <w:tc>
                <w:tcPr>
                  <w:tcW w:w="762" w:type="pct"/>
                  <w:vMerge w:val="continue"/>
                  <w:noWrap w:val="0"/>
                  <w:vAlign w:val="center"/>
                </w:tcPr>
                <w:p>
                  <w:pPr>
                    <w:rPr>
                      <w:sz w:val="22"/>
                      <w:szCs w:val="22"/>
                    </w:rPr>
                  </w:pPr>
                </w:p>
              </w:tc>
              <w:tc>
                <w:tcPr>
                  <w:tcW w:w="1034" w:type="pct"/>
                  <w:vMerge w:val="continue"/>
                  <w:noWrap w:val="0"/>
                  <w:vAlign w:val="center"/>
                </w:tcPr>
                <w:p>
                  <w:pPr>
                    <w:jc w:val="center"/>
                    <w:rPr>
                      <w:sz w:val="22"/>
                      <w:szCs w:val="22"/>
                    </w:rPr>
                  </w:pPr>
                </w:p>
              </w:tc>
              <w:tc>
                <w:tcPr>
                  <w:tcW w:w="1519" w:type="pct"/>
                  <w:noWrap w:val="0"/>
                  <w:vAlign w:val="center"/>
                </w:tcPr>
                <w:p>
                  <w:pPr>
                    <w:jc w:val="center"/>
                    <w:rPr>
                      <w:sz w:val="22"/>
                      <w:szCs w:val="22"/>
                    </w:rPr>
                  </w:pPr>
                  <w:r>
                    <w:rPr>
                      <w:sz w:val="22"/>
                      <w:szCs w:val="22"/>
                    </w:rPr>
                    <w:t>铬（六价）</w:t>
                  </w:r>
                </w:p>
              </w:tc>
              <w:tc>
                <w:tcPr>
                  <w:tcW w:w="807" w:type="pct"/>
                  <w:noWrap w:val="0"/>
                  <w:vAlign w:val="center"/>
                </w:tcPr>
                <w:p>
                  <w:pPr>
                    <w:jc w:val="center"/>
                    <w:rPr>
                      <w:sz w:val="22"/>
                      <w:szCs w:val="22"/>
                    </w:rPr>
                  </w:pPr>
                  <w:r>
                    <w:rPr>
                      <w:szCs w:val="21"/>
                    </w:rPr>
                    <w:t>mg/L</w:t>
                  </w:r>
                </w:p>
              </w:tc>
              <w:tc>
                <w:tcPr>
                  <w:tcW w:w="878" w:type="pct"/>
                  <w:noWrap w:val="0"/>
                  <w:vAlign w:val="center"/>
                </w:tcPr>
                <w:p>
                  <w:pPr>
                    <w:jc w:val="center"/>
                    <w:rPr>
                      <w:sz w:val="22"/>
                      <w:szCs w:val="22"/>
                    </w:rPr>
                  </w:pPr>
                  <w:r>
                    <w:rPr>
                      <w:sz w:val="22"/>
                      <w:szCs w:val="22"/>
                    </w:rPr>
                    <w:t>&lt;0.004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83" w:hRule="atLeast"/>
                <w:jc w:val="center"/>
              </w:trPr>
              <w:tc>
                <w:tcPr>
                  <w:tcW w:w="762" w:type="pct"/>
                  <w:vMerge w:val="continue"/>
                  <w:noWrap w:val="0"/>
                  <w:vAlign w:val="center"/>
                </w:tcPr>
                <w:p>
                  <w:pPr>
                    <w:jc w:val="center"/>
                    <w:rPr>
                      <w:sz w:val="22"/>
                      <w:szCs w:val="22"/>
                    </w:rPr>
                  </w:pPr>
                </w:p>
              </w:tc>
              <w:tc>
                <w:tcPr>
                  <w:tcW w:w="1034" w:type="pct"/>
                  <w:vMerge w:val="continue"/>
                  <w:noWrap w:val="0"/>
                  <w:vAlign w:val="center"/>
                </w:tcPr>
                <w:p>
                  <w:pPr>
                    <w:jc w:val="center"/>
                    <w:rPr>
                      <w:sz w:val="22"/>
                      <w:szCs w:val="22"/>
                    </w:rPr>
                  </w:pPr>
                </w:p>
              </w:tc>
              <w:tc>
                <w:tcPr>
                  <w:tcW w:w="1519" w:type="pct"/>
                  <w:noWrap w:val="0"/>
                  <w:vAlign w:val="center"/>
                </w:tcPr>
                <w:p>
                  <w:pPr>
                    <w:jc w:val="center"/>
                    <w:rPr>
                      <w:sz w:val="22"/>
                      <w:szCs w:val="22"/>
                    </w:rPr>
                  </w:pPr>
                  <w:r>
                    <w:rPr>
                      <w:sz w:val="22"/>
                      <w:szCs w:val="22"/>
                    </w:rPr>
                    <w:t>铁</w:t>
                  </w:r>
                </w:p>
              </w:tc>
              <w:tc>
                <w:tcPr>
                  <w:tcW w:w="807" w:type="pct"/>
                  <w:noWrap w:val="0"/>
                  <w:vAlign w:val="center"/>
                </w:tcPr>
                <w:p>
                  <w:pPr>
                    <w:jc w:val="center"/>
                    <w:rPr>
                      <w:sz w:val="22"/>
                      <w:szCs w:val="22"/>
                    </w:rPr>
                  </w:pPr>
                  <w:r>
                    <w:rPr>
                      <w:szCs w:val="21"/>
                    </w:rPr>
                    <w:t>mg/L</w:t>
                  </w:r>
                </w:p>
              </w:tc>
              <w:tc>
                <w:tcPr>
                  <w:tcW w:w="878" w:type="pct"/>
                  <w:noWrap w:val="0"/>
                  <w:vAlign w:val="center"/>
                </w:tcPr>
                <w:p>
                  <w:pPr>
                    <w:jc w:val="center"/>
                    <w:rPr>
                      <w:sz w:val="22"/>
                      <w:szCs w:val="22"/>
                    </w:rPr>
                  </w:pPr>
                  <w:r>
                    <w:rPr>
                      <w:sz w:val="22"/>
                      <w:szCs w:val="22"/>
                    </w:rPr>
                    <w:t>未检出</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83" w:hRule="atLeast"/>
                <w:jc w:val="center"/>
              </w:trPr>
              <w:tc>
                <w:tcPr>
                  <w:tcW w:w="762" w:type="pct"/>
                  <w:vMerge w:val="continue"/>
                  <w:noWrap w:val="0"/>
                  <w:vAlign w:val="center"/>
                </w:tcPr>
                <w:p>
                  <w:pPr>
                    <w:jc w:val="center"/>
                    <w:rPr>
                      <w:sz w:val="22"/>
                      <w:szCs w:val="22"/>
                    </w:rPr>
                  </w:pPr>
                </w:p>
              </w:tc>
              <w:tc>
                <w:tcPr>
                  <w:tcW w:w="1034" w:type="pct"/>
                  <w:vMerge w:val="continue"/>
                  <w:noWrap w:val="0"/>
                  <w:vAlign w:val="center"/>
                </w:tcPr>
                <w:p>
                  <w:pPr>
                    <w:jc w:val="center"/>
                    <w:rPr>
                      <w:sz w:val="22"/>
                      <w:szCs w:val="22"/>
                    </w:rPr>
                  </w:pPr>
                </w:p>
              </w:tc>
              <w:tc>
                <w:tcPr>
                  <w:tcW w:w="1519" w:type="pct"/>
                  <w:noWrap w:val="0"/>
                  <w:vAlign w:val="center"/>
                </w:tcPr>
                <w:p>
                  <w:pPr>
                    <w:jc w:val="center"/>
                    <w:rPr>
                      <w:sz w:val="22"/>
                      <w:szCs w:val="22"/>
                    </w:rPr>
                  </w:pPr>
                  <w:r>
                    <w:rPr>
                      <w:sz w:val="22"/>
                      <w:szCs w:val="22"/>
                    </w:rPr>
                    <w:t>锰</w:t>
                  </w:r>
                </w:p>
              </w:tc>
              <w:tc>
                <w:tcPr>
                  <w:tcW w:w="807" w:type="pct"/>
                  <w:noWrap w:val="0"/>
                  <w:vAlign w:val="center"/>
                </w:tcPr>
                <w:p>
                  <w:pPr>
                    <w:jc w:val="center"/>
                    <w:rPr>
                      <w:sz w:val="22"/>
                      <w:szCs w:val="22"/>
                    </w:rPr>
                  </w:pPr>
                  <w:r>
                    <w:rPr>
                      <w:szCs w:val="21"/>
                    </w:rPr>
                    <w:t>mg/L</w:t>
                  </w:r>
                </w:p>
              </w:tc>
              <w:tc>
                <w:tcPr>
                  <w:tcW w:w="878" w:type="pct"/>
                  <w:noWrap w:val="0"/>
                  <w:vAlign w:val="center"/>
                </w:tcPr>
                <w:p>
                  <w:pPr>
                    <w:jc w:val="center"/>
                    <w:rPr>
                      <w:sz w:val="22"/>
                      <w:szCs w:val="22"/>
                    </w:rPr>
                  </w:pPr>
                  <w:r>
                    <w:rPr>
                      <w:sz w:val="22"/>
                      <w:szCs w:val="22"/>
                    </w:rPr>
                    <w:t>未检出</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83" w:hRule="atLeast"/>
                <w:jc w:val="center"/>
              </w:trPr>
              <w:tc>
                <w:tcPr>
                  <w:tcW w:w="762" w:type="pct"/>
                  <w:vMerge w:val="continue"/>
                  <w:noWrap w:val="0"/>
                  <w:vAlign w:val="center"/>
                </w:tcPr>
                <w:p>
                  <w:pPr>
                    <w:jc w:val="center"/>
                    <w:rPr>
                      <w:sz w:val="22"/>
                      <w:szCs w:val="22"/>
                    </w:rPr>
                  </w:pPr>
                </w:p>
              </w:tc>
              <w:tc>
                <w:tcPr>
                  <w:tcW w:w="1034" w:type="pct"/>
                  <w:vMerge w:val="continue"/>
                  <w:noWrap w:val="0"/>
                  <w:vAlign w:val="center"/>
                </w:tcPr>
                <w:p>
                  <w:pPr>
                    <w:jc w:val="center"/>
                    <w:rPr>
                      <w:sz w:val="22"/>
                      <w:szCs w:val="22"/>
                    </w:rPr>
                  </w:pPr>
                </w:p>
              </w:tc>
              <w:tc>
                <w:tcPr>
                  <w:tcW w:w="1519" w:type="pct"/>
                  <w:noWrap w:val="0"/>
                  <w:vAlign w:val="center"/>
                </w:tcPr>
                <w:p>
                  <w:pPr>
                    <w:jc w:val="center"/>
                    <w:rPr>
                      <w:sz w:val="22"/>
                      <w:szCs w:val="22"/>
                    </w:rPr>
                  </w:pPr>
                  <w:r>
                    <w:rPr>
                      <w:sz w:val="22"/>
                      <w:szCs w:val="22"/>
                    </w:rPr>
                    <w:t>铅</w:t>
                  </w:r>
                </w:p>
              </w:tc>
              <w:tc>
                <w:tcPr>
                  <w:tcW w:w="807" w:type="pct"/>
                  <w:noWrap w:val="0"/>
                  <w:vAlign w:val="center"/>
                </w:tcPr>
                <w:p>
                  <w:pPr>
                    <w:jc w:val="center"/>
                    <w:rPr>
                      <w:sz w:val="22"/>
                      <w:szCs w:val="22"/>
                    </w:rPr>
                  </w:pPr>
                  <w:r>
                    <w:rPr>
                      <w:szCs w:val="21"/>
                    </w:rPr>
                    <w:t>mg/L</w:t>
                  </w:r>
                </w:p>
              </w:tc>
              <w:tc>
                <w:tcPr>
                  <w:tcW w:w="878" w:type="pct"/>
                  <w:noWrap w:val="0"/>
                  <w:vAlign w:val="center"/>
                </w:tcPr>
                <w:p>
                  <w:pPr>
                    <w:jc w:val="center"/>
                    <w:rPr>
                      <w:sz w:val="22"/>
                      <w:szCs w:val="22"/>
                    </w:rPr>
                  </w:pPr>
                  <w:r>
                    <w:rPr>
                      <w:sz w:val="22"/>
                      <w:szCs w:val="22"/>
                    </w:rPr>
                    <w:t>8×10</w:t>
                  </w:r>
                  <w:r>
                    <w:rPr>
                      <w:sz w:val="22"/>
                      <w:szCs w:val="22"/>
                      <w:vertAlign w:val="superscript"/>
                    </w:rPr>
                    <w:t>-3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83" w:hRule="atLeast"/>
                <w:jc w:val="center"/>
              </w:trPr>
              <w:tc>
                <w:tcPr>
                  <w:tcW w:w="762" w:type="pct"/>
                  <w:vMerge w:val="continue"/>
                  <w:noWrap w:val="0"/>
                  <w:vAlign w:val="center"/>
                </w:tcPr>
                <w:p>
                  <w:pPr>
                    <w:jc w:val="center"/>
                    <w:rPr>
                      <w:sz w:val="22"/>
                      <w:szCs w:val="22"/>
                    </w:rPr>
                  </w:pPr>
                </w:p>
              </w:tc>
              <w:tc>
                <w:tcPr>
                  <w:tcW w:w="1034" w:type="pct"/>
                  <w:vMerge w:val="continue"/>
                  <w:noWrap w:val="0"/>
                  <w:vAlign w:val="center"/>
                </w:tcPr>
                <w:p>
                  <w:pPr>
                    <w:jc w:val="center"/>
                    <w:rPr>
                      <w:sz w:val="22"/>
                      <w:szCs w:val="22"/>
                    </w:rPr>
                  </w:pPr>
                </w:p>
              </w:tc>
              <w:tc>
                <w:tcPr>
                  <w:tcW w:w="1519" w:type="pct"/>
                  <w:noWrap w:val="0"/>
                  <w:vAlign w:val="center"/>
                </w:tcPr>
                <w:p>
                  <w:pPr>
                    <w:jc w:val="center"/>
                    <w:rPr>
                      <w:sz w:val="22"/>
                      <w:szCs w:val="22"/>
                    </w:rPr>
                  </w:pPr>
                  <w:r>
                    <w:rPr>
                      <w:sz w:val="22"/>
                      <w:szCs w:val="22"/>
                    </w:rPr>
                    <w:t>总大肠菌群</w:t>
                  </w:r>
                </w:p>
              </w:tc>
              <w:tc>
                <w:tcPr>
                  <w:tcW w:w="807" w:type="pct"/>
                  <w:noWrap w:val="0"/>
                  <w:vAlign w:val="center"/>
                </w:tcPr>
                <w:p>
                  <w:pPr>
                    <w:jc w:val="center"/>
                    <w:rPr>
                      <w:sz w:val="22"/>
                      <w:szCs w:val="22"/>
                    </w:rPr>
                  </w:pPr>
                  <w:r>
                    <w:rPr>
                      <w:szCs w:val="21"/>
                    </w:rPr>
                    <w:t>MPN/100mL</w:t>
                  </w:r>
                </w:p>
              </w:tc>
              <w:tc>
                <w:tcPr>
                  <w:tcW w:w="878" w:type="pct"/>
                  <w:noWrap w:val="0"/>
                  <w:vAlign w:val="center"/>
                </w:tcPr>
                <w:p>
                  <w:pPr>
                    <w:jc w:val="center"/>
                    <w:rPr>
                      <w:sz w:val="22"/>
                      <w:szCs w:val="22"/>
                    </w:rPr>
                  </w:pPr>
                  <w:r>
                    <w:rPr>
                      <w:sz w:val="22"/>
                      <w:szCs w:val="22"/>
                    </w:rPr>
                    <w:t>&lt;2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83" w:hRule="atLeast"/>
                <w:jc w:val="center"/>
              </w:trPr>
              <w:tc>
                <w:tcPr>
                  <w:tcW w:w="762" w:type="pct"/>
                  <w:vMerge w:val="continue"/>
                  <w:noWrap w:val="0"/>
                  <w:vAlign w:val="center"/>
                </w:tcPr>
                <w:p>
                  <w:pPr>
                    <w:jc w:val="center"/>
                    <w:rPr>
                      <w:sz w:val="22"/>
                      <w:szCs w:val="22"/>
                    </w:rPr>
                  </w:pPr>
                </w:p>
              </w:tc>
              <w:tc>
                <w:tcPr>
                  <w:tcW w:w="1034" w:type="pct"/>
                  <w:vMerge w:val="continue"/>
                  <w:noWrap w:val="0"/>
                  <w:vAlign w:val="center"/>
                </w:tcPr>
                <w:p>
                  <w:pPr>
                    <w:jc w:val="center"/>
                    <w:rPr>
                      <w:sz w:val="22"/>
                      <w:szCs w:val="22"/>
                    </w:rPr>
                  </w:pPr>
                </w:p>
              </w:tc>
              <w:tc>
                <w:tcPr>
                  <w:tcW w:w="1519" w:type="pct"/>
                  <w:noWrap w:val="0"/>
                  <w:vAlign w:val="center"/>
                </w:tcPr>
                <w:p>
                  <w:pPr>
                    <w:jc w:val="center"/>
                    <w:rPr>
                      <w:sz w:val="22"/>
                      <w:szCs w:val="22"/>
                    </w:rPr>
                  </w:pPr>
                  <w:r>
                    <w:rPr>
                      <w:sz w:val="22"/>
                      <w:szCs w:val="22"/>
                    </w:rPr>
                    <w:t>碱度（以CO</w:t>
                  </w:r>
                  <w:r>
                    <w:rPr>
                      <w:sz w:val="22"/>
                      <w:szCs w:val="22"/>
                      <w:vertAlign w:val="subscript"/>
                    </w:rPr>
                    <w:t>3</w:t>
                  </w:r>
                  <w:r>
                    <w:rPr>
                      <w:sz w:val="22"/>
                      <w:szCs w:val="22"/>
                      <w:vertAlign w:val="superscript"/>
                    </w:rPr>
                    <w:t>2-</w:t>
                  </w:r>
                  <w:r>
                    <w:rPr>
                      <w:sz w:val="22"/>
                      <w:szCs w:val="22"/>
                    </w:rPr>
                    <w:t>计）</w:t>
                  </w:r>
                </w:p>
              </w:tc>
              <w:tc>
                <w:tcPr>
                  <w:tcW w:w="807" w:type="pct"/>
                  <w:noWrap w:val="0"/>
                  <w:vAlign w:val="center"/>
                </w:tcPr>
                <w:p>
                  <w:pPr>
                    <w:jc w:val="center"/>
                    <w:rPr>
                      <w:sz w:val="22"/>
                      <w:szCs w:val="22"/>
                    </w:rPr>
                  </w:pPr>
                  <w:r>
                    <w:rPr>
                      <w:szCs w:val="21"/>
                    </w:rPr>
                    <w:t>mmol/L</w:t>
                  </w:r>
                </w:p>
              </w:tc>
              <w:tc>
                <w:tcPr>
                  <w:tcW w:w="878" w:type="pct"/>
                  <w:noWrap w:val="0"/>
                  <w:vAlign w:val="center"/>
                </w:tcPr>
                <w:p>
                  <w:pPr>
                    <w:jc w:val="center"/>
                    <w:rPr>
                      <w:sz w:val="22"/>
                      <w:szCs w:val="22"/>
                    </w:rPr>
                  </w:pPr>
                  <w:r>
                    <w:rPr>
                      <w:sz w:val="22"/>
                      <w:szCs w:val="22"/>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83" w:hRule="atLeast"/>
                <w:jc w:val="center"/>
              </w:trPr>
              <w:tc>
                <w:tcPr>
                  <w:tcW w:w="762" w:type="pct"/>
                  <w:vMerge w:val="continue"/>
                  <w:noWrap w:val="0"/>
                  <w:vAlign w:val="center"/>
                </w:tcPr>
                <w:p>
                  <w:pPr>
                    <w:jc w:val="center"/>
                    <w:rPr>
                      <w:sz w:val="22"/>
                      <w:szCs w:val="22"/>
                    </w:rPr>
                  </w:pPr>
                </w:p>
              </w:tc>
              <w:tc>
                <w:tcPr>
                  <w:tcW w:w="1034" w:type="pct"/>
                  <w:vMerge w:val="continue"/>
                  <w:noWrap w:val="0"/>
                  <w:vAlign w:val="center"/>
                </w:tcPr>
                <w:p>
                  <w:pPr>
                    <w:jc w:val="center"/>
                    <w:rPr>
                      <w:sz w:val="22"/>
                      <w:szCs w:val="22"/>
                    </w:rPr>
                  </w:pPr>
                </w:p>
              </w:tc>
              <w:tc>
                <w:tcPr>
                  <w:tcW w:w="1519" w:type="pct"/>
                  <w:noWrap w:val="0"/>
                  <w:vAlign w:val="center"/>
                </w:tcPr>
                <w:p>
                  <w:pPr>
                    <w:jc w:val="center"/>
                    <w:rPr>
                      <w:sz w:val="22"/>
                      <w:szCs w:val="22"/>
                    </w:rPr>
                  </w:pPr>
                  <w:r>
                    <w:rPr>
                      <w:sz w:val="22"/>
                      <w:szCs w:val="22"/>
                    </w:rPr>
                    <w:t>碱度（以HCO</w:t>
                  </w:r>
                  <w:r>
                    <w:rPr>
                      <w:sz w:val="22"/>
                      <w:szCs w:val="22"/>
                      <w:vertAlign w:val="subscript"/>
                    </w:rPr>
                    <w:t>3</w:t>
                  </w:r>
                  <w:r>
                    <w:rPr>
                      <w:sz w:val="22"/>
                      <w:szCs w:val="22"/>
                      <w:vertAlign w:val="superscript"/>
                    </w:rPr>
                    <w:t>-</w:t>
                  </w:r>
                  <w:r>
                    <w:rPr>
                      <w:sz w:val="22"/>
                      <w:szCs w:val="22"/>
                    </w:rPr>
                    <w:t>计）</w:t>
                  </w:r>
                </w:p>
              </w:tc>
              <w:tc>
                <w:tcPr>
                  <w:tcW w:w="807" w:type="pct"/>
                  <w:noWrap w:val="0"/>
                  <w:vAlign w:val="center"/>
                </w:tcPr>
                <w:p>
                  <w:pPr>
                    <w:jc w:val="center"/>
                    <w:rPr>
                      <w:sz w:val="22"/>
                      <w:szCs w:val="22"/>
                    </w:rPr>
                  </w:pPr>
                  <w:r>
                    <w:rPr>
                      <w:szCs w:val="21"/>
                    </w:rPr>
                    <w:t>mmol/L</w:t>
                  </w:r>
                </w:p>
              </w:tc>
              <w:tc>
                <w:tcPr>
                  <w:tcW w:w="878" w:type="pct"/>
                  <w:noWrap w:val="0"/>
                  <w:vAlign w:val="center"/>
                </w:tcPr>
                <w:p>
                  <w:pPr>
                    <w:jc w:val="center"/>
                    <w:rPr>
                      <w:sz w:val="22"/>
                      <w:szCs w:val="22"/>
                    </w:rPr>
                  </w:pPr>
                  <w:r>
                    <w:rPr>
                      <w:sz w:val="22"/>
                      <w:szCs w:val="22"/>
                    </w:rPr>
                    <w:t>2.16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83" w:hRule="atLeast"/>
                <w:jc w:val="center"/>
              </w:trPr>
              <w:tc>
                <w:tcPr>
                  <w:tcW w:w="762" w:type="pct"/>
                  <w:vMerge w:val="continue"/>
                  <w:noWrap w:val="0"/>
                  <w:vAlign w:val="center"/>
                </w:tcPr>
                <w:p>
                  <w:pPr>
                    <w:jc w:val="center"/>
                    <w:rPr>
                      <w:sz w:val="22"/>
                      <w:szCs w:val="22"/>
                    </w:rPr>
                  </w:pPr>
                </w:p>
              </w:tc>
              <w:tc>
                <w:tcPr>
                  <w:tcW w:w="1034" w:type="pct"/>
                  <w:vMerge w:val="continue"/>
                  <w:noWrap w:val="0"/>
                  <w:vAlign w:val="center"/>
                </w:tcPr>
                <w:p>
                  <w:pPr>
                    <w:jc w:val="center"/>
                    <w:rPr>
                      <w:sz w:val="22"/>
                      <w:szCs w:val="22"/>
                    </w:rPr>
                  </w:pPr>
                </w:p>
              </w:tc>
              <w:tc>
                <w:tcPr>
                  <w:tcW w:w="1519" w:type="pct"/>
                  <w:noWrap w:val="0"/>
                  <w:vAlign w:val="center"/>
                </w:tcPr>
                <w:p>
                  <w:pPr>
                    <w:jc w:val="center"/>
                    <w:rPr>
                      <w:sz w:val="22"/>
                      <w:szCs w:val="22"/>
                    </w:rPr>
                  </w:pPr>
                  <w:r>
                    <w:rPr>
                      <w:sz w:val="22"/>
                      <w:szCs w:val="22"/>
                    </w:rPr>
                    <w:t>钾</w:t>
                  </w:r>
                </w:p>
              </w:tc>
              <w:tc>
                <w:tcPr>
                  <w:tcW w:w="807" w:type="pct"/>
                  <w:noWrap w:val="0"/>
                  <w:vAlign w:val="center"/>
                </w:tcPr>
                <w:p>
                  <w:pPr>
                    <w:jc w:val="center"/>
                    <w:rPr>
                      <w:sz w:val="22"/>
                      <w:szCs w:val="22"/>
                    </w:rPr>
                  </w:pPr>
                  <w:r>
                    <w:rPr>
                      <w:szCs w:val="21"/>
                    </w:rPr>
                    <w:t>mg/L</w:t>
                  </w:r>
                </w:p>
              </w:tc>
              <w:tc>
                <w:tcPr>
                  <w:tcW w:w="878" w:type="pct"/>
                  <w:noWrap w:val="0"/>
                  <w:vAlign w:val="center"/>
                </w:tcPr>
                <w:p>
                  <w:pPr>
                    <w:jc w:val="center"/>
                    <w:rPr>
                      <w:sz w:val="22"/>
                      <w:szCs w:val="22"/>
                    </w:rPr>
                  </w:pPr>
                  <w:r>
                    <w:rPr>
                      <w:sz w:val="22"/>
                      <w:szCs w:val="22"/>
                    </w:rPr>
                    <w:t>1.46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83" w:hRule="atLeast"/>
                <w:jc w:val="center"/>
              </w:trPr>
              <w:tc>
                <w:tcPr>
                  <w:tcW w:w="762" w:type="pct"/>
                  <w:vMerge w:val="continue"/>
                  <w:noWrap w:val="0"/>
                  <w:vAlign w:val="center"/>
                </w:tcPr>
                <w:p>
                  <w:pPr>
                    <w:jc w:val="center"/>
                    <w:rPr>
                      <w:sz w:val="22"/>
                      <w:szCs w:val="22"/>
                    </w:rPr>
                  </w:pPr>
                </w:p>
              </w:tc>
              <w:tc>
                <w:tcPr>
                  <w:tcW w:w="1034" w:type="pct"/>
                  <w:vMerge w:val="continue"/>
                  <w:noWrap w:val="0"/>
                  <w:vAlign w:val="center"/>
                </w:tcPr>
                <w:p>
                  <w:pPr>
                    <w:jc w:val="center"/>
                    <w:rPr>
                      <w:sz w:val="22"/>
                      <w:szCs w:val="22"/>
                    </w:rPr>
                  </w:pPr>
                </w:p>
              </w:tc>
              <w:tc>
                <w:tcPr>
                  <w:tcW w:w="1519" w:type="pct"/>
                  <w:noWrap w:val="0"/>
                  <w:vAlign w:val="center"/>
                </w:tcPr>
                <w:p>
                  <w:pPr>
                    <w:jc w:val="center"/>
                    <w:rPr>
                      <w:sz w:val="22"/>
                      <w:szCs w:val="22"/>
                    </w:rPr>
                  </w:pPr>
                  <w:r>
                    <w:rPr>
                      <w:sz w:val="22"/>
                      <w:szCs w:val="22"/>
                    </w:rPr>
                    <w:t>钠</w:t>
                  </w:r>
                </w:p>
              </w:tc>
              <w:tc>
                <w:tcPr>
                  <w:tcW w:w="807" w:type="pct"/>
                  <w:noWrap w:val="0"/>
                  <w:vAlign w:val="center"/>
                </w:tcPr>
                <w:p>
                  <w:pPr>
                    <w:jc w:val="center"/>
                    <w:rPr>
                      <w:sz w:val="22"/>
                      <w:szCs w:val="22"/>
                    </w:rPr>
                  </w:pPr>
                  <w:r>
                    <w:rPr>
                      <w:szCs w:val="21"/>
                    </w:rPr>
                    <w:t>mg/L</w:t>
                  </w:r>
                </w:p>
              </w:tc>
              <w:tc>
                <w:tcPr>
                  <w:tcW w:w="878" w:type="pct"/>
                  <w:noWrap w:val="0"/>
                  <w:vAlign w:val="center"/>
                </w:tcPr>
                <w:p>
                  <w:pPr>
                    <w:jc w:val="center"/>
                    <w:rPr>
                      <w:sz w:val="22"/>
                      <w:szCs w:val="22"/>
                    </w:rPr>
                  </w:pPr>
                  <w:r>
                    <w:rPr>
                      <w:sz w:val="22"/>
                      <w:szCs w:val="22"/>
                    </w:rPr>
                    <w:t>4.94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83" w:hRule="atLeast"/>
                <w:jc w:val="center"/>
              </w:trPr>
              <w:tc>
                <w:tcPr>
                  <w:tcW w:w="762" w:type="pct"/>
                  <w:vMerge w:val="continue"/>
                  <w:noWrap w:val="0"/>
                  <w:vAlign w:val="center"/>
                </w:tcPr>
                <w:p>
                  <w:pPr>
                    <w:jc w:val="center"/>
                    <w:rPr>
                      <w:sz w:val="22"/>
                      <w:szCs w:val="22"/>
                    </w:rPr>
                  </w:pPr>
                </w:p>
              </w:tc>
              <w:tc>
                <w:tcPr>
                  <w:tcW w:w="1034" w:type="pct"/>
                  <w:vMerge w:val="continue"/>
                  <w:noWrap w:val="0"/>
                  <w:vAlign w:val="center"/>
                </w:tcPr>
                <w:p>
                  <w:pPr>
                    <w:jc w:val="center"/>
                    <w:rPr>
                      <w:sz w:val="22"/>
                      <w:szCs w:val="22"/>
                    </w:rPr>
                  </w:pPr>
                </w:p>
              </w:tc>
              <w:tc>
                <w:tcPr>
                  <w:tcW w:w="1519" w:type="pct"/>
                  <w:noWrap w:val="0"/>
                  <w:vAlign w:val="center"/>
                </w:tcPr>
                <w:p>
                  <w:pPr>
                    <w:jc w:val="center"/>
                    <w:rPr>
                      <w:sz w:val="22"/>
                      <w:szCs w:val="22"/>
                    </w:rPr>
                  </w:pPr>
                  <w:r>
                    <w:rPr>
                      <w:sz w:val="22"/>
                      <w:szCs w:val="22"/>
                    </w:rPr>
                    <w:t>钙</w:t>
                  </w:r>
                </w:p>
              </w:tc>
              <w:tc>
                <w:tcPr>
                  <w:tcW w:w="807" w:type="pct"/>
                  <w:noWrap w:val="0"/>
                  <w:vAlign w:val="center"/>
                </w:tcPr>
                <w:p>
                  <w:pPr>
                    <w:jc w:val="center"/>
                    <w:rPr>
                      <w:sz w:val="22"/>
                      <w:szCs w:val="22"/>
                    </w:rPr>
                  </w:pPr>
                  <w:r>
                    <w:rPr>
                      <w:szCs w:val="21"/>
                    </w:rPr>
                    <w:t>mg/L</w:t>
                  </w:r>
                </w:p>
              </w:tc>
              <w:tc>
                <w:tcPr>
                  <w:tcW w:w="878" w:type="pct"/>
                  <w:noWrap w:val="0"/>
                  <w:vAlign w:val="center"/>
                </w:tcPr>
                <w:p>
                  <w:pPr>
                    <w:jc w:val="center"/>
                    <w:rPr>
                      <w:sz w:val="22"/>
                      <w:szCs w:val="22"/>
                    </w:rPr>
                  </w:pPr>
                  <w:r>
                    <w:rPr>
                      <w:sz w:val="22"/>
                      <w:szCs w:val="22"/>
                    </w:rPr>
                    <w:t>29.8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83" w:hRule="atLeast"/>
                <w:jc w:val="center"/>
              </w:trPr>
              <w:tc>
                <w:tcPr>
                  <w:tcW w:w="762" w:type="pct"/>
                  <w:vMerge w:val="continue"/>
                  <w:noWrap w:val="0"/>
                  <w:vAlign w:val="center"/>
                </w:tcPr>
                <w:p>
                  <w:pPr>
                    <w:jc w:val="center"/>
                    <w:rPr>
                      <w:sz w:val="22"/>
                      <w:szCs w:val="22"/>
                    </w:rPr>
                  </w:pPr>
                </w:p>
              </w:tc>
              <w:tc>
                <w:tcPr>
                  <w:tcW w:w="1034" w:type="pct"/>
                  <w:vMerge w:val="continue"/>
                  <w:noWrap w:val="0"/>
                  <w:vAlign w:val="center"/>
                </w:tcPr>
                <w:p>
                  <w:pPr>
                    <w:jc w:val="center"/>
                    <w:rPr>
                      <w:sz w:val="22"/>
                      <w:szCs w:val="22"/>
                    </w:rPr>
                  </w:pPr>
                </w:p>
              </w:tc>
              <w:tc>
                <w:tcPr>
                  <w:tcW w:w="1519" w:type="pct"/>
                  <w:noWrap w:val="0"/>
                  <w:vAlign w:val="center"/>
                </w:tcPr>
                <w:p>
                  <w:pPr>
                    <w:jc w:val="center"/>
                    <w:rPr>
                      <w:sz w:val="22"/>
                      <w:szCs w:val="22"/>
                    </w:rPr>
                  </w:pPr>
                  <w:r>
                    <w:rPr>
                      <w:sz w:val="22"/>
                      <w:szCs w:val="22"/>
                    </w:rPr>
                    <w:t>镁</w:t>
                  </w:r>
                </w:p>
              </w:tc>
              <w:tc>
                <w:tcPr>
                  <w:tcW w:w="807" w:type="pct"/>
                  <w:noWrap w:val="0"/>
                  <w:vAlign w:val="center"/>
                </w:tcPr>
                <w:p>
                  <w:pPr>
                    <w:jc w:val="center"/>
                    <w:rPr>
                      <w:sz w:val="22"/>
                      <w:szCs w:val="22"/>
                    </w:rPr>
                  </w:pPr>
                  <w:r>
                    <w:rPr>
                      <w:szCs w:val="21"/>
                    </w:rPr>
                    <w:t>mg/L</w:t>
                  </w:r>
                </w:p>
              </w:tc>
              <w:tc>
                <w:tcPr>
                  <w:tcW w:w="878" w:type="pct"/>
                  <w:noWrap w:val="0"/>
                  <w:vAlign w:val="center"/>
                </w:tcPr>
                <w:p>
                  <w:pPr>
                    <w:jc w:val="center"/>
                    <w:rPr>
                      <w:sz w:val="22"/>
                      <w:szCs w:val="22"/>
                    </w:rPr>
                  </w:pPr>
                  <w:r>
                    <w:rPr>
                      <w:sz w:val="22"/>
                      <w:szCs w:val="22"/>
                    </w:rPr>
                    <w:t>39.8</w:t>
                  </w:r>
                </w:p>
              </w:tc>
            </w:tr>
          </w:tbl>
          <w:p>
            <w:pPr>
              <w:pStyle w:val="19"/>
              <w:spacing w:line="360" w:lineRule="auto"/>
              <w:ind w:firstLine="480" w:firstLineChars="200"/>
              <w:rPr>
                <w:rFonts w:ascii="Times New Roman"/>
                <w:sz w:val="24"/>
              </w:rPr>
            </w:pPr>
            <w:r>
              <w:rPr>
                <w:rFonts w:ascii="Times New Roman"/>
                <w:sz w:val="24"/>
              </w:rPr>
              <w:t>由监测结果表明，监测点位地下水指标均能满足《地下水环境质量标准》（GT/B14848-2017）中的Ⅲ类标准，表明项目所在地地下水环境质量良好。</w:t>
            </w:r>
          </w:p>
          <w:p>
            <w:pPr>
              <w:pStyle w:val="19"/>
              <w:spacing w:line="360" w:lineRule="auto"/>
              <w:ind w:firstLine="0"/>
              <w:rPr>
                <w:rFonts w:ascii="Times New Roman"/>
                <w:b/>
                <w:kern w:val="0"/>
                <w:sz w:val="24"/>
              </w:rPr>
            </w:pPr>
            <w:r>
              <w:rPr>
                <w:rFonts w:ascii="Times New Roman"/>
                <w:b/>
                <w:kern w:val="0"/>
                <w:sz w:val="24"/>
              </w:rPr>
              <w:t>五、土壤环境</w:t>
            </w:r>
          </w:p>
          <w:p>
            <w:pPr>
              <w:pStyle w:val="19"/>
              <w:spacing w:line="360" w:lineRule="auto"/>
              <w:ind w:firstLine="482" w:firstLineChars="200"/>
              <w:rPr>
                <w:rFonts w:ascii="Times New Roman"/>
                <w:b/>
                <w:bCs/>
                <w:sz w:val="24"/>
              </w:rPr>
            </w:pPr>
            <w:r>
              <w:rPr>
                <w:rFonts w:ascii="Times New Roman"/>
                <w:b/>
                <w:bCs/>
                <w:sz w:val="24"/>
              </w:rPr>
              <w:t>1、监测点位</w:t>
            </w:r>
          </w:p>
          <w:p>
            <w:pPr>
              <w:pStyle w:val="19"/>
              <w:spacing w:line="360" w:lineRule="auto"/>
              <w:ind w:firstLine="480" w:firstLineChars="200"/>
              <w:rPr>
                <w:rFonts w:ascii="Times New Roman"/>
                <w:sz w:val="24"/>
              </w:rPr>
            </w:pPr>
            <w:r>
              <w:rPr>
                <w:rFonts w:ascii="Times New Roman"/>
                <w:sz w:val="24"/>
              </w:rPr>
              <w:t>本次评价在厂区内监测布设2个监测点，具体点位见下表。</w:t>
            </w:r>
          </w:p>
          <w:p>
            <w:pPr>
              <w:spacing w:line="276" w:lineRule="auto"/>
              <w:jc w:val="center"/>
              <w:rPr>
                <w:rFonts w:eastAsia="黑体"/>
                <w:sz w:val="24"/>
              </w:rPr>
            </w:pPr>
            <w:r>
              <w:rPr>
                <w:rFonts w:eastAsia="黑体"/>
                <w:sz w:val="24"/>
              </w:rPr>
              <w:t>表3-7   地下水监测断面布设情况一览表</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1"/>
              <w:gridCol w:w="2536"/>
              <w:gridCol w:w="43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pct"/>
                  <w:shd w:val="clear" w:color="auto" w:fill="CCFFFF"/>
                  <w:noWrap w:val="0"/>
                  <w:vAlign w:val="center"/>
                </w:tcPr>
                <w:p>
                  <w:pPr>
                    <w:jc w:val="center"/>
                    <w:rPr>
                      <w:b/>
                    </w:rPr>
                  </w:pPr>
                  <w:r>
                    <w:rPr>
                      <w:b/>
                    </w:rPr>
                    <w:t>编号</w:t>
                  </w:r>
                </w:p>
              </w:tc>
              <w:tc>
                <w:tcPr>
                  <w:tcW w:w="1560" w:type="pct"/>
                  <w:shd w:val="clear" w:color="auto" w:fill="CCFFFF"/>
                  <w:noWrap w:val="0"/>
                  <w:vAlign w:val="center"/>
                </w:tcPr>
                <w:p>
                  <w:pPr>
                    <w:jc w:val="center"/>
                    <w:rPr>
                      <w:b/>
                    </w:rPr>
                  </w:pPr>
                  <w:r>
                    <w:rPr>
                      <w:b/>
                    </w:rPr>
                    <w:t>监测点名称</w:t>
                  </w:r>
                </w:p>
              </w:tc>
              <w:tc>
                <w:tcPr>
                  <w:tcW w:w="2701" w:type="pct"/>
                  <w:shd w:val="clear" w:color="auto" w:fill="CCFFFF"/>
                  <w:noWrap w:val="0"/>
                  <w:vAlign w:val="center"/>
                </w:tcPr>
                <w:p>
                  <w:pPr>
                    <w:jc w:val="center"/>
                  </w:pPr>
                  <w:r>
                    <w:rPr>
                      <w:b/>
                    </w:rPr>
                    <w:t>监测项目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pct"/>
                  <w:noWrap w:val="0"/>
                  <w:vAlign w:val="center"/>
                </w:tcPr>
                <w:p>
                  <w:pPr>
                    <w:jc w:val="center"/>
                  </w:pPr>
                  <w:r>
                    <w:t>T1</w:t>
                  </w:r>
                </w:p>
              </w:tc>
              <w:tc>
                <w:tcPr>
                  <w:tcW w:w="1560" w:type="pct"/>
                  <w:noWrap w:val="0"/>
                  <w:vAlign w:val="center"/>
                </w:tcPr>
                <w:p>
                  <w:pPr>
                    <w:jc w:val="center"/>
                  </w:pPr>
                  <w:r>
                    <w:t>污水处理厂厂界中心</w:t>
                  </w:r>
                </w:p>
              </w:tc>
              <w:tc>
                <w:tcPr>
                  <w:tcW w:w="2701" w:type="pct"/>
                  <w:noWrap w:val="0"/>
                  <w:vAlign w:val="center"/>
                </w:tcPr>
                <w:p>
                  <w:pPr>
                    <w:jc w:val="center"/>
                    <w:rPr>
                      <w:szCs w:val="21"/>
                    </w:rPr>
                  </w:pPr>
                  <w:r>
                    <w:rPr>
                      <w:szCs w:val="21"/>
                    </w:rPr>
                    <w:t>耗氧量、氨氮、总磷、石油烃（C</w:t>
                  </w:r>
                  <w:r>
                    <w:rPr>
                      <w:szCs w:val="21"/>
                      <w:vertAlign w:val="subscript"/>
                    </w:rPr>
                    <w:t>10</w:t>
                  </w:r>
                  <w:r>
                    <w:rPr>
                      <w:szCs w:val="21"/>
                    </w:rPr>
                    <w:t>-C</w:t>
                  </w:r>
                  <w:r>
                    <w:rPr>
                      <w:szCs w:val="21"/>
                      <w:vertAlign w:val="subscript"/>
                    </w:rPr>
                    <w:t>40</w:t>
                  </w:r>
                  <w:r>
                    <w:rPr>
                      <w:szCs w:val="21"/>
                    </w:rPr>
                    <w:t>）、《土壤环境质量标准 建设用地土壤污染风险管控标准（试行）》（GB36600-2018）中表1全部项（45项）。</w:t>
                  </w:r>
                </w:p>
              </w:tc>
            </w:tr>
          </w:tbl>
          <w:p>
            <w:pPr>
              <w:pStyle w:val="2"/>
              <w:spacing w:before="120" w:beforeLines="50" w:after="0" w:line="360" w:lineRule="auto"/>
              <w:ind w:right="0" w:firstLine="482" w:firstLineChars="200"/>
              <w:rPr>
                <w:b/>
                <w:bCs/>
                <w:sz w:val="24"/>
                <w:szCs w:val="28"/>
              </w:rPr>
            </w:pPr>
            <w:r>
              <w:rPr>
                <w:b/>
                <w:bCs/>
                <w:sz w:val="24"/>
                <w:szCs w:val="28"/>
              </w:rPr>
              <w:t>2、监测时间和频率</w:t>
            </w:r>
          </w:p>
          <w:p>
            <w:pPr>
              <w:pStyle w:val="2"/>
              <w:spacing w:before="0" w:after="0" w:line="360" w:lineRule="auto"/>
              <w:ind w:right="0" w:firstLine="480" w:firstLineChars="200"/>
              <w:rPr>
                <w:sz w:val="24"/>
                <w:szCs w:val="28"/>
              </w:rPr>
            </w:pPr>
            <w:r>
              <w:rPr>
                <w:sz w:val="24"/>
                <w:szCs w:val="28"/>
              </w:rPr>
              <w:t>监测1天，每个点位采表层（0-20cm）的混合土样。</w:t>
            </w:r>
          </w:p>
          <w:p>
            <w:pPr>
              <w:pStyle w:val="2"/>
              <w:spacing w:before="0" w:after="0" w:line="360" w:lineRule="auto"/>
              <w:ind w:right="0" w:firstLine="482" w:firstLineChars="200"/>
              <w:rPr>
                <w:b/>
                <w:bCs/>
                <w:sz w:val="24"/>
                <w:szCs w:val="28"/>
              </w:rPr>
            </w:pPr>
            <w:r>
              <w:rPr>
                <w:b/>
                <w:bCs/>
                <w:sz w:val="24"/>
                <w:szCs w:val="28"/>
              </w:rPr>
              <w:t>3、监测方法</w:t>
            </w:r>
          </w:p>
          <w:p>
            <w:pPr>
              <w:pStyle w:val="2"/>
              <w:spacing w:before="0" w:after="0" w:line="360" w:lineRule="auto"/>
              <w:ind w:right="0" w:firstLine="480" w:firstLineChars="200"/>
              <w:rPr>
                <w:sz w:val="24"/>
                <w:szCs w:val="28"/>
              </w:rPr>
            </w:pPr>
            <w:r>
              <w:rPr>
                <w:sz w:val="24"/>
                <w:szCs w:val="28"/>
              </w:rPr>
              <w:t>表层样监测点及土壤剖面的土壤监测取样方法一般参照HJ/T166执行。</w:t>
            </w:r>
          </w:p>
          <w:p>
            <w:pPr>
              <w:pStyle w:val="2"/>
              <w:spacing w:before="0" w:after="0" w:line="360" w:lineRule="auto"/>
              <w:ind w:right="0" w:firstLine="482" w:firstLineChars="200"/>
              <w:rPr>
                <w:b/>
                <w:bCs/>
                <w:sz w:val="24"/>
                <w:szCs w:val="28"/>
              </w:rPr>
            </w:pPr>
            <w:r>
              <w:rPr>
                <w:b/>
                <w:bCs/>
                <w:sz w:val="24"/>
                <w:szCs w:val="28"/>
              </w:rPr>
              <w:t>4、监测结果</w:t>
            </w:r>
          </w:p>
          <w:p>
            <w:pPr>
              <w:pStyle w:val="2"/>
              <w:spacing w:before="0" w:after="0" w:line="276" w:lineRule="auto"/>
              <w:ind w:right="0"/>
              <w:jc w:val="center"/>
              <w:rPr>
                <w:rFonts w:eastAsia="黑体"/>
                <w:bCs/>
                <w:sz w:val="24"/>
                <w:szCs w:val="24"/>
              </w:rPr>
            </w:pPr>
            <w:r>
              <w:rPr>
                <w:rFonts w:eastAsia="黑体"/>
                <w:bCs/>
                <w:sz w:val="24"/>
                <w:szCs w:val="24"/>
              </w:rPr>
              <w:t>表3-8    土壤环境现状监测结果及质量现状评价表-1</w:t>
            </w:r>
          </w:p>
          <w:tbl>
            <w:tblPr>
              <w:tblStyle w:val="32"/>
              <w:tblW w:w="5000" w:type="pct"/>
              <w:jc w:val="center"/>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1206"/>
              <w:gridCol w:w="1513"/>
              <w:gridCol w:w="2180"/>
              <w:gridCol w:w="941"/>
              <w:gridCol w:w="2287"/>
            </w:tblGrid>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604" w:hRule="atLeast"/>
                <w:tblHeader/>
                <w:jc w:val="center"/>
              </w:trPr>
              <w:tc>
                <w:tcPr>
                  <w:tcW w:w="742" w:type="pct"/>
                  <w:vMerge w:val="restart"/>
                  <w:shd w:val="clear" w:color="auto" w:fill="CCFFFF"/>
                  <w:noWrap w:val="0"/>
                  <w:vAlign w:val="center"/>
                </w:tcPr>
                <w:p>
                  <w:pPr>
                    <w:autoSpaceDE w:val="0"/>
                    <w:autoSpaceDN w:val="0"/>
                    <w:adjustRightInd w:val="0"/>
                    <w:jc w:val="center"/>
                    <w:rPr>
                      <w:b/>
                      <w:bCs/>
                      <w:sz w:val="22"/>
                      <w:szCs w:val="22"/>
                    </w:rPr>
                  </w:pPr>
                  <w:r>
                    <w:rPr>
                      <w:b/>
                      <w:bCs/>
                      <w:sz w:val="22"/>
                      <w:szCs w:val="22"/>
                    </w:rPr>
                    <w:t>采样时间</w:t>
                  </w:r>
                </w:p>
              </w:tc>
              <w:tc>
                <w:tcPr>
                  <w:tcW w:w="931" w:type="pct"/>
                  <w:vMerge w:val="restart"/>
                  <w:shd w:val="clear" w:color="auto" w:fill="CCFFFF"/>
                  <w:noWrap w:val="0"/>
                  <w:vAlign w:val="center"/>
                </w:tcPr>
                <w:p>
                  <w:pPr>
                    <w:autoSpaceDE w:val="0"/>
                    <w:autoSpaceDN w:val="0"/>
                    <w:adjustRightInd w:val="0"/>
                    <w:jc w:val="center"/>
                    <w:rPr>
                      <w:b/>
                      <w:bCs/>
                      <w:sz w:val="22"/>
                      <w:szCs w:val="22"/>
                    </w:rPr>
                  </w:pPr>
                  <w:r>
                    <w:rPr>
                      <w:b/>
                      <w:bCs/>
                      <w:sz w:val="22"/>
                      <w:szCs w:val="22"/>
                    </w:rPr>
                    <w:t>检测点位信息</w:t>
                  </w:r>
                </w:p>
              </w:tc>
              <w:tc>
                <w:tcPr>
                  <w:tcW w:w="1341" w:type="pct"/>
                  <w:vMerge w:val="restart"/>
                  <w:shd w:val="clear" w:color="auto" w:fill="CCFFFF"/>
                  <w:noWrap w:val="0"/>
                  <w:vAlign w:val="center"/>
                </w:tcPr>
                <w:p>
                  <w:pPr>
                    <w:autoSpaceDE w:val="0"/>
                    <w:autoSpaceDN w:val="0"/>
                    <w:adjustRightInd w:val="0"/>
                    <w:jc w:val="center"/>
                    <w:rPr>
                      <w:sz w:val="22"/>
                      <w:szCs w:val="22"/>
                    </w:rPr>
                  </w:pPr>
                  <w:r>
                    <w:rPr>
                      <w:b/>
                      <w:bCs/>
                      <w:sz w:val="22"/>
                      <w:szCs w:val="22"/>
                    </w:rPr>
                    <w:t>检测项目</w:t>
                  </w:r>
                </w:p>
              </w:tc>
              <w:tc>
                <w:tcPr>
                  <w:tcW w:w="579" w:type="pct"/>
                  <w:vMerge w:val="restart"/>
                  <w:shd w:val="clear" w:color="auto" w:fill="CCFFFF"/>
                  <w:noWrap w:val="0"/>
                  <w:vAlign w:val="center"/>
                </w:tcPr>
                <w:p>
                  <w:pPr>
                    <w:jc w:val="center"/>
                    <w:rPr>
                      <w:b/>
                      <w:bCs/>
                      <w:sz w:val="22"/>
                      <w:szCs w:val="22"/>
                    </w:rPr>
                  </w:pPr>
                  <w:r>
                    <w:rPr>
                      <w:b/>
                      <w:bCs/>
                      <w:sz w:val="22"/>
                      <w:szCs w:val="22"/>
                    </w:rPr>
                    <w:t>单位</w:t>
                  </w:r>
                </w:p>
              </w:tc>
              <w:tc>
                <w:tcPr>
                  <w:tcW w:w="1407" w:type="pct"/>
                  <w:shd w:val="clear" w:color="auto" w:fill="CCFFFF"/>
                  <w:noWrap w:val="0"/>
                  <w:vAlign w:val="center"/>
                </w:tcPr>
                <w:p>
                  <w:pPr>
                    <w:jc w:val="center"/>
                    <w:rPr>
                      <w:sz w:val="22"/>
                      <w:szCs w:val="22"/>
                    </w:rPr>
                  </w:pPr>
                  <w:r>
                    <w:rPr>
                      <w:b/>
                      <w:bCs/>
                      <w:sz w:val="22"/>
                      <w:szCs w:val="22"/>
                    </w:rPr>
                    <w:t>检测结果</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55" w:hRule="atLeast"/>
                <w:tblHeader/>
                <w:jc w:val="center"/>
              </w:trPr>
              <w:tc>
                <w:tcPr>
                  <w:tcW w:w="742" w:type="pct"/>
                  <w:vMerge w:val="continue"/>
                  <w:shd w:val="clear" w:color="auto" w:fill="CCFFFF"/>
                  <w:noWrap w:val="0"/>
                  <w:vAlign w:val="center"/>
                </w:tcPr>
                <w:p>
                  <w:pPr>
                    <w:jc w:val="center"/>
                  </w:pPr>
                </w:p>
              </w:tc>
              <w:tc>
                <w:tcPr>
                  <w:tcW w:w="931" w:type="pct"/>
                  <w:vMerge w:val="continue"/>
                  <w:shd w:val="clear" w:color="auto" w:fill="CCFFFF"/>
                  <w:noWrap w:val="0"/>
                  <w:vAlign w:val="center"/>
                </w:tcPr>
                <w:p>
                  <w:pPr>
                    <w:jc w:val="center"/>
                  </w:pPr>
                </w:p>
              </w:tc>
              <w:tc>
                <w:tcPr>
                  <w:tcW w:w="1341" w:type="pct"/>
                  <w:vMerge w:val="continue"/>
                  <w:shd w:val="clear" w:color="auto" w:fill="CCFFFF"/>
                  <w:noWrap w:val="0"/>
                  <w:vAlign w:val="center"/>
                </w:tcPr>
                <w:p>
                  <w:pPr>
                    <w:jc w:val="center"/>
                  </w:pPr>
                </w:p>
              </w:tc>
              <w:tc>
                <w:tcPr>
                  <w:tcW w:w="579" w:type="pct"/>
                  <w:vMerge w:val="continue"/>
                  <w:shd w:val="clear" w:color="auto" w:fill="CCFFFF"/>
                  <w:noWrap w:val="0"/>
                  <w:vAlign w:val="center"/>
                </w:tcPr>
                <w:p>
                  <w:pPr>
                    <w:jc w:val="center"/>
                  </w:pPr>
                </w:p>
              </w:tc>
              <w:tc>
                <w:tcPr>
                  <w:tcW w:w="1407" w:type="pct"/>
                  <w:shd w:val="clear" w:color="auto" w:fill="CCFFFF"/>
                  <w:noWrap w:val="0"/>
                  <w:vAlign w:val="center"/>
                </w:tcPr>
                <w:p>
                  <w:pPr>
                    <w:jc w:val="center"/>
                    <w:rPr>
                      <w:sz w:val="22"/>
                      <w:szCs w:val="22"/>
                    </w:rPr>
                  </w:pPr>
                  <w:r>
                    <w:rPr>
                      <w:sz w:val="22"/>
                      <w:szCs w:val="22"/>
                    </w:rPr>
                    <w:t>0~0.2m</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742" w:type="pct"/>
                  <w:vMerge w:val="restart"/>
                  <w:noWrap w:val="0"/>
                  <w:vAlign w:val="center"/>
                </w:tcPr>
                <w:p>
                  <w:pPr>
                    <w:jc w:val="center"/>
                    <w:rPr>
                      <w:sz w:val="22"/>
                      <w:szCs w:val="22"/>
                    </w:rPr>
                  </w:pPr>
                  <w:r>
                    <w:rPr>
                      <w:sz w:val="22"/>
                      <w:szCs w:val="22"/>
                    </w:rPr>
                    <w:t>2023.07.08</w:t>
                  </w:r>
                </w:p>
              </w:tc>
              <w:tc>
                <w:tcPr>
                  <w:tcW w:w="931" w:type="pct"/>
                  <w:vMerge w:val="restart"/>
                  <w:noWrap w:val="0"/>
                  <w:vAlign w:val="center"/>
                </w:tcPr>
                <w:p>
                  <w:pPr>
                    <w:jc w:val="center"/>
                    <w:rPr>
                      <w:sz w:val="22"/>
                      <w:szCs w:val="22"/>
                    </w:rPr>
                  </w:pPr>
                  <w:r>
                    <w:rPr>
                      <w:sz w:val="22"/>
                      <w:szCs w:val="22"/>
                    </w:rPr>
                    <w:t>1#项目厂界中心</w:t>
                  </w:r>
                </w:p>
              </w:tc>
              <w:tc>
                <w:tcPr>
                  <w:tcW w:w="1341" w:type="pct"/>
                  <w:noWrap w:val="0"/>
                  <w:vAlign w:val="center"/>
                </w:tcPr>
                <w:p>
                  <w:pPr>
                    <w:jc w:val="center"/>
                    <w:rPr>
                      <w:bCs/>
                      <w:sz w:val="22"/>
                      <w:szCs w:val="22"/>
                    </w:rPr>
                  </w:pPr>
                  <w:r>
                    <w:rPr>
                      <w:sz w:val="22"/>
                      <w:szCs w:val="22"/>
                    </w:rPr>
                    <w:t>石油烃（C</w:t>
                  </w:r>
                  <w:r>
                    <w:rPr>
                      <w:sz w:val="22"/>
                      <w:szCs w:val="22"/>
                      <w:vertAlign w:val="subscript"/>
                    </w:rPr>
                    <w:t>10</w:t>
                  </w:r>
                  <w:r>
                    <w:rPr>
                      <w:sz w:val="22"/>
                      <w:szCs w:val="22"/>
                    </w:rPr>
                    <w:t>-C</w:t>
                  </w:r>
                  <w:r>
                    <w:rPr>
                      <w:sz w:val="22"/>
                      <w:szCs w:val="22"/>
                      <w:vertAlign w:val="subscript"/>
                    </w:rPr>
                    <w:t>40</w:t>
                  </w:r>
                  <w:r>
                    <w:rPr>
                      <w:sz w:val="22"/>
                      <w:szCs w:val="22"/>
                    </w:rPr>
                    <w:t>）</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10</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742" w:type="pct"/>
                  <w:vMerge w:val="continue"/>
                  <w:noWrap w:val="0"/>
                  <w:vAlign w:val="center"/>
                </w:tcPr>
                <w:p>
                  <w:pPr>
                    <w:jc w:val="center"/>
                    <w:rPr>
                      <w:sz w:val="22"/>
                      <w:szCs w:val="22"/>
                    </w:rPr>
                  </w:pPr>
                </w:p>
              </w:tc>
              <w:tc>
                <w:tcPr>
                  <w:tcW w:w="931" w:type="pct"/>
                  <w:vMerge w:val="continue"/>
                  <w:noWrap w:val="0"/>
                  <w:vAlign w:val="center"/>
                </w:tcPr>
                <w:p>
                  <w:pPr>
                    <w:jc w:val="center"/>
                    <w:rPr>
                      <w:sz w:val="22"/>
                      <w:szCs w:val="22"/>
                    </w:rPr>
                  </w:pPr>
                </w:p>
              </w:tc>
              <w:tc>
                <w:tcPr>
                  <w:tcW w:w="1341" w:type="pct"/>
                  <w:noWrap w:val="0"/>
                  <w:vAlign w:val="center"/>
                </w:tcPr>
                <w:p>
                  <w:pPr>
                    <w:jc w:val="center"/>
                    <w:rPr>
                      <w:sz w:val="22"/>
                      <w:szCs w:val="22"/>
                    </w:rPr>
                  </w:pPr>
                  <w:r>
                    <w:rPr>
                      <w:sz w:val="22"/>
                      <w:szCs w:val="22"/>
                    </w:rPr>
                    <w:t>砷</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8.05</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55" w:hRule="atLeast"/>
                <w:jc w:val="center"/>
              </w:trPr>
              <w:tc>
                <w:tcPr>
                  <w:tcW w:w="742" w:type="pct"/>
                  <w:vMerge w:val="continue"/>
                  <w:noWrap w:val="0"/>
                  <w:vAlign w:val="center"/>
                </w:tcPr>
                <w:p>
                  <w:pPr>
                    <w:jc w:val="center"/>
                    <w:rPr>
                      <w:sz w:val="22"/>
                      <w:szCs w:val="22"/>
                    </w:rPr>
                  </w:pPr>
                </w:p>
              </w:tc>
              <w:tc>
                <w:tcPr>
                  <w:tcW w:w="931" w:type="pct"/>
                  <w:vMerge w:val="continue"/>
                  <w:noWrap w:val="0"/>
                  <w:vAlign w:val="center"/>
                </w:tcPr>
                <w:p>
                  <w:pPr>
                    <w:jc w:val="center"/>
                    <w:rPr>
                      <w:sz w:val="22"/>
                      <w:szCs w:val="22"/>
                    </w:rPr>
                  </w:pPr>
                </w:p>
              </w:tc>
              <w:tc>
                <w:tcPr>
                  <w:tcW w:w="1341" w:type="pct"/>
                  <w:noWrap w:val="0"/>
                  <w:vAlign w:val="center"/>
                </w:tcPr>
                <w:p>
                  <w:pPr>
                    <w:jc w:val="center"/>
                    <w:rPr>
                      <w:sz w:val="22"/>
                      <w:szCs w:val="22"/>
                    </w:rPr>
                  </w:pPr>
                  <w:r>
                    <w:rPr>
                      <w:sz w:val="22"/>
                      <w:szCs w:val="22"/>
                    </w:rPr>
                    <w:t>汞</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2.17</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55" w:hRule="atLeast"/>
                <w:jc w:val="center"/>
              </w:trPr>
              <w:tc>
                <w:tcPr>
                  <w:tcW w:w="742" w:type="pct"/>
                  <w:vMerge w:val="continue"/>
                  <w:noWrap w:val="0"/>
                  <w:vAlign w:val="center"/>
                </w:tcPr>
                <w:p>
                  <w:pPr>
                    <w:jc w:val="center"/>
                    <w:rPr>
                      <w:sz w:val="22"/>
                      <w:szCs w:val="22"/>
                    </w:rPr>
                  </w:pPr>
                </w:p>
              </w:tc>
              <w:tc>
                <w:tcPr>
                  <w:tcW w:w="931" w:type="pct"/>
                  <w:vMerge w:val="continue"/>
                  <w:noWrap w:val="0"/>
                  <w:vAlign w:val="center"/>
                </w:tcPr>
                <w:p>
                  <w:pPr>
                    <w:jc w:val="center"/>
                    <w:rPr>
                      <w:sz w:val="22"/>
                      <w:szCs w:val="22"/>
                    </w:rPr>
                  </w:pPr>
                </w:p>
              </w:tc>
              <w:tc>
                <w:tcPr>
                  <w:tcW w:w="1341" w:type="pct"/>
                  <w:noWrap w:val="0"/>
                  <w:vAlign w:val="center"/>
                </w:tcPr>
                <w:p>
                  <w:pPr>
                    <w:jc w:val="center"/>
                    <w:rPr>
                      <w:sz w:val="22"/>
                      <w:szCs w:val="22"/>
                    </w:rPr>
                  </w:pPr>
                  <w:r>
                    <w:rPr>
                      <w:sz w:val="22"/>
                      <w:szCs w:val="22"/>
                    </w:rPr>
                    <w:t>镉</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0.76</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742" w:type="pct"/>
                  <w:vMerge w:val="continue"/>
                  <w:noWrap w:val="0"/>
                  <w:vAlign w:val="center"/>
                </w:tcPr>
                <w:p>
                  <w:pPr>
                    <w:jc w:val="center"/>
                    <w:rPr>
                      <w:sz w:val="22"/>
                      <w:szCs w:val="22"/>
                    </w:rPr>
                  </w:pPr>
                </w:p>
              </w:tc>
              <w:tc>
                <w:tcPr>
                  <w:tcW w:w="931" w:type="pct"/>
                  <w:vMerge w:val="continue"/>
                  <w:noWrap w:val="0"/>
                  <w:vAlign w:val="center"/>
                </w:tcPr>
                <w:p>
                  <w:pPr>
                    <w:jc w:val="center"/>
                    <w:rPr>
                      <w:sz w:val="22"/>
                      <w:szCs w:val="22"/>
                    </w:rPr>
                  </w:pPr>
                </w:p>
              </w:tc>
              <w:tc>
                <w:tcPr>
                  <w:tcW w:w="1341" w:type="pct"/>
                  <w:noWrap w:val="0"/>
                  <w:vAlign w:val="center"/>
                </w:tcPr>
                <w:p>
                  <w:pPr>
                    <w:jc w:val="center"/>
                    <w:rPr>
                      <w:sz w:val="22"/>
                      <w:szCs w:val="22"/>
                    </w:rPr>
                  </w:pPr>
                  <w:r>
                    <w:rPr>
                      <w:b/>
                      <w:bCs/>
                      <w:sz w:val="22"/>
                      <w:szCs w:val="22"/>
                    </w:rPr>
                    <w:br w:type="page"/>
                  </w:r>
                  <w:r>
                    <w:rPr>
                      <w:sz w:val="22"/>
                      <w:szCs w:val="22"/>
                    </w:rPr>
                    <w:t>铅</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78</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742" w:type="pct"/>
                  <w:vMerge w:val="continue"/>
                  <w:noWrap w:val="0"/>
                  <w:vAlign w:val="center"/>
                </w:tcPr>
                <w:p>
                  <w:pPr>
                    <w:jc w:val="center"/>
                    <w:rPr>
                      <w:sz w:val="22"/>
                      <w:szCs w:val="22"/>
                    </w:rPr>
                  </w:pPr>
                </w:p>
              </w:tc>
              <w:tc>
                <w:tcPr>
                  <w:tcW w:w="931" w:type="pct"/>
                  <w:vMerge w:val="continue"/>
                  <w:noWrap w:val="0"/>
                  <w:vAlign w:val="center"/>
                </w:tcPr>
                <w:p>
                  <w:pPr>
                    <w:jc w:val="center"/>
                    <w:rPr>
                      <w:sz w:val="22"/>
                      <w:szCs w:val="22"/>
                    </w:rPr>
                  </w:pPr>
                </w:p>
              </w:tc>
              <w:tc>
                <w:tcPr>
                  <w:tcW w:w="1341" w:type="pct"/>
                  <w:noWrap w:val="0"/>
                  <w:vAlign w:val="center"/>
                </w:tcPr>
                <w:p>
                  <w:pPr>
                    <w:jc w:val="center"/>
                    <w:rPr>
                      <w:sz w:val="22"/>
                      <w:szCs w:val="22"/>
                    </w:rPr>
                  </w:pPr>
                  <w:r>
                    <w:rPr>
                      <w:sz w:val="22"/>
                      <w:szCs w:val="22"/>
                    </w:rPr>
                    <w:t>铜</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20</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742" w:type="pct"/>
                  <w:vMerge w:val="continue"/>
                  <w:noWrap w:val="0"/>
                  <w:vAlign w:val="center"/>
                </w:tcPr>
                <w:p>
                  <w:pPr>
                    <w:jc w:val="center"/>
                    <w:rPr>
                      <w:sz w:val="22"/>
                      <w:szCs w:val="22"/>
                    </w:rPr>
                  </w:pPr>
                </w:p>
              </w:tc>
              <w:tc>
                <w:tcPr>
                  <w:tcW w:w="931" w:type="pct"/>
                  <w:vMerge w:val="continue"/>
                  <w:noWrap w:val="0"/>
                  <w:vAlign w:val="center"/>
                </w:tcPr>
                <w:p>
                  <w:pPr>
                    <w:jc w:val="center"/>
                    <w:rPr>
                      <w:sz w:val="22"/>
                      <w:szCs w:val="22"/>
                    </w:rPr>
                  </w:pPr>
                </w:p>
              </w:tc>
              <w:tc>
                <w:tcPr>
                  <w:tcW w:w="1341" w:type="pct"/>
                  <w:noWrap w:val="0"/>
                  <w:vAlign w:val="center"/>
                </w:tcPr>
                <w:p>
                  <w:pPr>
                    <w:jc w:val="center"/>
                    <w:rPr>
                      <w:sz w:val="22"/>
                      <w:szCs w:val="22"/>
                    </w:rPr>
                  </w:pPr>
                  <w:r>
                    <w:rPr>
                      <w:sz w:val="22"/>
                      <w:szCs w:val="22"/>
                    </w:rPr>
                    <w:t>镍</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54</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742" w:type="pct"/>
                  <w:vMerge w:val="continue"/>
                  <w:noWrap w:val="0"/>
                  <w:vAlign w:val="center"/>
                </w:tcPr>
                <w:p>
                  <w:pPr>
                    <w:jc w:val="center"/>
                    <w:rPr>
                      <w:sz w:val="22"/>
                      <w:szCs w:val="22"/>
                    </w:rPr>
                  </w:pPr>
                </w:p>
              </w:tc>
              <w:tc>
                <w:tcPr>
                  <w:tcW w:w="931" w:type="pct"/>
                  <w:vMerge w:val="continue"/>
                  <w:noWrap w:val="0"/>
                  <w:vAlign w:val="center"/>
                </w:tcPr>
                <w:p>
                  <w:pPr>
                    <w:jc w:val="center"/>
                    <w:rPr>
                      <w:sz w:val="22"/>
                      <w:szCs w:val="22"/>
                    </w:rPr>
                  </w:pPr>
                </w:p>
              </w:tc>
              <w:tc>
                <w:tcPr>
                  <w:tcW w:w="1341" w:type="pct"/>
                  <w:noWrap w:val="0"/>
                  <w:vAlign w:val="center"/>
                </w:tcPr>
                <w:p>
                  <w:pPr>
                    <w:jc w:val="center"/>
                    <w:rPr>
                      <w:sz w:val="22"/>
                      <w:szCs w:val="22"/>
                    </w:rPr>
                  </w:pPr>
                  <w:r>
                    <w:rPr>
                      <w:sz w:val="22"/>
                      <w:szCs w:val="22"/>
                    </w:rPr>
                    <w:t>六价铬</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未检出</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742" w:type="pct"/>
                  <w:vMerge w:val="continue"/>
                  <w:noWrap w:val="0"/>
                  <w:vAlign w:val="center"/>
                </w:tcPr>
                <w:p>
                  <w:pPr>
                    <w:jc w:val="center"/>
                    <w:rPr>
                      <w:sz w:val="22"/>
                      <w:szCs w:val="22"/>
                    </w:rPr>
                  </w:pPr>
                </w:p>
              </w:tc>
              <w:tc>
                <w:tcPr>
                  <w:tcW w:w="931" w:type="pct"/>
                  <w:vMerge w:val="continue"/>
                  <w:noWrap w:val="0"/>
                  <w:vAlign w:val="center"/>
                </w:tcPr>
                <w:p>
                  <w:pPr>
                    <w:jc w:val="center"/>
                    <w:rPr>
                      <w:sz w:val="22"/>
                      <w:szCs w:val="22"/>
                    </w:rPr>
                  </w:pPr>
                </w:p>
              </w:tc>
              <w:tc>
                <w:tcPr>
                  <w:tcW w:w="1341" w:type="pct"/>
                  <w:noWrap w:val="0"/>
                  <w:vAlign w:val="center"/>
                </w:tcPr>
                <w:p>
                  <w:pPr>
                    <w:jc w:val="center"/>
                    <w:rPr>
                      <w:sz w:val="22"/>
                      <w:szCs w:val="22"/>
                    </w:rPr>
                  </w:pPr>
                  <w:r>
                    <w:rPr>
                      <w:sz w:val="22"/>
                      <w:szCs w:val="22"/>
                    </w:rPr>
                    <w:t>四氯化碳</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未检出</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742" w:type="pct"/>
                  <w:vMerge w:val="continue"/>
                  <w:noWrap w:val="0"/>
                  <w:vAlign w:val="center"/>
                </w:tcPr>
                <w:p>
                  <w:pPr>
                    <w:jc w:val="center"/>
                    <w:rPr>
                      <w:sz w:val="22"/>
                      <w:szCs w:val="22"/>
                    </w:rPr>
                  </w:pPr>
                </w:p>
              </w:tc>
              <w:tc>
                <w:tcPr>
                  <w:tcW w:w="931" w:type="pct"/>
                  <w:vMerge w:val="continue"/>
                  <w:noWrap w:val="0"/>
                  <w:vAlign w:val="center"/>
                </w:tcPr>
                <w:p>
                  <w:pPr>
                    <w:jc w:val="center"/>
                    <w:rPr>
                      <w:sz w:val="22"/>
                      <w:szCs w:val="22"/>
                    </w:rPr>
                  </w:pPr>
                </w:p>
              </w:tc>
              <w:tc>
                <w:tcPr>
                  <w:tcW w:w="1341" w:type="pct"/>
                  <w:noWrap w:val="0"/>
                  <w:vAlign w:val="center"/>
                </w:tcPr>
                <w:p>
                  <w:pPr>
                    <w:jc w:val="center"/>
                    <w:rPr>
                      <w:sz w:val="22"/>
                      <w:szCs w:val="22"/>
                    </w:rPr>
                  </w:pPr>
                  <w:r>
                    <w:rPr>
                      <w:sz w:val="22"/>
                      <w:szCs w:val="22"/>
                    </w:rPr>
                    <w:t>氯仿</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未检出</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742" w:type="pct"/>
                  <w:vMerge w:val="continue"/>
                  <w:noWrap w:val="0"/>
                  <w:vAlign w:val="top"/>
                </w:tcPr>
                <w:p>
                  <w:pPr>
                    <w:jc w:val="center"/>
                    <w:rPr>
                      <w:sz w:val="22"/>
                      <w:szCs w:val="22"/>
                    </w:rPr>
                  </w:pPr>
                </w:p>
              </w:tc>
              <w:tc>
                <w:tcPr>
                  <w:tcW w:w="931" w:type="pct"/>
                  <w:vMerge w:val="continue"/>
                  <w:noWrap w:val="0"/>
                  <w:vAlign w:val="top"/>
                </w:tcPr>
                <w:p>
                  <w:pPr>
                    <w:jc w:val="center"/>
                    <w:rPr>
                      <w:sz w:val="22"/>
                      <w:szCs w:val="22"/>
                    </w:rPr>
                  </w:pPr>
                </w:p>
              </w:tc>
              <w:tc>
                <w:tcPr>
                  <w:tcW w:w="1341" w:type="pct"/>
                  <w:noWrap w:val="0"/>
                  <w:vAlign w:val="center"/>
                </w:tcPr>
                <w:p>
                  <w:pPr>
                    <w:jc w:val="center"/>
                    <w:rPr>
                      <w:sz w:val="22"/>
                      <w:szCs w:val="22"/>
                    </w:rPr>
                  </w:pPr>
                  <w:r>
                    <w:rPr>
                      <w:sz w:val="22"/>
                      <w:szCs w:val="22"/>
                    </w:rPr>
                    <w:t>氯甲烷</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未检出</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742" w:type="pct"/>
                  <w:vMerge w:val="continue"/>
                  <w:noWrap w:val="0"/>
                  <w:vAlign w:val="top"/>
                </w:tcPr>
                <w:p>
                  <w:pPr>
                    <w:jc w:val="center"/>
                    <w:rPr>
                      <w:sz w:val="22"/>
                      <w:szCs w:val="22"/>
                    </w:rPr>
                  </w:pPr>
                </w:p>
              </w:tc>
              <w:tc>
                <w:tcPr>
                  <w:tcW w:w="931" w:type="pct"/>
                  <w:vMerge w:val="continue"/>
                  <w:noWrap w:val="0"/>
                  <w:vAlign w:val="top"/>
                </w:tcPr>
                <w:p>
                  <w:pPr>
                    <w:jc w:val="center"/>
                    <w:rPr>
                      <w:sz w:val="22"/>
                      <w:szCs w:val="22"/>
                    </w:rPr>
                  </w:pPr>
                </w:p>
              </w:tc>
              <w:tc>
                <w:tcPr>
                  <w:tcW w:w="1341" w:type="pct"/>
                  <w:noWrap w:val="0"/>
                  <w:vAlign w:val="center"/>
                </w:tcPr>
                <w:p>
                  <w:pPr>
                    <w:jc w:val="center"/>
                    <w:rPr>
                      <w:sz w:val="22"/>
                      <w:szCs w:val="22"/>
                    </w:rPr>
                  </w:pPr>
                  <w:r>
                    <w:rPr>
                      <w:sz w:val="22"/>
                      <w:szCs w:val="22"/>
                    </w:rPr>
                    <w:t>1,1-二氯乙烷</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未检出</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742" w:type="pct"/>
                  <w:vMerge w:val="continue"/>
                  <w:noWrap w:val="0"/>
                  <w:vAlign w:val="top"/>
                </w:tcPr>
                <w:p>
                  <w:pPr>
                    <w:jc w:val="center"/>
                    <w:rPr>
                      <w:sz w:val="22"/>
                      <w:szCs w:val="22"/>
                    </w:rPr>
                  </w:pPr>
                </w:p>
              </w:tc>
              <w:tc>
                <w:tcPr>
                  <w:tcW w:w="931" w:type="pct"/>
                  <w:vMerge w:val="continue"/>
                  <w:noWrap w:val="0"/>
                  <w:vAlign w:val="top"/>
                </w:tcPr>
                <w:p>
                  <w:pPr>
                    <w:jc w:val="center"/>
                    <w:rPr>
                      <w:sz w:val="22"/>
                      <w:szCs w:val="22"/>
                    </w:rPr>
                  </w:pPr>
                </w:p>
              </w:tc>
              <w:tc>
                <w:tcPr>
                  <w:tcW w:w="1341" w:type="pct"/>
                  <w:noWrap w:val="0"/>
                  <w:vAlign w:val="center"/>
                </w:tcPr>
                <w:p>
                  <w:pPr>
                    <w:jc w:val="center"/>
                    <w:rPr>
                      <w:sz w:val="22"/>
                      <w:szCs w:val="22"/>
                    </w:rPr>
                  </w:pPr>
                  <w:r>
                    <w:rPr>
                      <w:sz w:val="22"/>
                      <w:szCs w:val="22"/>
                    </w:rPr>
                    <w:t>1,2-二氯乙烷</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未检出</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742" w:type="pct"/>
                  <w:vMerge w:val="continue"/>
                  <w:noWrap w:val="0"/>
                  <w:vAlign w:val="top"/>
                </w:tcPr>
                <w:p>
                  <w:pPr>
                    <w:jc w:val="center"/>
                    <w:rPr>
                      <w:sz w:val="22"/>
                      <w:szCs w:val="22"/>
                    </w:rPr>
                  </w:pPr>
                </w:p>
              </w:tc>
              <w:tc>
                <w:tcPr>
                  <w:tcW w:w="931" w:type="pct"/>
                  <w:vMerge w:val="continue"/>
                  <w:noWrap w:val="0"/>
                  <w:vAlign w:val="top"/>
                </w:tcPr>
                <w:p>
                  <w:pPr>
                    <w:jc w:val="center"/>
                    <w:rPr>
                      <w:sz w:val="22"/>
                      <w:szCs w:val="22"/>
                    </w:rPr>
                  </w:pPr>
                </w:p>
              </w:tc>
              <w:tc>
                <w:tcPr>
                  <w:tcW w:w="1341" w:type="pct"/>
                  <w:noWrap w:val="0"/>
                  <w:vAlign w:val="center"/>
                </w:tcPr>
                <w:p>
                  <w:pPr>
                    <w:jc w:val="center"/>
                    <w:rPr>
                      <w:sz w:val="22"/>
                      <w:szCs w:val="22"/>
                    </w:rPr>
                  </w:pPr>
                  <w:r>
                    <w:rPr>
                      <w:sz w:val="22"/>
                      <w:szCs w:val="22"/>
                    </w:rPr>
                    <w:t>1,1-二氯乙烯</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未检出</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742" w:type="pct"/>
                  <w:vMerge w:val="continue"/>
                  <w:noWrap w:val="0"/>
                  <w:vAlign w:val="top"/>
                </w:tcPr>
                <w:p>
                  <w:pPr>
                    <w:jc w:val="center"/>
                    <w:rPr>
                      <w:sz w:val="22"/>
                      <w:szCs w:val="22"/>
                    </w:rPr>
                  </w:pPr>
                </w:p>
              </w:tc>
              <w:tc>
                <w:tcPr>
                  <w:tcW w:w="931" w:type="pct"/>
                  <w:vMerge w:val="continue"/>
                  <w:noWrap w:val="0"/>
                  <w:vAlign w:val="top"/>
                </w:tcPr>
                <w:p>
                  <w:pPr>
                    <w:jc w:val="center"/>
                    <w:rPr>
                      <w:sz w:val="22"/>
                      <w:szCs w:val="22"/>
                    </w:rPr>
                  </w:pPr>
                </w:p>
              </w:tc>
              <w:tc>
                <w:tcPr>
                  <w:tcW w:w="1341" w:type="pct"/>
                  <w:noWrap w:val="0"/>
                  <w:vAlign w:val="center"/>
                </w:tcPr>
                <w:p>
                  <w:pPr>
                    <w:jc w:val="center"/>
                    <w:rPr>
                      <w:sz w:val="22"/>
                      <w:szCs w:val="22"/>
                    </w:rPr>
                  </w:pPr>
                  <w:r>
                    <w:rPr>
                      <w:sz w:val="22"/>
                      <w:szCs w:val="22"/>
                    </w:rPr>
                    <w:t>顺式-1,2-二氯乙烯</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未检出</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742" w:type="pct"/>
                  <w:vMerge w:val="continue"/>
                  <w:noWrap w:val="0"/>
                  <w:vAlign w:val="top"/>
                </w:tcPr>
                <w:p>
                  <w:pPr>
                    <w:jc w:val="center"/>
                    <w:rPr>
                      <w:sz w:val="22"/>
                      <w:szCs w:val="22"/>
                    </w:rPr>
                  </w:pPr>
                </w:p>
              </w:tc>
              <w:tc>
                <w:tcPr>
                  <w:tcW w:w="931" w:type="pct"/>
                  <w:vMerge w:val="continue"/>
                  <w:noWrap w:val="0"/>
                  <w:vAlign w:val="top"/>
                </w:tcPr>
                <w:p>
                  <w:pPr>
                    <w:jc w:val="center"/>
                    <w:rPr>
                      <w:sz w:val="22"/>
                      <w:szCs w:val="22"/>
                    </w:rPr>
                  </w:pPr>
                </w:p>
              </w:tc>
              <w:tc>
                <w:tcPr>
                  <w:tcW w:w="1341" w:type="pct"/>
                  <w:noWrap w:val="0"/>
                  <w:vAlign w:val="center"/>
                </w:tcPr>
                <w:p>
                  <w:pPr>
                    <w:jc w:val="center"/>
                    <w:rPr>
                      <w:sz w:val="22"/>
                      <w:szCs w:val="22"/>
                    </w:rPr>
                  </w:pPr>
                  <w:r>
                    <w:rPr>
                      <w:sz w:val="22"/>
                      <w:szCs w:val="22"/>
                    </w:rPr>
                    <w:t>反式-1,2-二氯乙烯</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未检出</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742" w:type="pct"/>
                  <w:vMerge w:val="continue"/>
                  <w:noWrap w:val="0"/>
                  <w:vAlign w:val="top"/>
                </w:tcPr>
                <w:p>
                  <w:pPr>
                    <w:jc w:val="center"/>
                    <w:rPr>
                      <w:sz w:val="22"/>
                      <w:szCs w:val="22"/>
                    </w:rPr>
                  </w:pPr>
                </w:p>
              </w:tc>
              <w:tc>
                <w:tcPr>
                  <w:tcW w:w="931" w:type="pct"/>
                  <w:vMerge w:val="continue"/>
                  <w:noWrap w:val="0"/>
                  <w:vAlign w:val="top"/>
                </w:tcPr>
                <w:p>
                  <w:pPr>
                    <w:jc w:val="center"/>
                    <w:rPr>
                      <w:sz w:val="22"/>
                      <w:szCs w:val="22"/>
                    </w:rPr>
                  </w:pPr>
                </w:p>
              </w:tc>
              <w:tc>
                <w:tcPr>
                  <w:tcW w:w="1341" w:type="pct"/>
                  <w:noWrap w:val="0"/>
                  <w:vAlign w:val="center"/>
                </w:tcPr>
                <w:p>
                  <w:pPr>
                    <w:jc w:val="center"/>
                    <w:rPr>
                      <w:sz w:val="22"/>
                      <w:szCs w:val="22"/>
                    </w:rPr>
                  </w:pPr>
                  <w:r>
                    <w:rPr>
                      <w:sz w:val="22"/>
                      <w:szCs w:val="22"/>
                    </w:rPr>
                    <w:t>二氯甲烷</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未检出</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742" w:type="pct"/>
                  <w:vMerge w:val="continue"/>
                  <w:noWrap w:val="0"/>
                  <w:vAlign w:val="top"/>
                </w:tcPr>
                <w:p>
                  <w:pPr>
                    <w:jc w:val="center"/>
                    <w:rPr>
                      <w:sz w:val="22"/>
                      <w:szCs w:val="22"/>
                    </w:rPr>
                  </w:pPr>
                </w:p>
              </w:tc>
              <w:tc>
                <w:tcPr>
                  <w:tcW w:w="931" w:type="pct"/>
                  <w:vMerge w:val="continue"/>
                  <w:noWrap w:val="0"/>
                  <w:vAlign w:val="top"/>
                </w:tcPr>
                <w:p>
                  <w:pPr>
                    <w:jc w:val="center"/>
                    <w:rPr>
                      <w:sz w:val="22"/>
                      <w:szCs w:val="22"/>
                    </w:rPr>
                  </w:pPr>
                </w:p>
              </w:tc>
              <w:tc>
                <w:tcPr>
                  <w:tcW w:w="1341" w:type="pct"/>
                  <w:noWrap w:val="0"/>
                  <w:vAlign w:val="center"/>
                </w:tcPr>
                <w:p>
                  <w:pPr>
                    <w:jc w:val="center"/>
                    <w:rPr>
                      <w:sz w:val="22"/>
                      <w:szCs w:val="22"/>
                    </w:rPr>
                  </w:pPr>
                  <w:r>
                    <w:rPr>
                      <w:sz w:val="22"/>
                      <w:szCs w:val="22"/>
                    </w:rPr>
                    <w:t>1,2-二氯丙烷</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未检出</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742" w:type="pct"/>
                  <w:vMerge w:val="continue"/>
                  <w:noWrap w:val="0"/>
                  <w:vAlign w:val="top"/>
                </w:tcPr>
                <w:p>
                  <w:pPr>
                    <w:jc w:val="center"/>
                    <w:rPr>
                      <w:sz w:val="22"/>
                      <w:szCs w:val="22"/>
                    </w:rPr>
                  </w:pPr>
                </w:p>
              </w:tc>
              <w:tc>
                <w:tcPr>
                  <w:tcW w:w="931" w:type="pct"/>
                  <w:vMerge w:val="continue"/>
                  <w:noWrap w:val="0"/>
                  <w:vAlign w:val="top"/>
                </w:tcPr>
                <w:p>
                  <w:pPr>
                    <w:jc w:val="center"/>
                    <w:rPr>
                      <w:sz w:val="22"/>
                      <w:szCs w:val="22"/>
                    </w:rPr>
                  </w:pPr>
                </w:p>
              </w:tc>
              <w:tc>
                <w:tcPr>
                  <w:tcW w:w="1341" w:type="pct"/>
                  <w:noWrap w:val="0"/>
                  <w:vAlign w:val="center"/>
                </w:tcPr>
                <w:p>
                  <w:pPr>
                    <w:jc w:val="center"/>
                    <w:rPr>
                      <w:sz w:val="22"/>
                      <w:szCs w:val="22"/>
                    </w:rPr>
                  </w:pPr>
                  <w:r>
                    <w:rPr>
                      <w:sz w:val="22"/>
                      <w:szCs w:val="22"/>
                    </w:rPr>
                    <w:t>1,1,1,2-四氯乙烷</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未检出</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742" w:type="pct"/>
                  <w:vMerge w:val="continue"/>
                  <w:noWrap w:val="0"/>
                  <w:vAlign w:val="center"/>
                </w:tcPr>
                <w:p>
                  <w:pPr>
                    <w:jc w:val="center"/>
                    <w:rPr>
                      <w:sz w:val="22"/>
                      <w:szCs w:val="22"/>
                    </w:rPr>
                  </w:pPr>
                </w:p>
              </w:tc>
              <w:tc>
                <w:tcPr>
                  <w:tcW w:w="931" w:type="pct"/>
                  <w:vMerge w:val="continue"/>
                  <w:noWrap w:val="0"/>
                  <w:vAlign w:val="center"/>
                </w:tcPr>
                <w:p>
                  <w:pPr>
                    <w:jc w:val="center"/>
                    <w:rPr>
                      <w:sz w:val="22"/>
                      <w:szCs w:val="22"/>
                    </w:rPr>
                  </w:pPr>
                </w:p>
              </w:tc>
              <w:tc>
                <w:tcPr>
                  <w:tcW w:w="1341" w:type="pct"/>
                  <w:noWrap w:val="0"/>
                  <w:vAlign w:val="center"/>
                </w:tcPr>
                <w:p>
                  <w:pPr>
                    <w:jc w:val="center"/>
                    <w:rPr>
                      <w:sz w:val="22"/>
                      <w:szCs w:val="22"/>
                    </w:rPr>
                  </w:pPr>
                  <w:r>
                    <w:rPr>
                      <w:sz w:val="22"/>
                      <w:szCs w:val="22"/>
                    </w:rPr>
                    <w:t>1,1,2,2-四氯乙烷</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未检出</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55" w:hRule="atLeast"/>
                <w:jc w:val="center"/>
              </w:trPr>
              <w:tc>
                <w:tcPr>
                  <w:tcW w:w="742" w:type="pct"/>
                  <w:vMerge w:val="continue"/>
                  <w:noWrap w:val="0"/>
                  <w:vAlign w:val="center"/>
                </w:tcPr>
                <w:p>
                  <w:pPr>
                    <w:jc w:val="center"/>
                    <w:rPr>
                      <w:sz w:val="22"/>
                      <w:szCs w:val="22"/>
                    </w:rPr>
                  </w:pPr>
                </w:p>
              </w:tc>
              <w:tc>
                <w:tcPr>
                  <w:tcW w:w="931" w:type="pct"/>
                  <w:vMerge w:val="continue"/>
                  <w:noWrap w:val="0"/>
                  <w:vAlign w:val="center"/>
                </w:tcPr>
                <w:p>
                  <w:pPr>
                    <w:jc w:val="center"/>
                    <w:rPr>
                      <w:sz w:val="22"/>
                      <w:szCs w:val="22"/>
                    </w:rPr>
                  </w:pPr>
                </w:p>
              </w:tc>
              <w:tc>
                <w:tcPr>
                  <w:tcW w:w="1341" w:type="pct"/>
                  <w:noWrap w:val="0"/>
                  <w:vAlign w:val="center"/>
                </w:tcPr>
                <w:p>
                  <w:pPr>
                    <w:jc w:val="center"/>
                    <w:rPr>
                      <w:sz w:val="22"/>
                      <w:szCs w:val="22"/>
                    </w:rPr>
                  </w:pPr>
                  <w:r>
                    <w:rPr>
                      <w:sz w:val="22"/>
                      <w:szCs w:val="22"/>
                    </w:rPr>
                    <w:t>四氯乙烯</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未检出</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55" w:hRule="atLeast"/>
                <w:jc w:val="center"/>
              </w:trPr>
              <w:tc>
                <w:tcPr>
                  <w:tcW w:w="742" w:type="pct"/>
                  <w:vMerge w:val="continue"/>
                  <w:noWrap w:val="0"/>
                  <w:vAlign w:val="center"/>
                </w:tcPr>
                <w:p>
                  <w:pPr>
                    <w:jc w:val="center"/>
                    <w:rPr>
                      <w:sz w:val="22"/>
                      <w:szCs w:val="22"/>
                    </w:rPr>
                  </w:pPr>
                </w:p>
              </w:tc>
              <w:tc>
                <w:tcPr>
                  <w:tcW w:w="931" w:type="pct"/>
                  <w:vMerge w:val="continue"/>
                  <w:noWrap w:val="0"/>
                  <w:vAlign w:val="center"/>
                </w:tcPr>
                <w:p>
                  <w:pPr>
                    <w:jc w:val="center"/>
                    <w:rPr>
                      <w:sz w:val="22"/>
                      <w:szCs w:val="22"/>
                    </w:rPr>
                  </w:pPr>
                </w:p>
              </w:tc>
              <w:tc>
                <w:tcPr>
                  <w:tcW w:w="1341" w:type="pct"/>
                  <w:noWrap w:val="0"/>
                  <w:vAlign w:val="center"/>
                </w:tcPr>
                <w:p>
                  <w:pPr>
                    <w:jc w:val="center"/>
                    <w:rPr>
                      <w:sz w:val="22"/>
                      <w:szCs w:val="22"/>
                    </w:rPr>
                  </w:pPr>
                  <w:r>
                    <w:rPr>
                      <w:sz w:val="22"/>
                      <w:szCs w:val="22"/>
                    </w:rPr>
                    <w:t>1,1,1-三氯乙烷</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未检出</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55" w:hRule="atLeast"/>
                <w:jc w:val="center"/>
              </w:trPr>
              <w:tc>
                <w:tcPr>
                  <w:tcW w:w="742" w:type="pct"/>
                  <w:vMerge w:val="continue"/>
                  <w:noWrap w:val="0"/>
                  <w:vAlign w:val="center"/>
                </w:tcPr>
                <w:p>
                  <w:pPr>
                    <w:jc w:val="center"/>
                    <w:rPr>
                      <w:sz w:val="22"/>
                      <w:szCs w:val="22"/>
                    </w:rPr>
                  </w:pPr>
                </w:p>
              </w:tc>
              <w:tc>
                <w:tcPr>
                  <w:tcW w:w="931" w:type="pct"/>
                  <w:vMerge w:val="continue"/>
                  <w:noWrap w:val="0"/>
                  <w:vAlign w:val="center"/>
                </w:tcPr>
                <w:p>
                  <w:pPr>
                    <w:jc w:val="center"/>
                    <w:rPr>
                      <w:sz w:val="22"/>
                      <w:szCs w:val="22"/>
                    </w:rPr>
                  </w:pPr>
                </w:p>
              </w:tc>
              <w:tc>
                <w:tcPr>
                  <w:tcW w:w="1341" w:type="pct"/>
                  <w:noWrap w:val="0"/>
                  <w:vAlign w:val="center"/>
                </w:tcPr>
                <w:p>
                  <w:pPr>
                    <w:jc w:val="center"/>
                    <w:rPr>
                      <w:sz w:val="22"/>
                      <w:szCs w:val="22"/>
                    </w:rPr>
                  </w:pPr>
                  <w:r>
                    <w:rPr>
                      <w:sz w:val="22"/>
                      <w:szCs w:val="22"/>
                    </w:rPr>
                    <w:t>1,1,2-三氯乙烷</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未检出</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55" w:hRule="atLeast"/>
                <w:jc w:val="center"/>
              </w:trPr>
              <w:tc>
                <w:tcPr>
                  <w:tcW w:w="742" w:type="pct"/>
                  <w:vMerge w:val="continue"/>
                  <w:noWrap w:val="0"/>
                  <w:vAlign w:val="center"/>
                </w:tcPr>
                <w:p>
                  <w:pPr>
                    <w:jc w:val="center"/>
                    <w:rPr>
                      <w:sz w:val="22"/>
                      <w:szCs w:val="22"/>
                    </w:rPr>
                  </w:pPr>
                </w:p>
              </w:tc>
              <w:tc>
                <w:tcPr>
                  <w:tcW w:w="931" w:type="pct"/>
                  <w:vMerge w:val="continue"/>
                  <w:noWrap w:val="0"/>
                  <w:vAlign w:val="center"/>
                </w:tcPr>
                <w:p>
                  <w:pPr>
                    <w:jc w:val="center"/>
                    <w:rPr>
                      <w:sz w:val="22"/>
                      <w:szCs w:val="22"/>
                    </w:rPr>
                  </w:pPr>
                </w:p>
              </w:tc>
              <w:tc>
                <w:tcPr>
                  <w:tcW w:w="1341" w:type="pct"/>
                  <w:noWrap w:val="0"/>
                  <w:vAlign w:val="center"/>
                </w:tcPr>
                <w:p>
                  <w:pPr>
                    <w:jc w:val="center"/>
                    <w:rPr>
                      <w:sz w:val="22"/>
                      <w:szCs w:val="22"/>
                    </w:rPr>
                  </w:pPr>
                  <w:r>
                    <w:rPr>
                      <w:sz w:val="22"/>
                      <w:szCs w:val="22"/>
                    </w:rPr>
                    <w:t>三氯乙烯</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未检出</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742" w:type="pct"/>
                  <w:vMerge w:val="continue"/>
                  <w:noWrap w:val="0"/>
                  <w:vAlign w:val="center"/>
                </w:tcPr>
                <w:p>
                  <w:pPr>
                    <w:jc w:val="center"/>
                    <w:rPr>
                      <w:sz w:val="22"/>
                      <w:szCs w:val="22"/>
                    </w:rPr>
                  </w:pPr>
                </w:p>
              </w:tc>
              <w:tc>
                <w:tcPr>
                  <w:tcW w:w="931" w:type="pct"/>
                  <w:vMerge w:val="continue"/>
                  <w:noWrap w:val="0"/>
                  <w:vAlign w:val="center"/>
                </w:tcPr>
                <w:p>
                  <w:pPr>
                    <w:autoSpaceDE w:val="0"/>
                    <w:autoSpaceDN w:val="0"/>
                    <w:adjustRightInd w:val="0"/>
                    <w:jc w:val="center"/>
                    <w:rPr>
                      <w:sz w:val="22"/>
                      <w:szCs w:val="22"/>
                    </w:rPr>
                  </w:pPr>
                </w:p>
              </w:tc>
              <w:tc>
                <w:tcPr>
                  <w:tcW w:w="1341" w:type="pct"/>
                  <w:noWrap w:val="0"/>
                  <w:vAlign w:val="center"/>
                </w:tcPr>
                <w:p>
                  <w:pPr>
                    <w:jc w:val="center"/>
                    <w:rPr>
                      <w:sz w:val="22"/>
                      <w:szCs w:val="22"/>
                    </w:rPr>
                  </w:pPr>
                  <w:r>
                    <w:rPr>
                      <w:sz w:val="22"/>
                      <w:szCs w:val="22"/>
                    </w:rPr>
                    <w:t>1,2,3,-三氯丙烷</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未检出</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742" w:type="pct"/>
                  <w:vMerge w:val="continue"/>
                  <w:noWrap w:val="0"/>
                  <w:vAlign w:val="center"/>
                </w:tcPr>
                <w:p>
                  <w:pPr>
                    <w:jc w:val="center"/>
                    <w:rPr>
                      <w:sz w:val="22"/>
                      <w:szCs w:val="22"/>
                    </w:rPr>
                  </w:pPr>
                </w:p>
              </w:tc>
              <w:tc>
                <w:tcPr>
                  <w:tcW w:w="931" w:type="pct"/>
                  <w:vMerge w:val="continue"/>
                  <w:noWrap w:val="0"/>
                  <w:vAlign w:val="center"/>
                </w:tcPr>
                <w:p>
                  <w:pPr>
                    <w:jc w:val="center"/>
                    <w:rPr>
                      <w:sz w:val="22"/>
                      <w:szCs w:val="22"/>
                    </w:rPr>
                  </w:pPr>
                </w:p>
              </w:tc>
              <w:tc>
                <w:tcPr>
                  <w:tcW w:w="1341" w:type="pct"/>
                  <w:noWrap w:val="0"/>
                  <w:vAlign w:val="center"/>
                </w:tcPr>
                <w:p>
                  <w:pPr>
                    <w:jc w:val="center"/>
                    <w:rPr>
                      <w:sz w:val="22"/>
                      <w:szCs w:val="22"/>
                    </w:rPr>
                  </w:pPr>
                  <w:r>
                    <w:rPr>
                      <w:sz w:val="22"/>
                      <w:szCs w:val="22"/>
                    </w:rPr>
                    <w:t>氯乙烯</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未检出</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742" w:type="pct"/>
                  <w:vMerge w:val="continue"/>
                  <w:noWrap w:val="0"/>
                  <w:vAlign w:val="center"/>
                </w:tcPr>
                <w:p>
                  <w:pPr>
                    <w:jc w:val="center"/>
                    <w:rPr>
                      <w:sz w:val="22"/>
                      <w:szCs w:val="22"/>
                    </w:rPr>
                  </w:pPr>
                </w:p>
              </w:tc>
              <w:tc>
                <w:tcPr>
                  <w:tcW w:w="931" w:type="pct"/>
                  <w:vMerge w:val="continue"/>
                  <w:noWrap w:val="0"/>
                  <w:vAlign w:val="center"/>
                </w:tcPr>
                <w:p>
                  <w:pPr>
                    <w:jc w:val="center"/>
                    <w:rPr>
                      <w:sz w:val="22"/>
                      <w:szCs w:val="22"/>
                    </w:rPr>
                  </w:pPr>
                </w:p>
              </w:tc>
              <w:tc>
                <w:tcPr>
                  <w:tcW w:w="1341" w:type="pct"/>
                  <w:noWrap w:val="0"/>
                  <w:vAlign w:val="center"/>
                </w:tcPr>
                <w:p>
                  <w:pPr>
                    <w:jc w:val="center"/>
                    <w:rPr>
                      <w:sz w:val="22"/>
                      <w:szCs w:val="22"/>
                    </w:rPr>
                  </w:pPr>
                  <w:r>
                    <w:rPr>
                      <w:sz w:val="22"/>
                      <w:szCs w:val="22"/>
                    </w:rPr>
                    <w:t>苯</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未检出</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742" w:type="pct"/>
                  <w:vMerge w:val="continue"/>
                  <w:noWrap w:val="0"/>
                  <w:vAlign w:val="center"/>
                </w:tcPr>
                <w:p>
                  <w:pPr>
                    <w:jc w:val="center"/>
                    <w:rPr>
                      <w:sz w:val="22"/>
                      <w:szCs w:val="22"/>
                    </w:rPr>
                  </w:pPr>
                </w:p>
              </w:tc>
              <w:tc>
                <w:tcPr>
                  <w:tcW w:w="931" w:type="pct"/>
                  <w:vMerge w:val="continue"/>
                  <w:noWrap w:val="0"/>
                  <w:vAlign w:val="center"/>
                </w:tcPr>
                <w:p>
                  <w:pPr>
                    <w:jc w:val="center"/>
                    <w:rPr>
                      <w:sz w:val="22"/>
                      <w:szCs w:val="22"/>
                    </w:rPr>
                  </w:pPr>
                </w:p>
              </w:tc>
              <w:tc>
                <w:tcPr>
                  <w:tcW w:w="1341" w:type="pct"/>
                  <w:noWrap w:val="0"/>
                  <w:vAlign w:val="center"/>
                </w:tcPr>
                <w:p>
                  <w:pPr>
                    <w:jc w:val="center"/>
                    <w:rPr>
                      <w:sz w:val="22"/>
                      <w:szCs w:val="22"/>
                    </w:rPr>
                  </w:pPr>
                  <w:r>
                    <w:rPr>
                      <w:sz w:val="22"/>
                      <w:szCs w:val="22"/>
                    </w:rPr>
                    <w:t>氯苯</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未检出</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742" w:type="pct"/>
                  <w:vMerge w:val="continue"/>
                  <w:noWrap w:val="0"/>
                  <w:vAlign w:val="center"/>
                </w:tcPr>
                <w:p>
                  <w:pPr>
                    <w:jc w:val="center"/>
                    <w:rPr>
                      <w:sz w:val="22"/>
                      <w:szCs w:val="22"/>
                    </w:rPr>
                  </w:pPr>
                </w:p>
              </w:tc>
              <w:tc>
                <w:tcPr>
                  <w:tcW w:w="931" w:type="pct"/>
                  <w:vMerge w:val="continue"/>
                  <w:noWrap w:val="0"/>
                  <w:vAlign w:val="center"/>
                </w:tcPr>
                <w:p>
                  <w:pPr>
                    <w:jc w:val="center"/>
                    <w:rPr>
                      <w:sz w:val="22"/>
                      <w:szCs w:val="22"/>
                    </w:rPr>
                  </w:pPr>
                </w:p>
              </w:tc>
              <w:tc>
                <w:tcPr>
                  <w:tcW w:w="1341" w:type="pct"/>
                  <w:noWrap w:val="0"/>
                  <w:vAlign w:val="center"/>
                </w:tcPr>
                <w:p>
                  <w:pPr>
                    <w:jc w:val="center"/>
                    <w:rPr>
                      <w:sz w:val="22"/>
                      <w:szCs w:val="22"/>
                    </w:rPr>
                  </w:pPr>
                  <w:r>
                    <w:rPr>
                      <w:sz w:val="22"/>
                      <w:szCs w:val="22"/>
                    </w:rPr>
                    <w:t>1,2-二氯苯</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未检出</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742" w:type="pct"/>
                  <w:vMerge w:val="continue"/>
                  <w:noWrap w:val="0"/>
                  <w:vAlign w:val="top"/>
                </w:tcPr>
                <w:p>
                  <w:pPr>
                    <w:jc w:val="center"/>
                    <w:rPr>
                      <w:sz w:val="22"/>
                      <w:szCs w:val="22"/>
                    </w:rPr>
                  </w:pPr>
                </w:p>
              </w:tc>
              <w:tc>
                <w:tcPr>
                  <w:tcW w:w="931" w:type="pct"/>
                  <w:vMerge w:val="continue"/>
                  <w:noWrap w:val="0"/>
                  <w:vAlign w:val="top"/>
                </w:tcPr>
                <w:p>
                  <w:pPr>
                    <w:jc w:val="center"/>
                    <w:rPr>
                      <w:sz w:val="22"/>
                      <w:szCs w:val="22"/>
                    </w:rPr>
                  </w:pPr>
                </w:p>
              </w:tc>
              <w:tc>
                <w:tcPr>
                  <w:tcW w:w="1341" w:type="pct"/>
                  <w:noWrap w:val="0"/>
                  <w:vAlign w:val="center"/>
                </w:tcPr>
                <w:p>
                  <w:pPr>
                    <w:jc w:val="center"/>
                    <w:rPr>
                      <w:sz w:val="22"/>
                      <w:szCs w:val="22"/>
                    </w:rPr>
                  </w:pPr>
                  <w:r>
                    <w:rPr>
                      <w:sz w:val="22"/>
                      <w:szCs w:val="22"/>
                    </w:rPr>
                    <w:t>1,4-二氯苯</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未检出</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742" w:type="pct"/>
                  <w:vMerge w:val="continue"/>
                  <w:noWrap w:val="0"/>
                  <w:vAlign w:val="top"/>
                </w:tcPr>
                <w:p>
                  <w:pPr>
                    <w:jc w:val="center"/>
                    <w:rPr>
                      <w:sz w:val="22"/>
                      <w:szCs w:val="22"/>
                    </w:rPr>
                  </w:pPr>
                </w:p>
              </w:tc>
              <w:tc>
                <w:tcPr>
                  <w:tcW w:w="931" w:type="pct"/>
                  <w:vMerge w:val="continue"/>
                  <w:noWrap w:val="0"/>
                  <w:vAlign w:val="top"/>
                </w:tcPr>
                <w:p>
                  <w:pPr>
                    <w:jc w:val="center"/>
                    <w:rPr>
                      <w:sz w:val="22"/>
                      <w:szCs w:val="22"/>
                    </w:rPr>
                  </w:pPr>
                </w:p>
              </w:tc>
              <w:tc>
                <w:tcPr>
                  <w:tcW w:w="1341" w:type="pct"/>
                  <w:noWrap w:val="0"/>
                  <w:vAlign w:val="center"/>
                </w:tcPr>
                <w:p>
                  <w:pPr>
                    <w:jc w:val="center"/>
                    <w:rPr>
                      <w:sz w:val="22"/>
                      <w:szCs w:val="22"/>
                    </w:rPr>
                  </w:pPr>
                  <w:r>
                    <w:rPr>
                      <w:sz w:val="22"/>
                      <w:szCs w:val="22"/>
                    </w:rPr>
                    <w:t>乙苯</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未检出</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742" w:type="pct"/>
                  <w:vMerge w:val="continue"/>
                  <w:noWrap w:val="0"/>
                  <w:vAlign w:val="top"/>
                </w:tcPr>
                <w:p>
                  <w:pPr>
                    <w:jc w:val="center"/>
                    <w:rPr>
                      <w:sz w:val="22"/>
                      <w:szCs w:val="22"/>
                    </w:rPr>
                  </w:pPr>
                </w:p>
              </w:tc>
              <w:tc>
                <w:tcPr>
                  <w:tcW w:w="931" w:type="pct"/>
                  <w:vMerge w:val="continue"/>
                  <w:noWrap w:val="0"/>
                  <w:vAlign w:val="top"/>
                </w:tcPr>
                <w:p>
                  <w:pPr>
                    <w:jc w:val="center"/>
                    <w:rPr>
                      <w:sz w:val="22"/>
                      <w:szCs w:val="22"/>
                    </w:rPr>
                  </w:pPr>
                </w:p>
              </w:tc>
              <w:tc>
                <w:tcPr>
                  <w:tcW w:w="1341" w:type="pct"/>
                  <w:noWrap w:val="0"/>
                  <w:vAlign w:val="center"/>
                </w:tcPr>
                <w:p>
                  <w:pPr>
                    <w:jc w:val="center"/>
                    <w:rPr>
                      <w:sz w:val="22"/>
                      <w:szCs w:val="22"/>
                    </w:rPr>
                  </w:pPr>
                  <w:r>
                    <w:rPr>
                      <w:sz w:val="22"/>
                      <w:szCs w:val="22"/>
                    </w:rPr>
                    <w:t>苯乙烯</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未检出</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742" w:type="pct"/>
                  <w:vMerge w:val="continue"/>
                  <w:noWrap w:val="0"/>
                  <w:vAlign w:val="top"/>
                </w:tcPr>
                <w:p>
                  <w:pPr>
                    <w:jc w:val="center"/>
                    <w:rPr>
                      <w:sz w:val="22"/>
                      <w:szCs w:val="22"/>
                    </w:rPr>
                  </w:pPr>
                </w:p>
              </w:tc>
              <w:tc>
                <w:tcPr>
                  <w:tcW w:w="931" w:type="pct"/>
                  <w:vMerge w:val="continue"/>
                  <w:noWrap w:val="0"/>
                  <w:vAlign w:val="top"/>
                </w:tcPr>
                <w:p>
                  <w:pPr>
                    <w:jc w:val="center"/>
                    <w:rPr>
                      <w:sz w:val="22"/>
                      <w:szCs w:val="22"/>
                    </w:rPr>
                  </w:pPr>
                </w:p>
              </w:tc>
              <w:tc>
                <w:tcPr>
                  <w:tcW w:w="1341" w:type="pct"/>
                  <w:noWrap w:val="0"/>
                  <w:vAlign w:val="center"/>
                </w:tcPr>
                <w:p>
                  <w:pPr>
                    <w:jc w:val="center"/>
                    <w:rPr>
                      <w:sz w:val="22"/>
                      <w:szCs w:val="22"/>
                    </w:rPr>
                  </w:pPr>
                  <w:r>
                    <w:rPr>
                      <w:sz w:val="22"/>
                      <w:szCs w:val="22"/>
                    </w:rPr>
                    <w:t>甲苯</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未检出</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742" w:type="pct"/>
                  <w:vMerge w:val="continue"/>
                  <w:noWrap w:val="0"/>
                  <w:vAlign w:val="top"/>
                </w:tcPr>
                <w:p>
                  <w:pPr>
                    <w:jc w:val="center"/>
                    <w:rPr>
                      <w:sz w:val="22"/>
                      <w:szCs w:val="22"/>
                    </w:rPr>
                  </w:pPr>
                </w:p>
              </w:tc>
              <w:tc>
                <w:tcPr>
                  <w:tcW w:w="931" w:type="pct"/>
                  <w:vMerge w:val="continue"/>
                  <w:noWrap w:val="0"/>
                  <w:vAlign w:val="top"/>
                </w:tcPr>
                <w:p>
                  <w:pPr>
                    <w:jc w:val="center"/>
                    <w:rPr>
                      <w:sz w:val="22"/>
                      <w:szCs w:val="22"/>
                    </w:rPr>
                  </w:pPr>
                </w:p>
              </w:tc>
              <w:tc>
                <w:tcPr>
                  <w:tcW w:w="1341" w:type="pct"/>
                  <w:noWrap w:val="0"/>
                  <w:vAlign w:val="center"/>
                </w:tcPr>
                <w:p>
                  <w:pPr>
                    <w:jc w:val="center"/>
                    <w:rPr>
                      <w:sz w:val="22"/>
                      <w:szCs w:val="22"/>
                    </w:rPr>
                  </w:pPr>
                  <w:r>
                    <w:rPr>
                      <w:sz w:val="22"/>
                      <w:szCs w:val="22"/>
                    </w:rPr>
                    <w:t>间，对-二甲苯</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未检出</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742" w:type="pct"/>
                  <w:vMerge w:val="continue"/>
                  <w:noWrap w:val="0"/>
                  <w:vAlign w:val="top"/>
                </w:tcPr>
                <w:p>
                  <w:pPr>
                    <w:jc w:val="center"/>
                    <w:rPr>
                      <w:sz w:val="22"/>
                      <w:szCs w:val="22"/>
                    </w:rPr>
                  </w:pPr>
                </w:p>
              </w:tc>
              <w:tc>
                <w:tcPr>
                  <w:tcW w:w="931" w:type="pct"/>
                  <w:vMerge w:val="continue"/>
                  <w:noWrap w:val="0"/>
                  <w:vAlign w:val="top"/>
                </w:tcPr>
                <w:p>
                  <w:pPr>
                    <w:jc w:val="center"/>
                    <w:rPr>
                      <w:sz w:val="22"/>
                      <w:szCs w:val="22"/>
                    </w:rPr>
                  </w:pPr>
                </w:p>
              </w:tc>
              <w:tc>
                <w:tcPr>
                  <w:tcW w:w="1341" w:type="pct"/>
                  <w:noWrap w:val="0"/>
                  <w:vAlign w:val="center"/>
                </w:tcPr>
                <w:p>
                  <w:pPr>
                    <w:jc w:val="center"/>
                    <w:rPr>
                      <w:sz w:val="22"/>
                      <w:szCs w:val="22"/>
                    </w:rPr>
                  </w:pPr>
                  <w:r>
                    <w:rPr>
                      <w:sz w:val="22"/>
                      <w:szCs w:val="22"/>
                    </w:rPr>
                    <w:t>邻二甲苯</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未检出</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742" w:type="pct"/>
                  <w:vMerge w:val="continue"/>
                  <w:noWrap w:val="0"/>
                  <w:vAlign w:val="top"/>
                </w:tcPr>
                <w:p>
                  <w:pPr>
                    <w:jc w:val="center"/>
                    <w:rPr>
                      <w:sz w:val="22"/>
                      <w:szCs w:val="22"/>
                    </w:rPr>
                  </w:pPr>
                </w:p>
              </w:tc>
              <w:tc>
                <w:tcPr>
                  <w:tcW w:w="931" w:type="pct"/>
                  <w:vMerge w:val="continue"/>
                  <w:noWrap w:val="0"/>
                  <w:vAlign w:val="top"/>
                </w:tcPr>
                <w:p>
                  <w:pPr>
                    <w:jc w:val="center"/>
                    <w:rPr>
                      <w:sz w:val="22"/>
                      <w:szCs w:val="22"/>
                    </w:rPr>
                  </w:pPr>
                </w:p>
              </w:tc>
              <w:tc>
                <w:tcPr>
                  <w:tcW w:w="1341" w:type="pct"/>
                  <w:noWrap w:val="0"/>
                  <w:vAlign w:val="center"/>
                </w:tcPr>
                <w:p>
                  <w:pPr>
                    <w:jc w:val="center"/>
                    <w:rPr>
                      <w:sz w:val="22"/>
                      <w:szCs w:val="22"/>
                    </w:rPr>
                  </w:pPr>
                  <w:r>
                    <w:rPr>
                      <w:sz w:val="22"/>
                      <w:szCs w:val="22"/>
                    </w:rPr>
                    <w:t>苯胺</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未检出</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742" w:type="pct"/>
                  <w:vMerge w:val="continue"/>
                  <w:noWrap w:val="0"/>
                  <w:vAlign w:val="top"/>
                </w:tcPr>
                <w:p>
                  <w:pPr>
                    <w:jc w:val="center"/>
                    <w:rPr>
                      <w:sz w:val="22"/>
                      <w:szCs w:val="22"/>
                    </w:rPr>
                  </w:pPr>
                </w:p>
              </w:tc>
              <w:tc>
                <w:tcPr>
                  <w:tcW w:w="931" w:type="pct"/>
                  <w:vMerge w:val="continue"/>
                  <w:noWrap w:val="0"/>
                  <w:vAlign w:val="top"/>
                </w:tcPr>
                <w:p>
                  <w:pPr>
                    <w:jc w:val="center"/>
                    <w:rPr>
                      <w:sz w:val="22"/>
                      <w:szCs w:val="22"/>
                    </w:rPr>
                  </w:pPr>
                </w:p>
              </w:tc>
              <w:tc>
                <w:tcPr>
                  <w:tcW w:w="1341" w:type="pct"/>
                  <w:noWrap w:val="0"/>
                  <w:vAlign w:val="center"/>
                </w:tcPr>
                <w:p>
                  <w:pPr>
                    <w:jc w:val="center"/>
                    <w:rPr>
                      <w:sz w:val="22"/>
                      <w:szCs w:val="22"/>
                    </w:rPr>
                  </w:pPr>
                  <w:r>
                    <w:rPr>
                      <w:sz w:val="22"/>
                      <w:szCs w:val="22"/>
                    </w:rPr>
                    <w:t>硝基苯</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未检出</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742" w:type="pct"/>
                  <w:vMerge w:val="continue"/>
                  <w:noWrap w:val="0"/>
                  <w:vAlign w:val="top"/>
                </w:tcPr>
                <w:p>
                  <w:pPr>
                    <w:jc w:val="center"/>
                    <w:rPr>
                      <w:sz w:val="22"/>
                      <w:szCs w:val="22"/>
                    </w:rPr>
                  </w:pPr>
                </w:p>
              </w:tc>
              <w:tc>
                <w:tcPr>
                  <w:tcW w:w="931" w:type="pct"/>
                  <w:vMerge w:val="continue"/>
                  <w:noWrap w:val="0"/>
                  <w:vAlign w:val="top"/>
                </w:tcPr>
                <w:p>
                  <w:pPr>
                    <w:jc w:val="center"/>
                    <w:rPr>
                      <w:sz w:val="22"/>
                      <w:szCs w:val="22"/>
                    </w:rPr>
                  </w:pPr>
                </w:p>
              </w:tc>
              <w:tc>
                <w:tcPr>
                  <w:tcW w:w="1341" w:type="pct"/>
                  <w:noWrap w:val="0"/>
                  <w:vAlign w:val="center"/>
                </w:tcPr>
                <w:p>
                  <w:pPr>
                    <w:jc w:val="center"/>
                    <w:rPr>
                      <w:sz w:val="22"/>
                      <w:szCs w:val="22"/>
                    </w:rPr>
                  </w:pPr>
                  <w:r>
                    <w:rPr>
                      <w:sz w:val="22"/>
                      <w:szCs w:val="22"/>
                    </w:rPr>
                    <w:t>2-氯苯酚</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未检出</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742" w:type="pct"/>
                  <w:vMerge w:val="continue"/>
                  <w:noWrap w:val="0"/>
                  <w:vAlign w:val="top"/>
                </w:tcPr>
                <w:p>
                  <w:pPr>
                    <w:jc w:val="center"/>
                    <w:rPr>
                      <w:sz w:val="22"/>
                      <w:szCs w:val="22"/>
                    </w:rPr>
                  </w:pPr>
                </w:p>
              </w:tc>
              <w:tc>
                <w:tcPr>
                  <w:tcW w:w="931" w:type="pct"/>
                  <w:vMerge w:val="continue"/>
                  <w:noWrap w:val="0"/>
                  <w:vAlign w:val="top"/>
                </w:tcPr>
                <w:p>
                  <w:pPr>
                    <w:jc w:val="center"/>
                    <w:rPr>
                      <w:sz w:val="22"/>
                      <w:szCs w:val="22"/>
                    </w:rPr>
                  </w:pPr>
                </w:p>
              </w:tc>
              <w:tc>
                <w:tcPr>
                  <w:tcW w:w="1341" w:type="pct"/>
                  <w:noWrap w:val="0"/>
                  <w:vAlign w:val="center"/>
                </w:tcPr>
                <w:p>
                  <w:pPr>
                    <w:autoSpaceDE w:val="0"/>
                    <w:autoSpaceDN w:val="0"/>
                    <w:adjustRightInd w:val="0"/>
                    <w:jc w:val="center"/>
                    <w:rPr>
                      <w:sz w:val="22"/>
                      <w:szCs w:val="22"/>
                    </w:rPr>
                  </w:pPr>
                  <w:r>
                    <w:rPr>
                      <w:sz w:val="22"/>
                      <w:szCs w:val="22"/>
                    </w:rPr>
                    <w:t>苯并[a]蒽</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未检出</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742" w:type="pct"/>
                  <w:vMerge w:val="continue"/>
                  <w:noWrap w:val="0"/>
                  <w:vAlign w:val="top"/>
                </w:tcPr>
                <w:p>
                  <w:pPr>
                    <w:jc w:val="center"/>
                    <w:rPr>
                      <w:sz w:val="22"/>
                      <w:szCs w:val="22"/>
                    </w:rPr>
                  </w:pPr>
                </w:p>
              </w:tc>
              <w:tc>
                <w:tcPr>
                  <w:tcW w:w="931" w:type="pct"/>
                  <w:vMerge w:val="continue"/>
                  <w:noWrap w:val="0"/>
                  <w:vAlign w:val="top"/>
                </w:tcPr>
                <w:p>
                  <w:pPr>
                    <w:jc w:val="center"/>
                    <w:rPr>
                      <w:sz w:val="22"/>
                      <w:szCs w:val="22"/>
                    </w:rPr>
                  </w:pPr>
                </w:p>
              </w:tc>
              <w:tc>
                <w:tcPr>
                  <w:tcW w:w="1341" w:type="pct"/>
                  <w:noWrap w:val="0"/>
                  <w:vAlign w:val="center"/>
                </w:tcPr>
                <w:p>
                  <w:pPr>
                    <w:autoSpaceDE w:val="0"/>
                    <w:autoSpaceDN w:val="0"/>
                    <w:adjustRightInd w:val="0"/>
                    <w:jc w:val="center"/>
                    <w:rPr>
                      <w:sz w:val="22"/>
                      <w:szCs w:val="22"/>
                    </w:rPr>
                  </w:pPr>
                  <w:r>
                    <w:rPr>
                      <w:sz w:val="22"/>
                      <w:szCs w:val="22"/>
                    </w:rPr>
                    <w:t>苯并[a]芘</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未检出</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742" w:type="pct"/>
                  <w:vMerge w:val="continue"/>
                  <w:noWrap w:val="0"/>
                  <w:vAlign w:val="top"/>
                </w:tcPr>
                <w:p>
                  <w:pPr>
                    <w:jc w:val="center"/>
                    <w:rPr>
                      <w:sz w:val="22"/>
                      <w:szCs w:val="22"/>
                    </w:rPr>
                  </w:pPr>
                </w:p>
              </w:tc>
              <w:tc>
                <w:tcPr>
                  <w:tcW w:w="931" w:type="pct"/>
                  <w:vMerge w:val="continue"/>
                  <w:noWrap w:val="0"/>
                  <w:vAlign w:val="top"/>
                </w:tcPr>
                <w:p>
                  <w:pPr>
                    <w:jc w:val="center"/>
                    <w:rPr>
                      <w:sz w:val="22"/>
                      <w:szCs w:val="22"/>
                    </w:rPr>
                  </w:pPr>
                </w:p>
              </w:tc>
              <w:tc>
                <w:tcPr>
                  <w:tcW w:w="1341" w:type="pct"/>
                  <w:noWrap w:val="0"/>
                  <w:vAlign w:val="center"/>
                </w:tcPr>
                <w:p>
                  <w:pPr>
                    <w:autoSpaceDE w:val="0"/>
                    <w:autoSpaceDN w:val="0"/>
                    <w:adjustRightInd w:val="0"/>
                    <w:jc w:val="center"/>
                    <w:rPr>
                      <w:sz w:val="22"/>
                      <w:szCs w:val="22"/>
                    </w:rPr>
                  </w:pPr>
                  <w:r>
                    <w:rPr>
                      <w:sz w:val="22"/>
                      <w:szCs w:val="22"/>
                    </w:rPr>
                    <w:t>苯并[b]荧蒽</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未检出</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742" w:type="pct"/>
                  <w:vMerge w:val="continue"/>
                  <w:noWrap w:val="0"/>
                  <w:vAlign w:val="top"/>
                </w:tcPr>
                <w:p>
                  <w:pPr>
                    <w:jc w:val="center"/>
                    <w:rPr>
                      <w:sz w:val="22"/>
                      <w:szCs w:val="22"/>
                    </w:rPr>
                  </w:pPr>
                </w:p>
              </w:tc>
              <w:tc>
                <w:tcPr>
                  <w:tcW w:w="931" w:type="pct"/>
                  <w:vMerge w:val="continue"/>
                  <w:noWrap w:val="0"/>
                  <w:vAlign w:val="top"/>
                </w:tcPr>
                <w:p>
                  <w:pPr>
                    <w:jc w:val="center"/>
                    <w:rPr>
                      <w:sz w:val="22"/>
                      <w:szCs w:val="22"/>
                    </w:rPr>
                  </w:pPr>
                </w:p>
              </w:tc>
              <w:tc>
                <w:tcPr>
                  <w:tcW w:w="1341" w:type="pct"/>
                  <w:noWrap w:val="0"/>
                  <w:vAlign w:val="center"/>
                </w:tcPr>
                <w:p>
                  <w:pPr>
                    <w:autoSpaceDE w:val="0"/>
                    <w:autoSpaceDN w:val="0"/>
                    <w:adjustRightInd w:val="0"/>
                    <w:jc w:val="center"/>
                    <w:rPr>
                      <w:sz w:val="22"/>
                      <w:szCs w:val="22"/>
                    </w:rPr>
                  </w:pPr>
                  <w:r>
                    <w:rPr>
                      <w:sz w:val="22"/>
                      <w:szCs w:val="22"/>
                    </w:rPr>
                    <w:t>苯并[k]荧蒽</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未检出</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742" w:type="pct"/>
                  <w:vMerge w:val="continue"/>
                  <w:noWrap w:val="0"/>
                  <w:vAlign w:val="center"/>
                </w:tcPr>
                <w:p>
                  <w:pPr>
                    <w:jc w:val="center"/>
                    <w:rPr>
                      <w:sz w:val="22"/>
                      <w:szCs w:val="22"/>
                    </w:rPr>
                  </w:pPr>
                </w:p>
              </w:tc>
              <w:tc>
                <w:tcPr>
                  <w:tcW w:w="931" w:type="pct"/>
                  <w:vMerge w:val="continue"/>
                  <w:noWrap w:val="0"/>
                  <w:vAlign w:val="center"/>
                </w:tcPr>
                <w:p>
                  <w:pPr>
                    <w:jc w:val="center"/>
                    <w:rPr>
                      <w:sz w:val="22"/>
                      <w:szCs w:val="22"/>
                    </w:rPr>
                  </w:pPr>
                </w:p>
              </w:tc>
              <w:tc>
                <w:tcPr>
                  <w:tcW w:w="1341" w:type="pct"/>
                  <w:noWrap w:val="0"/>
                  <w:vAlign w:val="center"/>
                </w:tcPr>
                <w:p>
                  <w:pPr>
                    <w:autoSpaceDE w:val="0"/>
                    <w:autoSpaceDN w:val="0"/>
                    <w:adjustRightInd w:val="0"/>
                    <w:jc w:val="center"/>
                    <w:rPr>
                      <w:sz w:val="22"/>
                      <w:szCs w:val="22"/>
                    </w:rPr>
                  </w:pPr>
                  <w:r>
                    <w:rPr>
                      <w:sz w:val="22"/>
                      <w:szCs w:val="22"/>
                    </w:rPr>
                    <w:t>䓛</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未检出</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742" w:type="pct"/>
                  <w:vMerge w:val="continue"/>
                  <w:noWrap w:val="0"/>
                  <w:vAlign w:val="top"/>
                </w:tcPr>
                <w:p>
                  <w:pPr>
                    <w:jc w:val="center"/>
                    <w:rPr>
                      <w:sz w:val="22"/>
                      <w:szCs w:val="22"/>
                    </w:rPr>
                  </w:pPr>
                </w:p>
              </w:tc>
              <w:tc>
                <w:tcPr>
                  <w:tcW w:w="931" w:type="pct"/>
                  <w:vMerge w:val="continue"/>
                  <w:noWrap w:val="0"/>
                  <w:vAlign w:val="top"/>
                </w:tcPr>
                <w:p>
                  <w:pPr>
                    <w:jc w:val="center"/>
                    <w:rPr>
                      <w:sz w:val="22"/>
                      <w:szCs w:val="22"/>
                    </w:rPr>
                  </w:pPr>
                </w:p>
              </w:tc>
              <w:tc>
                <w:tcPr>
                  <w:tcW w:w="1341" w:type="pct"/>
                  <w:noWrap w:val="0"/>
                  <w:vAlign w:val="center"/>
                </w:tcPr>
                <w:p>
                  <w:pPr>
                    <w:autoSpaceDE w:val="0"/>
                    <w:autoSpaceDN w:val="0"/>
                    <w:adjustRightInd w:val="0"/>
                    <w:jc w:val="center"/>
                    <w:rPr>
                      <w:sz w:val="22"/>
                      <w:szCs w:val="22"/>
                    </w:rPr>
                  </w:pPr>
                  <w:r>
                    <w:rPr>
                      <w:sz w:val="22"/>
                      <w:szCs w:val="22"/>
                    </w:rPr>
                    <w:t>二苯并[a,h]蒽</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未检出</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742" w:type="pct"/>
                  <w:vMerge w:val="continue"/>
                  <w:noWrap w:val="0"/>
                  <w:vAlign w:val="top"/>
                </w:tcPr>
                <w:p>
                  <w:pPr>
                    <w:jc w:val="center"/>
                    <w:rPr>
                      <w:sz w:val="22"/>
                      <w:szCs w:val="22"/>
                    </w:rPr>
                  </w:pPr>
                </w:p>
              </w:tc>
              <w:tc>
                <w:tcPr>
                  <w:tcW w:w="931" w:type="pct"/>
                  <w:vMerge w:val="continue"/>
                  <w:noWrap w:val="0"/>
                  <w:vAlign w:val="top"/>
                </w:tcPr>
                <w:p>
                  <w:pPr>
                    <w:jc w:val="center"/>
                    <w:rPr>
                      <w:sz w:val="22"/>
                      <w:szCs w:val="22"/>
                    </w:rPr>
                  </w:pPr>
                </w:p>
              </w:tc>
              <w:tc>
                <w:tcPr>
                  <w:tcW w:w="1341" w:type="pct"/>
                  <w:noWrap w:val="0"/>
                  <w:vAlign w:val="center"/>
                </w:tcPr>
                <w:p>
                  <w:pPr>
                    <w:autoSpaceDE w:val="0"/>
                    <w:autoSpaceDN w:val="0"/>
                    <w:adjustRightInd w:val="0"/>
                    <w:jc w:val="center"/>
                    <w:rPr>
                      <w:sz w:val="22"/>
                      <w:szCs w:val="22"/>
                    </w:rPr>
                  </w:pPr>
                  <w:r>
                    <w:rPr>
                      <w:sz w:val="22"/>
                      <w:szCs w:val="22"/>
                    </w:rPr>
                    <w:t>茚并[1,2,3-cd]芘</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未检出</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742" w:type="pct"/>
                  <w:vMerge w:val="continue"/>
                  <w:noWrap w:val="0"/>
                  <w:vAlign w:val="top"/>
                </w:tcPr>
                <w:p>
                  <w:pPr>
                    <w:jc w:val="center"/>
                    <w:rPr>
                      <w:sz w:val="22"/>
                      <w:szCs w:val="22"/>
                    </w:rPr>
                  </w:pPr>
                </w:p>
              </w:tc>
              <w:tc>
                <w:tcPr>
                  <w:tcW w:w="931" w:type="pct"/>
                  <w:vMerge w:val="continue"/>
                  <w:noWrap w:val="0"/>
                  <w:vAlign w:val="top"/>
                </w:tcPr>
                <w:p>
                  <w:pPr>
                    <w:jc w:val="center"/>
                    <w:rPr>
                      <w:sz w:val="22"/>
                      <w:szCs w:val="22"/>
                    </w:rPr>
                  </w:pPr>
                </w:p>
              </w:tc>
              <w:tc>
                <w:tcPr>
                  <w:tcW w:w="1341" w:type="pct"/>
                  <w:noWrap w:val="0"/>
                  <w:vAlign w:val="center"/>
                </w:tcPr>
                <w:p>
                  <w:pPr>
                    <w:autoSpaceDE w:val="0"/>
                    <w:autoSpaceDN w:val="0"/>
                    <w:adjustRightInd w:val="0"/>
                    <w:jc w:val="center"/>
                    <w:rPr>
                      <w:sz w:val="22"/>
                      <w:szCs w:val="22"/>
                    </w:rPr>
                  </w:pPr>
                  <w:r>
                    <w:rPr>
                      <w:sz w:val="22"/>
                      <w:szCs w:val="22"/>
                    </w:rPr>
                    <w:t>萘</w:t>
                  </w:r>
                </w:p>
              </w:tc>
              <w:tc>
                <w:tcPr>
                  <w:tcW w:w="579" w:type="pct"/>
                  <w:noWrap w:val="0"/>
                  <w:vAlign w:val="center"/>
                </w:tcPr>
                <w:p>
                  <w:pPr>
                    <w:jc w:val="center"/>
                    <w:rPr>
                      <w:sz w:val="22"/>
                      <w:szCs w:val="22"/>
                    </w:rPr>
                  </w:pPr>
                  <w:r>
                    <w:rPr>
                      <w:sz w:val="22"/>
                      <w:szCs w:val="22"/>
                    </w:rPr>
                    <w:t>mg/kg</w:t>
                  </w:r>
                </w:p>
              </w:tc>
              <w:tc>
                <w:tcPr>
                  <w:tcW w:w="1407" w:type="pct"/>
                  <w:noWrap w:val="0"/>
                  <w:vAlign w:val="center"/>
                </w:tcPr>
                <w:p>
                  <w:pPr>
                    <w:jc w:val="center"/>
                    <w:rPr>
                      <w:sz w:val="22"/>
                      <w:szCs w:val="22"/>
                    </w:rPr>
                  </w:pPr>
                  <w:r>
                    <w:rPr>
                      <w:sz w:val="22"/>
                      <w:szCs w:val="22"/>
                    </w:rPr>
                    <w:t>未检出</w:t>
                  </w:r>
                </w:p>
              </w:tc>
            </w:tr>
          </w:tbl>
          <w:p>
            <w:pPr>
              <w:pStyle w:val="2"/>
              <w:spacing w:before="120" w:beforeLines="50" w:after="0" w:line="360" w:lineRule="auto"/>
              <w:ind w:right="0" w:firstLine="480" w:firstLineChars="200"/>
              <w:rPr>
                <w:sz w:val="24"/>
                <w:szCs w:val="28"/>
              </w:rPr>
            </w:pPr>
            <w:r>
              <w:rPr>
                <w:sz w:val="24"/>
                <w:szCs w:val="28"/>
              </w:rPr>
              <w:t>本项目评价区域内1#点位各项检测指标（除无标准指标外）均能满足《土壤环境质量 建设用地土壤污染风险管控标准（试行）》（GB36600-2018）筛选值第二类用地标准限值。</w:t>
            </w:r>
          </w:p>
          <w:p>
            <w:pPr>
              <w:adjustRightInd w:val="0"/>
              <w:snapToGrid w:val="0"/>
              <w:spacing w:line="360" w:lineRule="auto"/>
              <w:jc w:val="left"/>
              <w:rPr>
                <w:b/>
                <w:kern w:val="0"/>
                <w:sz w:val="24"/>
              </w:rPr>
            </w:pPr>
            <w:r>
              <w:rPr>
                <w:b/>
                <w:kern w:val="0"/>
                <w:sz w:val="24"/>
              </w:rPr>
              <w:t>6、生态环境</w:t>
            </w:r>
          </w:p>
          <w:p>
            <w:pPr>
              <w:adjustRightInd w:val="0"/>
              <w:snapToGrid w:val="0"/>
              <w:spacing w:line="360" w:lineRule="auto"/>
              <w:ind w:firstLine="480" w:firstLineChars="200"/>
              <w:rPr>
                <w:kern w:val="0"/>
                <w:szCs w:val="21"/>
              </w:rPr>
            </w:pPr>
            <w:r>
              <w:rPr>
                <w:sz w:val="24"/>
              </w:rPr>
              <w:t>本项目位于达州市通川区双龙镇，自然植被少，主要为人工种植的花草树木，人类活动频繁，生态环境质量现状总体尚好。另外，项目区内无大型野生动物及</w:t>
            </w:r>
            <w:r>
              <w:rPr>
                <w:rFonts w:hint="eastAsia"/>
                <w:sz w:val="24"/>
              </w:rPr>
              <w:t>古代</w:t>
            </w:r>
            <w:r>
              <w:rPr>
                <w:sz w:val="24"/>
              </w:rPr>
              <w:t>珍稀植物，无特殊文物保护单位。因此，区域生态系统敏感程度低。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2" w:hRule="atLeast"/>
          <w:jc w:val="center"/>
        </w:trPr>
        <w:tc>
          <w:tcPr>
            <w:tcW w:w="396" w:type="pct"/>
            <w:noWrap w:val="0"/>
            <w:vAlign w:val="center"/>
          </w:tcPr>
          <w:p>
            <w:pPr>
              <w:adjustRightInd w:val="0"/>
              <w:snapToGrid w:val="0"/>
              <w:jc w:val="center"/>
              <w:rPr>
                <w:kern w:val="0"/>
                <w:szCs w:val="21"/>
              </w:rPr>
            </w:pPr>
            <w:r>
              <w:rPr>
                <w:kern w:val="0"/>
                <w:szCs w:val="21"/>
              </w:rPr>
              <w:t>环境</w:t>
            </w:r>
          </w:p>
          <w:p>
            <w:pPr>
              <w:adjustRightInd w:val="0"/>
              <w:snapToGrid w:val="0"/>
              <w:jc w:val="center"/>
              <w:rPr>
                <w:kern w:val="0"/>
                <w:szCs w:val="21"/>
              </w:rPr>
            </w:pPr>
            <w:r>
              <w:rPr>
                <w:kern w:val="0"/>
                <w:szCs w:val="21"/>
              </w:rPr>
              <w:t>保护</w:t>
            </w:r>
          </w:p>
          <w:p>
            <w:pPr>
              <w:adjustRightInd w:val="0"/>
              <w:snapToGrid w:val="0"/>
              <w:jc w:val="center"/>
              <w:rPr>
                <w:kern w:val="0"/>
                <w:szCs w:val="21"/>
              </w:rPr>
            </w:pPr>
            <w:r>
              <w:rPr>
                <w:kern w:val="0"/>
                <w:szCs w:val="21"/>
              </w:rPr>
              <w:t>目标</w:t>
            </w:r>
          </w:p>
        </w:tc>
        <w:tc>
          <w:tcPr>
            <w:tcW w:w="4604" w:type="pct"/>
            <w:noWrap w:val="0"/>
            <w:vAlign w:val="center"/>
          </w:tcPr>
          <w:p>
            <w:pPr>
              <w:adjustRightInd w:val="0"/>
              <w:snapToGrid w:val="0"/>
              <w:spacing w:line="360" w:lineRule="auto"/>
              <w:ind w:firstLine="480" w:firstLineChars="200"/>
              <w:rPr>
                <w:sz w:val="24"/>
                <w:szCs w:val="28"/>
              </w:rPr>
            </w:pPr>
            <w:r>
              <w:rPr>
                <w:sz w:val="24"/>
                <w:szCs w:val="28"/>
              </w:rPr>
              <w:t>按照《建设项目环境影响报告表编制技术指南 污染影响》的要求，大气环境应明确厂界外500m范围内的环境保护目标；声环境应厂界外50m范围内的环境保护目标。本项目不涉及地下水环境保护目标；项目不涉及生态保护目标。</w:t>
            </w:r>
          </w:p>
          <w:p>
            <w:pPr>
              <w:adjustRightInd w:val="0"/>
              <w:snapToGrid w:val="0"/>
              <w:spacing w:line="360" w:lineRule="auto"/>
              <w:ind w:firstLine="482" w:firstLineChars="200"/>
              <w:rPr>
                <w:b/>
                <w:bCs/>
                <w:sz w:val="24"/>
                <w:szCs w:val="28"/>
              </w:rPr>
            </w:pPr>
            <w:r>
              <w:rPr>
                <w:b/>
                <w:bCs/>
                <w:sz w:val="24"/>
                <w:szCs w:val="28"/>
              </w:rPr>
              <w:t>1、地表水环境保护目标及级别</w:t>
            </w:r>
          </w:p>
          <w:p>
            <w:pPr>
              <w:adjustRightInd w:val="0"/>
              <w:snapToGrid w:val="0"/>
              <w:spacing w:line="360" w:lineRule="auto"/>
              <w:ind w:firstLine="480" w:firstLineChars="200"/>
              <w:rPr>
                <w:sz w:val="24"/>
                <w:szCs w:val="28"/>
              </w:rPr>
            </w:pPr>
            <w:r>
              <w:rPr>
                <w:sz w:val="24"/>
                <w:szCs w:val="28"/>
              </w:rPr>
              <w:t>本项目地表水环境保护目标为东柳河，其水质执行《地表水环境质量标准》（GB3838-2002）Ⅲ类水域标准要求。</w:t>
            </w:r>
          </w:p>
          <w:p>
            <w:pPr>
              <w:adjustRightInd w:val="0"/>
              <w:snapToGrid w:val="0"/>
              <w:spacing w:line="360" w:lineRule="auto"/>
              <w:ind w:firstLine="482" w:firstLineChars="200"/>
              <w:rPr>
                <w:b/>
                <w:bCs/>
                <w:sz w:val="24"/>
                <w:szCs w:val="28"/>
              </w:rPr>
            </w:pPr>
            <w:r>
              <w:rPr>
                <w:b/>
                <w:bCs/>
                <w:sz w:val="24"/>
                <w:szCs w:val="28"/>
              </w:rPr>
              <w:t>2、大气环境保护目标及级别</w:t>
            </w:r>
          </w:p>
          <w:p>
            <w:pPr>
              <w:adjustRightInd w:val="0"/>
              <w:snapToGrid w:val="0"/>
              <w:spacing w:line="360" w:lineRule="auto"/>
              <w:ind w:firstLine="480" w:firstLineChars="200"/>
              <w:rPr>
                <w:sz w:val="24"/>
                <w:szCs w:val="28"/>
              </w:rPr>
            </w:pPr>
            <w:r>
              <w:rPr>
                <w:sz w:val="24"/>
                <w:szCs w:val="28"/>
              </w:rPr>
              <w:t>本项目大气环境保护目标为厂界外500m范围内的住户、学校和企事业单位等，大气环境保护目标及区域大气环境执行《环境空气质量标准》（GB3095-2012）二级标准限值要求。</w:t>
            </w:r>
          </w:p>
          <w:p>
            <w:pPr>
              <w:adjustRightInd w:val="0"/>
              <w:snapToGrid w:val="0"/>
              <w:spacing w:line="360" w:lineRule="auto"/>
              <w:ind w:firstLine="482" w:firstLineChars="200"/>
              <w:rPr>
                <w:b/>
                <w:bCs/>
                <w:sz w:val="24"/>
                <w:szCs w:val="28"/>
              </w:rPr>
            </w:pPr>
            <w:r>
              <w:rPr>
                <w:b/>
                <w:bCs/>
                <w:sz w:val="24"/>
                <w:szCs w:val="28"/>
              </w:rPr>
              <w:t>3、声环境保护目标及级别</w:t>
            </w:r>
          </w:p>
          <w:p>
            <w:pPr>
              <w:adjustRightInd w:val="0"/>
              <w:snapToGrid w:val="0"/>
              <w:spacing w:line="360" w:lineRule="auto"/>
              <w:ind w:firstLine="480" w:firstLineChars="200"/>
              <w:rPr>
                <w:sz w:val="24"/>
                <w:szCs w:val="28"/>
              </w:rPr>
            </w:pPr>
            <w:r>
              <w:rPr>
                <w:sz w:val="24"/>
                <w:szCs w:val="28"/>
              </w:rPr>
              <w:t>本项目声环境保护目标为厂界外50m范围内的住户、学校和企事业单位等，区域声环境执行《声环境质量标准》（GB3096-2008）中2类标准要求。</w:t>
            </w:r>
          </w:p>
          <w:p>
            <w:pPr>
              <w:adjustRightInd w:val="0"/>
              <w:snapToGrid w:val="0"/>
              <w:spacing w:line="360" w:lineRule="auto"/>
              <w:ind w:firstLine="482" w:firstLineChars="200"/>
              <w:rPr>
                <w:b/>
                <w:bCs/>
                <w:sz w:val="24"/>
                <w:szCs w:val="28"/>
              </w:rPr>
            </w:pPr>
            <w:r>
              <w:rPr>
                <w:b/>
                <w:bCs/>
                <w:sz w:val="24"/>
                <w:szCs w:val="28"/>
              </w:rPr>
              <w:t>4、地下水环境保护目标及级别</w:t>
            </w:r>
          </w:p>
          <w:p>
            <w:pPr>
              <w:adjustRightInd w:val="0"/>
              <w:snapToGrid w:val="0"/>
              <w:spacing w:line="360" w:lineRule="auto"/>
              <w:ind w:firstLine="480" w:firstLineChars="200"/>
              <w:rPr>
                <w:sz w:val="24"/>
                <w:szCs w:val="28"/>
              </w:rPr>
            </w:pPr>
            <w:r>
              <w:rPr>
                <w:sz w:val="24"/>
                <w:szCs w:val="28"/>
              </w:rPr>
              <w:t>本项目厂界外500m范围内无地下水集中式饮用水源和热水、矿泉水、温泉等特殊地下水资源，区域地下水环境执行《地下水质量标准》（GB/T14848-2017）中III 类标准要求。</w:t>
            </w:r>
          </w:p>
          <w:p>
            <w:pPr>
              <w:adjustRightInd w:val="0"/>
              <w:snapToGrid w:val="0"/>
              <w:spacing w:line="360" w:lineRule="auto"/>
              <w:ind w:firstLine="482" w:firstLineChars="200"/>
              <w:rPr>
                <w:b/>
                <w:bCs/>
                <w:sz w:val="24"/>
                <w:szCs w:val="28"/>
              </w:rPr>
            </w:pPr>
            <w:r>
              <w:rPr>
                <w:b/>
                <w:bCs/>
                <w:sz w:val="24"/>
                <w:szCs w:val="28"/>
              </w:rPr>
              <w:t>5、生态环境保护目标</w:t>
            </w:r>
          </w:p>
          <w:p>
            <w:pPr>
              <w:adjustRightInd w:val="0"/>
              <w:snapToGrid w:val="0"/>
              <w:spacing w:line="360" w:lineRule="auto"/>
              <w:ind w:firstLine="480" w:firstLineChars="200"/>
              <w:rPr>
                <w:sz w:val="24"/>
                <w:szCs w:val="28"/>
              </w:rPr>
            </w:pPr>
            <w:r>
              <w:rPr>
                <w:sz w:val="24"/>
                <w:szCs w:val="28"/>
              </w:rPr>
              <w:t>项目所在地现状为城市环境，人为活动频繁，建设用地范围内及周边区域无生态环境保护目标。本项目具体环境保护目标见下表：</w:t>
            </w:r>
          </w:p>
          <w:p>
            <w:pPr>
              <w:widowControl/>
              <w:spacing w:line="276" w:lineRule="auto"/>
              <w:ind w:firstLine="480" w:firstLineChars="200"/>
              <w:jc w:val="center"/>
              <w:rPr>
                <w:rFonts w:eastAsia="黑体"/>
                <w:kern w:val="0"/>
                <w:sz w:val="24"/>
                <w:lang w:bidi="ar"/>
              </w:rPr>
            </w:pPr>
            <w:r>
              <w:rPr>
                <w:rFonts w:eastAsia="黑体"/>
                <w:kern w:val="0"/>
                <w:sz w:val="24"/>
                <w:lang w:bidi="ar"/>
              </w:rPr>
              <w:t>表3-10    项目主要环境保护目标一览表</w:t>
            </w:r>
          </w:p>
          <w:tbl>
            <w:tblPr>
              <w:tblStyle w:val="32"/>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18"/>
              <w:gridCol w:w="1936"/>
              <w:gridCol w:w="558"/>
              <w:gridCol w:w="1113"/>
              <w:gridCol w:w="1726"/>
              <w:gridCol w:w="187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565" w:type="pct"/>
                  <w:shd w:val="clear" w:color="auto" w:fill="CCFFFF"/>
                  <w:noWrap w:val="0"/>
                  <w:vAlign w:val="center"/>
                </w:tcPr>
                <w:p>
                  <w:pPr>
                    <w:autoSpaceDE w:val="0"/>
                    <w:autoSpaceDN w:val="0"/>
                    <w:adjustRightInd w:val="0"/>
                    <w:jc w:val="center"/>
                    <w:rPr>
                      <w:b/>
                      <w:kern w:val="0"/>
                      <w:szCs w:val="21"/>
                    </w:rPr>
                  </w:pPr>
                  <w:r>
                    <w:rPr>
                      <w:b/>
                      <w:kern w:val="0"/>
                      <w:szCs w:val="21"/>
                      <w:lang w:bidi="ar"/>
                    </w:rPr>
                    <w:t>环境要素</w:t>
                  </w:r>
                </w:p>
              </w:tc>
              <w:tc>
                <w:tcPr>
                  <w:tcW w:w="1191" w:type="pct"/>
                  <w:shd w:val="clear" w:color="auto" w:fill="CCFFFF"/>
                  <w:noWrap w:val="0"/>
                  <w:vAlign w:val="center"/>
                </w:tcPr>
                <w:p>
                  <w:pPr>
                    <w:autoSpaceDE w:val="0"/>
                    <w:autoSpaceDN w:val="0"/>
                    <w:adjustRightInd w:val="0"/>
                    <w:jc w:val="center"/>
                    <w:rPr>
                      <w:b/>
                      <w:kern w:val="0"/>
                      <w:szCs w:val="21"/>
                    </w:rPr>
                  </w:pPr>
                  <w:r>
                    <w:rPr>
                      <w:b/>
                      <w:kern w:val="0"/>
                      <w:szCs w:val="21"/>
                      <w:lang w:bidi="ar"/>
                    </w:rPr>
                    <w:t>保护对象</w:t>
                  </w:r>
                </w:p>
              </w:tc>
              <w:tc>
                <w:tcPr>
                  <w:tcW w:w="343" w:type="pct"/>
                  <w:shd w:val="clear" w:color="auto" w:fill="CCFFFF"/>
                  <w:noWrap w:val="0"/>
                  <w:vAlign w:val="center"/>
                </w:tcPr>
                <w:p>
                  <w:pPr>
                    <w:autoSpaceDE w:val="0"/>
                    <w:autoSpaceDN w:val="0"/>
                    <w:adjustRightInd w:val="0"/>
                    <w:jc w:val="center"/>
                    <w:rPr>
                      <w:b/>
                      <w:kern w:val="0"/>
                      <w:szCs w:val="21"/>
                    </w:rPr>
                  </w:pPr>
                  <w:r>
                    <w:rPr>
                      <w:b/>
                      <w:kern w:val="0"/>
                      <w:szCs w:val="21"/>
                      <w:lang w:bidi="ar"/>
                    </w:rPr>
                    <w:t>方位</w:t>
                  </w:r>
                </w:p>
              </w:tc>
              <w:tc>
                <w:tcPr>
                  <w:tcW w:w="685" w:type="pct"/>
                  <w:shd w:val="clear" w:color="auto" w:fill="CCFFFF"/>
                  <w:noWrap w:val="0"/>
                  <w:vAlign w:val="center"/>
                </w:tcPr>
                <w:p>
                  <w:pPr>
                    <w:autoSpaceDE w:val="0"/>
                    <w:autoSpaceDN w:val="0"/>
                    <w:adjustRightInd w:val="0"/>
                    <w:jc w:val="center"/>
                    <w:rPr>
                      <w:b/>
                      <w:kern w:val="0"/>
                      <w:szCs w:val="21"/>
                    </w:rPr>
                  </w:pPr>
                  <w:r>
                    <w:rPr>
                      <w:b/>
                      <w:kern w:val="0"/>
                      <w:szCs w:val="21"/>
                      <w:lang w:bidi="ar"/>
                    </w:rPr>
                    <w:t>距离（m）</w:t>
                  </w:r>
                </w:p>
              </w:tc>
              <w:tc>
                <w:tcPr>
                  <w:tcW w:w="1062" w:type="pct"/>
                  <w:shd w:val="clear" w:color="auto" w:fill="CCFFFF"/>
                  <w:noWrap w:val="0"/>
                  <w:vAlign w:val="center"/>
                </w:tcPr>
                <w:p>
                  <w:pPr>
                    <w:autoSpaceDE w:val="0"/>
                    <w:autoSpaceDN w:val="0"/>
                    <w:adjustRightInd w:val="0"/>
                    <w:jc w:val="center"/>
                    <w:rPr>
                      <w:b/>
                      <w:kern w:val="0"/>
                      <w:szCs w:val="21"/>
                    </w:rPr>
                  </w:pPr>
                  <w:r>
                    <w:rPr>
                      <w:b/>
                      <w:kern w:val="0"/>
                      <w:szCs w:val="21"/>
                      <w:lang w:bidi="ar"/>
                    </w:rPr>
                    <w:t>概况</w:t>
                  </w:r>
                </w:p>
              </w:tc>
              <w:tc>
                <w:tcPr>
                  <w:tcW w:w="1154" w:type="pct"/>
                  <w:shd w:val="clear" w:color="auto" w:fill="CCFFFF"/>
                  <w:noWrap w:val="0"/>
                  <w:vAlign w:val="center"/>
                </w:tcPr>
                <w:p>
                  <w:pPr>
                    <w:autoSpaceDE w:val="0"/>
                    <w:autoSpaceDN w:val="0"/>
                    <w:adjustRightInd w:val="0"/>
                    <w:jc w:val="center"/>
                    <w:rPr>
                      <w:b/>
                      <w:kern w:val="0"/>
                      <w:szCs w:val="21"/>
                    </w:rPr>
                  </w:pPr>
                  <w:r>
                    <w:rPr>
                      <w:b/>
                      <w:kern w:val="0"/>
                      <w:szCs w:val="21"/>
                      <w:lang w:bidi="ar"/>
                    </w:rPr>
                    <w:t>保护级别</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565" w:type="pct"/>
                  <w:vMerge w:val="restart"/>
                  <w:noWrap w:val="0"/>
                  <w:vAlign w:val="center"/>
                </w:tcPr>
                <w:p>
                  <w:pPr>
                    <w:autoSpaceDE w:val="0"/>
                    <w:autoSpaceDN w:val="0"/>
                    <w:adjustRightInd w:val="0"/>
                    <w:jc w:val="center"/>
                    <w:rPr>
                      <w:b/>
                      <w:kern w:val="0"/>
                      <w:szCs w:val="21"/>
                      <w:lang w:bidi="ar"/>
                    </w:rPr>
                  </w:pPr>
                  <w:r>
                    <w:rPr>
                      <w:kern w:val="0"/>
                      <w:szCs w:val="21"/>
                      <w:lang w:bidi="ar"/>
                    </w:rPr>
                    <w:t>环境空气</w:t>
                  </w:r>
                </w:p>
              </w:tc>
              <w:tc>
                <w:tcPr>
                  <w:tcW w:w="1191" w:type="pct"/>
                  <w:noWrap w:val="0"/>
                  <w:vAlign w:val="center"/>
                </w:tcPr>
                <w:p>
                  <w:pPr>
                    <w:autoSpaceDE w:val="0"/>
                    <w:autoSpaceDN w:val="0"/>
                    <w:adjustRightInd w:val="0"/>
                    <w:jc w:val="center"/>
                    <w:rPr>
                      <w:bCs/>
                      <w:kern w:val="0"/>
                      <w:szCs w:val="21"/>
                      <w:lang w:bidi="ar"/>
                    </w:rPr>
                  </w:pPr>
                  <w:r>
                    <w:rPr>
                      <w:szCs w:val="21"/>
                    </w:rPr>
                    <w:t>散户居民1</w:t>
                  </w:r>
                </w:p>
              </w:tc>
              <w:tc>
                <w:tcPr>
                  <w:tcW w:w="343" w:type="pct"/>
                  <w:noWrap w:val="0"/>
                  <w:vAlign w:val="center"/>
                </w:tcPr>
                <w:p>
                  <w:pPr>
                    <w:autoSpaceDE w:val="0"/>
                    <w:autoSpaceDN w:val="0"/>
                    <w:adjustRightInd w:val="0"/>
                    <w:jc w:val="center"/>
                    <w:rPr>
                      <w:bCs/>
                      <w:kern w:val="0"/>
                      <w:szCs w:val="21"/>
                      <w:lang w:bidi="ar"/>
                    </w:rPr>
                  </w:pPr>
                  <w:r>
                    <w:rPr>
                      <w:szCs w:val="21"/>
                    </w:rPr>
                    <w:t>南</w:t>
                  </w:r>
                </w:p>
              </w:tc>
              <w:tc>
                <w:tcPr>
                  <w:tcW w:w="685" w:type="pct"/>
                  <w:noWrap w:val="0"/>
                  <w:vAlign w:val="center"/>
                </w:tcPr>
                <w:p>
                  <w:pPr>
                    <w:autoSpaceDE w:val="0"/>
                    <w:autoSpaceDN w:val="0"/>
                    <w:adjustRightInd w:val="0"/>
                    <w:jc w:val="center"/>
                    <w:rPr>
                      <w:bCs/>
                      <w:kern w:val="0"/>
                      <w:szCs w:val="21"/>
                      <w:lang w:bidi="ar"/>
                    </w:rPr>
                  </w:pPr>
                  <w:r>
                    <w:rPr>
                      <w:szCs w:val="21"/>
                    </w:rPr>
                    <w:t>48</w:t>
                  </w:r>
                </w:p>
              </w:tc>
              <w:tc>
                <w:tcPr>
                  <w:tcW w:w="1062" w:type="pct"/>
                  <w:noWrap w:val="0"/>
                  <w:vAlign w:val="center"/>
                </w:tcPr>
                <w:p>
                  <w:pPr>
                    <w:autoSpaceDE w:val="0"/>
                    <w:autoSpaceDN w:val="0"/>
                    <w:adjustRightInd w:val="0"/>
                    <w:jc w:val="center"/>
                    <w:rPr>
                      <w:bCs/>
                      <w:kern w:val="0"/>
                      <w:szCs w:val="21"/>
                      <w:lang w:bidi="ar"/>
                    </w:rPr>
                  </w:pPr>
                  <w:r>
                    <w:rPr>
                      <w:bCs/>
                      <w:kern w:val="0"/>
                      <w:szCs w:val="21"/>
                      <w:lang w:bidi="ar"/>
                    </w:rPr>
                    <w:t>1户，4人</w:t>
                  </w:r>
                </w:p>
              </w:tc>
              <w:tc>
                <w:tcPr>
                  <w:tcW w:w="1154" w:type="pct"/>
                  <w:vMerge w:val="restart"/>
                  <w:noWrap w:val="0"/>
                  <w:vAlign w:val="center"/>
                </w:tcPr>
                <w:p>
                  <w:pPr>
                    <w:autoSpaceDE w:val="0"/>
                    <w:autoSpaceDN w:val="0"/>
                    <w:adjustRightInd w:val="0"/>
                    <w:jc w:val="center"/>
                    <w:rPr>
                      <w:b/>
                      <w:kern w:val="0"/>
                      <w:szCs w:val="21"/>
                      <w:lang w:bidi="ar"/>
                    </w:rPr>
                  </w:pPr>
                  <w:r>
                    <w:rPr>
                      <w:kern w:val="0"/>
                      <w:szCs w:val="21"/>
                      <w:lang w:bidi="ar"/>
                    </w:rPr>
                    <w:t>《环境空气质量标准》（GB3095-2012）二级标准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565" w:type="pct"/>
                  <w:vMerge w:val="continue"/>
                  <w:noWrap w:val="0"/>
                  <w:vAlign w:val="center"/>
                </w:tcPr>
                <w:p>
                  <w:pPr>
                    <w:autoSpaceDE w:val="0"/>
                    <w:autoSpaceDN w:val="0"/>
                    <w:adjustRightInd w:val="0"/>
                    <w:jc w:val="center"/>
                    <w:rPr>
                      <w:b/>
                      <w:kern w:val="0"/>
                      <w:szCs w:val="21"/>
                      <w:lang w:bidi="ar"/>
                    </w:rPr>
                  </w:pPr>
                </w:p>
              </w:tc>
              <w:tc>
                <w:tcPr>
                  <w:tcW w:w="1191" w:type="pct"/>
                  <w:noWrap w:val="0"/>
                  <w:vAlign w:val="center"/>
                </w:tcPr>
                <w:p>
                  <w:pPr>
                    <w:autoSpaceDE w:val="0"/>
                    <w:autoSpaceDN w:val="0"/>
                    <w:adjustRightInd w:val="0"/>
                    <w:jc w:val="center"/>
                    <w:rPr>
                      <w:bCs/>
                      <w:kern w:val="0"/>
                      <w:szCs w:val="21"/>
                      <w:lang w:bidi="ar"/>
                    </w:rPr>
                  </w:pPr>
                  <w:r>
                    <w:rPr>
                      <w:szCs w:val="21"/>
                    </w:rPr>
                    <w:t>散户居民2</w:t>
                  </w:r>
                </w:p>
              </w:tc>
              <w:tc>
                <w:tcPr>
                  <w:tcW w:w="343" w:type="pct"/>
                  <w:noWrap w:val="0"/>
                  <w:vAlign w:val="center"/>
                </w:tcPr>
                <w:p>
                  <w:pPr>
                    <w:autoSpaceDE w:val="0"/>
                    <w:autoSpaceDN w:val="0"/>
                    <w:adjustRightInd w:val="0"/>
                    <w:jc w:val="center"/>
                    <w:rPr>
                      <w:bCs/>
                      <w:kern w:val="0"/>
                      <w:szCs w:val="21"/>
                      <w:lang w:bidi="ar"/>
                    </w:rPr>
                  </w:pPr>
                  <w:r>
                    <w:rPr>
                      <w:szCs w:val="21"/>
                    </w:rPr>
                    <w:t>西</w:t>
                  </w:r>
                </w:p>
              </w:tc>
              <w:tc>
                <w:tcPr>
                  <w:tcW w:w="685" w:type="pct"/>
                  <w:noWrap w:val="0"/>
                  <w:vAlign w:val="center"/>
                </w:tcPr>
                <w:p>
                  <w:pPr>
                    <w:autoSpaceDE w:val="0"/>
                    <w:autoSpaceDN w:val="0"/>
                    <w:adjustRightInd w:val="0"/>
                    <w:jc w:val="center"/>
                    <w:rPr>
                      <w:bCs/>
                      <w:kern w:val="0"/>
                      <w:szCs w:val="21"/>
                      <w:lang w:bidi="ar"/>
                    </w:rPr>
                  </w:pPr>
                  <w:r>
                    <w:rPr>
                      <w:szCs w:val="21"/>
                    </w:rPr>
                    <w:t>10</w:t>
                  </w:r>
                </w:p>
              </w:tc>
              <w:tc>
                <w:tcPr>
                  <w:tcW w:w="1062" w:type="pct"/>
                  <w:noWrap w:val="0"/>
                  <w:vAlign w:val="center"/>
                </w:tcPr>
                <w:p>
                  <w:pPr>
                    <w:autoSpaceDE w:val="0"/>
                    <w:autoSpaceDN w:val="0"/>
                    <w:adjustRightInd w:val="0"/>
                    <w:jc w:val="center"/>
                    <w:rPr>
                      <w:bCs/>
                      <w:kern w:val="0"/>
                      <w:szCs w:val="21"/>
                      <w:lang w:bidi="ar"/>
                    </w:rPr>
                  </w:pPr>
                  <w:r>
                    <w:rPr>
                      <w:bCs/>
                      <w:kern w:val="0"/>
                      <w:szCs w:val="21"/>
                      <w:lang w:bidi="ar"/>
                    </w:rPr>
                    <w:t>1户，2人</w:t>
                  </w:r>
                </w:p>
              </w:tc>
              <w:tc>
                <w:tcPr>
                  <w:tcW w:w="1154" w:type="pct"/>
                  <w:vMerge w:val="continue"/>
                  <w:noWrap w:val="0"/>
                  <w:vAlign w:val="center"/>
                </w:tcPr>
                <w:p>
                  <w:pPr>
                    <w:autoSpaceDE w:val="0"/>
                    <w:autoSpaceDN w:val="0"/>
                    <w:adjustRightInd w:val="0"/>
                    <w:jc w:val="center"/>
                    <w:rPr>
                      <w:b/>
                      <w:kern w:val="0"/>
                      <w:szCs w:val="21"/>
                      <w:lang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565" w:type="pct"/>
                  <w:vMerge w:val="continue"/>
                  <w:noWrap w:val="0"/>
                  <w:vAlign w:val="center"/>
                </w:tcPr>
                <w:p>
                  <w:pPr>
                    <w:autoSpaceDE w:val="0"/>
                    <w:autoSpaceDN w:val="0"/>
                    <w:adjustRightInd w:val="0"/>
                    <w:jc w:val="center"/>
                    <w:rPr>
                      <w:b/>
                      <w:kern w:val="0"/>
                      <w:szCs w:val="21"/>
                      <w:lang w:bidi="ar"/>
                    </w:rPr>
                  </w:pPr>
                </w:p>
              </w:tc>
              <w:tc>
                <w:tcPr>
                  <w:tcW w:w="1191" w:type="pct"/>
                  <w:noWrap w:val="0"/>
                  <w:vAlign w:val="center"/>
                </w:tcPr>
                <w:p>
                  <w:pPr>
                    <w:autoSpaceDE w:val="0"/>
                    <w:autoSpaceDN w:val="0"/>
                    <w:adjustRightInd w:val="0"/>
                    <w:jc w:val="center"/>
                    <w:rPr>
                      <w:bCs/>
                      <w:kern w:val="0"/>
                      <w:szCs w:val="21"/>
                      <w:lang w:bidi="ar"/>
                    </w:rPr>
                  </w:pPr>
                  <w:r>
                    <w:rPr>
                      <w:szCs w:val="21"/>
                    </w:rPr>
                    <w:t>散户居民3</w:t>
                  </w:r>
                </w:p>
              </w:tc>
              <w:tc>
                <w:tcPr>
                  <w:tcW w:w="343" w:type="pct"/>
                  <w:noWrap w:val="0"/>
                  <w:vAlign w:val="center"/>
                </w:tcPr>
                <w:p>
                  <w:pPr>
                    <w:autoSpaceDE w:val="0"/>
                    <w:autoSpaceDN w:val="0"/>
                    <w:adjustRightInd w:val="0"/>
                    <w:jc w:val="center"/>
                    <w:rPr>
                      <w:bCs/>
                      <w:kern w:val="0"/>
                      <w:szCs w:val="21"/>
                      <w:lang w:bidi="ar"/>
                    </w:rPr>
                  </w:pPr>
                  <w:r>
                    <w:rPr>
                      <w:szCs w:val="21"/>
                    </w:rPr>
                    <w:t>北</w:t>
                  </w:r>
                </w:p>
              </w:tc>
              <w:tc>
                <w:tcPr>
                  <w:tcW w:w="685" w:type="pct"/>
                  <w:noWrap w:val="0"/>
                  <w:vAlign w:val="center"/>
                </w:tcPr>
                <w:p>
                  <w:pPr>
                    <w:autoSpaceDE w:val="0"/>
                    <w:autoSpaceDN w:val="0"/>
                    <w:adjustRightInd w:val="0"/>
                    <w:jc w:val="center"/>
                    <w:rPr>
                      <w:bCs/>
                      <w:kern w:val="0"/>
                      <w:szCs w:val="21"/>
                      <w:lang w:bidi="ar"/>
                    </w:rPr>
                  </w:pPr>
                  <w:r>
                    <w:rPr>
                      <w:szCs w:val="21"/>
                    </w:rPr>
                    <w:t>38</w:t>
                  </w:r>
                </w:p>
              </w:tc>
              <w:tc>
                <w:tcPr>
                  <w:tcW w:w="1062" w:type="pct"/>
                  <w:noWrap w:val="0"/>
                  <w:vAlign w:val="center"/>
                </w:tcPr>
                <w:p>
                  <w:pPr>
                    <w:autoSpaceDE w:val="0"/>
                    <w:autoSpaceDN w:val="0"/>
                    <w:adjustRightInd w:val="0"/>
                    <w:jc w:val="center"/>
                    <w:rPr>
                      <w:bCs/>
                      <w:kern w:val="0"/>
                      <w:szCs w:val="21"/>
                      <w:lang w:bidi="ar"/>
                    </w:rPr>
                  </w:pPr>
                  <w:r>
                    <w:rPr>
                      <w:bCs/>
                      <w:kern w:val="0"/>
                      <w:szCs w:val="21"/>
                      <w:lang w:bidi="ar"/>
                    </w:rPr>
                    <w:t>3户，11人</w:t>
                  </w:r>
                </w:p>
              </w:tc>
              <w:tc>
                <w:tcPr>
                  <w:tcW w:w="1154" w:type="pct"/>
                  <w:vMerge w:val="continue"/>
                  <w:noWrap w:val="0"/>
                  <w:vAlign w:val="center"/>
                </w:tcPr>
                <w:p>
                  <w:pPr>
                    <w:autoSpaceDE w:val="0"/>
                    <w:autoSpaceDN w:val="0"/>
                    <w:adjustRightInd w:val="0"/>
                    <w:jc w:val="center"/>
                    <w:rPr>
                      <w:b/>
                      <w:kern w:val="0"/>
                      <w:szCs w:val="21"/>
                      <w:lang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565" w:type="pct"/>
                  <w:vMerge w:val="continue"/>
                  <w:noWrap w:val="0"/>
                  <w:vAlign w:val="center"/>
                </w:tcPr>
                <w:p>
                  <w:pPr>
                    <w:autoSpaceDE w:val="0"/>
                    <w:autoSpaceDN w:val="0"/>
                    <w:adjustRightInd w:val="0"/>
                    <w:jc w:val="center"/>
                    <w:rPr>
                      <w:b/>
                      <w:kern w:val="0"/>
                      <w:szCs w:val="21"/>
                      <w:lang w:bidi="ar"/>
                    </w:rPr>
                  </w:pPr>
                </w:p>
              </w:tc>
              <w:tc>
                <w:tcPr>
                  <w:tcW w:w="1191" w:type="pct"/>
                  <w:noWrap w:val="0"/>
                  <w:vAlign w:val="center"/>
                </w:tcPr>
                <w:p>
                  <w:pPr>
                    <w:autoSpaceDE w:val="0"/>
                    <w:autoSpaceDN w:val="0"/>
                    <w:adjustRightInd w:val="0"/>
                    <w:jc w:val="center"/>
                    <w:rPr>
                      <w:szCs w:val="21"/>
                    </w:rPr>
                  </w:pPr>
                  <w:r>
                    <w:rPr>
                      <w:szCs w:val="21"/>
                    </w:rPr>
                    <w:t>赵家河坝居民</w:t>
                  </w:r>
                </w:p>
              </w:tc>
              <w:tc>
                <w:tcPr>
                  <w:tcW w:w="343" w:type="pct"/>
                  <w:noWrap w:val="0"/>
                  <w:vAlign w:val="center"/>
                </w:tcPr>
                <w:p>
                  <w:pPr>
                    <w:autoSpaceDE w:val="0"/>
                    <w:autoSpaceDN w:val="0"/>
                    <w:adjustRightInd w:val="0"/>
                    <w:jc w:val="center"/>
                    <w:rPr>
                      <w:szCs w:val="21"/>
                    </w:rPr>
                  </w:pPr>
                  <w:r>
                    <w:rPr>
                      <w:szCs w:val="21"/>
                    </w:rPr>
                    <w:t>南</w:t>
                  </w:r>
                </w:p>
              </w:tc>
              <w:tc>
                <w:tcPr>
                  <w:tcW w:w="685" w:type="pct"/>
                  <w:noWrap w:val="0"/>
                  <w:vAlign w:val="center"/>
                </w:tcPr>
                <w:p>
                  <w:pPr>
                    <w:autoSpaceDE w:val="0"/>
                    <w:autoSpaceDN w:val="0"/>
                    <w:adjustRightInd w:val="0"/>
                    <w:jc w:val="center"/>
                    <w:rPr>
                      <w:szCs w:val="21"/>
                    </w:rPr>
                  </w:pPr>
                  <w:r>
                    <w:rPr>
                      <w:szCs w:val="21"/>
                    </w:rPr>
                    <w:t>195</w:t>
                  </w:r>
                </w:p>
              </w:tc>
              <w:tc>
                <w:tcPr>
                  <w:tcW w:w="1062" w:type="pct"/>
                  <w:noWrap w:val="0"/>
                  <w:vAlign w:val="center"/>
                </w:tcPr>
                <w:p>
                  <w:pPr>
                    <w:autoSpaceDE w:val="0"/>
                    <w:autoSpaceDN w:val="0"/>
                    <w:adjustRightInd w:val="0"/>
                    <w:jc w:val="center"/>
                    <w:rPr>
                      <w:bCs/>
                      <w:kern w:val="0"/>
                      <w:szCs w:val="21"/>
                      <w:lang w:bidi="ar"/>
                    </w:rPr>
                  </w:pPr>
                  <w:r>
                    <w:rPr>
                      <w:bCs/>
                      <w:kern w:val="0"/>
                      <w:szCs w:val="21"/>
                      <w:lang w:bidi="ar"/>
                    </w:rPr>
                    <w:t>148户，533人</w:t>
                  </w:r>
                </w:p>
              </w:tc>
              <w:tc>
                <w:tcPr>
                  <w:tcW w:w="1154" w:type="pct"/>
                  <w:vMerge w:val="continue"/>
                  <w:noWrap w:val="0"/>
                  <w:vAlign w:val="center"/>
                </w:tcPr>
                <w:p>
                  <w:pPr>
                    <w:autoSpaceDE w:val="0"/>
                    <w:autoSpaceDN w:val="0"/>
                    <w:adjustRightInd w:val="0"/>
                    <w:jc w:val="center"/>
                    <w:rPr>
                      <w:b/>
                      <w:kern w:val="0"/>
                      <w:szCs w:val="21"/>
                      <w:lang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565" w:type="pct"/>
                  <w:vMerge w:val="continue"/>
                  <w:noWrap w:val="0"/>
                  <w:vAlign w:val="center"/>
                </w:tcPr>
                <w:p>
                  <w:pPr>
                    <w:autoSpaceDE w:val="0"/>
                    <w:autoSpaceDN w:val="0"/>
                    <w:adjustRightInd w:val="0"/>
                    <w:jc w:val="center"/>
                    <w:rPr>
                      <w:b/>
                      <w:kern w:val="0"/>
                      <w:szCs w:val="21"/>
                      <w:lang w:bidi="ar"/>
                    </w:rPr>
                  </w:pPr>
                </w:p>
              </w:tc>
              <w:tc>
                <w:tcPr>
                  <w:tcW w:w="1191" w:type="pct"/>
                  <w:noWrap w:val="0"/>
                  <w:vAlign w:val="center"/>
                </w:tcPr>
                <w:p>
                  <w:pPr>
                    <w:autoSpaceDE w:val="0"/>
                    <w:autoSpaceDN w:val="0"/>
                    <w:adjustRightInd w:val="0"/>
                    <w:jc w:val="center"/>
                    <w:rPr>
                      <w:szCs w:val="21"/>
                    </w:rPr>
                  </w:pPr>
                  <w:r>
                    <w:rPr>
                      <w:szCs w:val="21"/>
                    </w:rPr>
                    <w:t>曹家院子居民</w:t>
                  </w:r>
                </w:p>
              </w:tc>
              <w:tc>
                <w:tcPr>
                  <w:tcW w:w="343" w:type="pct"/>
                  <w:noWrap w:val="0"/>
                  <w:vAlign w:val="center"/>
                </w:tcPr>
                <w:p>
                  <w:pPr>
                    <w:autoSpaceDE w:val="0"/>
                    <w:autoSpaceDN w:val="0"/>
                    <w:adjustRightInd w:val="0"/>
                    <w:jc w:val="center"/>
                    <w:rPr>
                      <w:szCs w:val="21"/>
                    </w:rPr>
                  </w:pPr>
                  <w:r>
                    <w:rPr>
                      <w:szCs w:val="21"/>
                    </w:rPr>
                    <w:t>北</w:t>
                  </w:r>
                </w:p>
              </w:tc>
              <w:tc>
                <w:tcPr>
                  <w:tcW w:w="685" w:type="pct"/>
                  <w:noWrap w:val="0"/>
                  <w:vAlign w:val="center"/>
                </w:tcPr>
                <w:p>
                  <w:pPr>
                    <w:autoSpaceDE w:val="0"/>
                    <w:autoSpaceDN w:val="0"/>
                    <w:adjustRightInd w:val="0"/>
                    <w:jc w:val="center"/>
                    <w:rPr>
                      <w:szCs w:val="21"/>
                    </w:rPr>
                  </w:pPr>
                  <w:r>
                    <w:rPr>
                      <w:szCs w:val="21"/>
                    </w:rPr>
                    <w:t>112</w:t>
                  </w:r>
                </w:p>
              </w:tc>
              <w:tc>
                <w:tcPr>
                  <w:tcW w:w="1062" w:type="pct"/>
                  <w:noWrap w:val="0"/>
                  <w:vAlign w:val="center"/>
                </w:tcPr>
                <w:p>
                  <w:pPr>
                    <w:autoSpaceDE w:val="0"/>
                    <w:autoSpaceDN w:val="0"/>
                    <w:adjustRightInd w:val="0"/>
                    <w:jc w:val="center"/>
                    <w:rPr>
                      <w:bCs/>
                      <w:kern w:val="0"/>
                      <w:szCs w:val="21"/>
                      <w:lang w:bidi="ar"/>
                    </w:rPr>
                  </w:pPr>
                  <w:r>
                    <w:rPr>
                      <w:bCs/>
                      <w:kern w:val="0"/>
                      <w:szCs w:val="21"/>
                      <w:lang w:bidi="ar"/>
                    </w:rPr>
                    <w:t>27户，52人</w:t>
                  </w:r>
                </w:p>
              </w:tc>
              <w:tc>
                <w:tcPr>
                  <w:tcW w:w="1154" w:type="pct"/>
                  <w:vMerge w:val="continue"/>
                  <w:noWrap w:val="0"/>
                  <w:vAlign w:val="center"/>
                </w:tcPr>
                <w:p>
                  <w:pPr>
                    <w:autoSpaceDE w:val="0"/>
                    <w:autoSpaceDN w:val="0"/>
                    <w:adjustRightInd w:val="0"/>
                    <w:jc w:val="center"/>
                    <w:rPr>
                      <w:b/>
                      <w:kern w:val="0"/>
                      <w:szCs w:val="21"/>
                      <w:lang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565" w:type="pct"/>
                  <w:vMerge w:val="restart"/>
                  <w:noWrap w:val="0"/>
                  <w:vAlign w:val="center"/>
                </w:tcPr>
                <w:p>
                  <w:pPr>
                    <w:autoSpaceDE w:val="0"/>
                    <w:autoSpaceDN w:val="0"/>
                    <w:adjustRightInd w:val="0"/>
                    <w:jc w:val="center"/>
                    <w:rPr>
                      <w:b/>
                      <w:kern w:val="0"/>
                      <w:szCs w:val="21"/>
                      <w:lang w:bidi="ar"/>
                    </w:rPr>
                  </w:pPr>
                  <w:r>
                    <w:rPr>
                      <w:kern w:val="0"/>
                      <w:szCs w:val="21"/>
                      <w:lang w:bidi="ar"/>
                    </w:rPr>
                    <w:t>声环境</w:t>
                  </w:r>
                </w:p>
              </w:tc>
              <w:tc>
                <w:tcPr>
                  <w:tcW w:w="1191" w:type="pct"/>
                  <w:noWrap w:val="0"/>
                  <w:vAlign w:val="center"/>
                </w:tcPr>
                <w:p>
                  <w:pPr>
                    <w:autoSpaceDE w:val="0"/>
                    <w:autoSpaceDN w:val="0"/>
                    <w:adjustRightInd w:val="0"/>
                    <w:jc w:val="center"/>
                    <w:rPr>
                      <w:szCs w:val="21"/>
                    </w:rPr>
                  </w:pPr>
                  <w:r>
                    <w:rPr>
                      <w:szCs w:val="21"/>
                    </w:rPr>
                    <w:t>散户居民1</w:t>
                  </w:r>
                </w:p>
              </w:tc>
              <w:tc>
                <w:tcPr>
                  <w:tcW w:w="343" w:type="pct"/>
                  <w:noWrap w:val="0"/>
                  <w:vAlign w:val="center"/>
                </w:tcPr>
                <w:p>
                  <w:pPr>
                    <w:autoSpaceDE w:val="0"/>
                    <w:autoSpaceDN w:val="0"/>
                    <w:adjustRightInd w:val="0"/>
                    <w:jc w:val="center"/>
                    <w:rPr>
                      <w:szCs w:val="21"/>
                    </w:rPr>
                  </w:pPr>
                  <w:r>
                    <w:rPr>
                      <w:szCs w:val="21"/>
                    </w:rPr>
                    <w:t>南</w:t>
                  </w:r>
                </w:p>
              </w:tc>
              <w:tc>
                <w:tcPr>
                  <w:tcW w:w="685" w:type="pct"/>
                  <w:noWrap w:val="0"/>
                  <w:vAlign w:val="center"/>
                </w:tcPr>
                <w:p>
                  <w:pPr>
                    <w:autoSpaceDE w:val="0"/>
                    <w:autoSpaceDN w:val="0"/>
                    <w:adjustRightInd w:val="0"/>
                    <w:jc w:val="center"/>
                    <w:rPr>
                      <w:szCs w:val="21"/>
                    </w:rPr>
                  </w:pPr>
                  <w:r>
                    <w:rPr>
                      <w:szCs w:val="21"/>
                    </w:rPr>
                    <w:t>48</w:t>
                  </w:r>
                </w:p>
              </w:tc>
              <w:tc>
                <w:tcPr>
                  <w:tcW w:w="1062" w:type="pct"/>
                  <w:noWrap w:val="0"/>
                  <w:vAlign w:val="center"/>
                </w:tcPr>
                <w:p>
                  <w:pPr>
                    <w:autoSpaceDE w:val="0"/>
                    <w:autoSpaceDN w:val="0"/>
                    <w:adjustRightInd w:val="0"/>
                    <w:jc w:val="center"/>
                    <w:rPr>
                      <w:bCs/>
                      <w:kern w:val="0"/>
                      <w:szCs w:val="21"/>
                      <w:lang w:bidi="ar"/>
                    </w:rPr>
                  </w:pPr>
                  <w:r>
                    <w:rPr>
                      <w:bCs/>
                      <w:kern w:val="0"/>
                      <w:szCs w:val="21"/>
                      <w:lang w:bidi="ar"/>
                    </w:rPr>
                    <w:t>1户，4人</w:t>
                  </w:r>
                </w:p>
              </w:tc>
              <w:tc>
                <w:tcPr>
                  <w:tcW w:w="1154" w:type="pct"/>
                  <w:vMerge w:val="restart"/>
                  <w:noWrap w:val="0"/>
                  <w:vAlign w:val="center"/>
                </w:tcPr>
                <w:p>
                  <w:pPr>
                    <w:autoSpaceDE w:val="0"/>
                    <w:autoSpaceDN w:val="0"/>
                    <w:adjustRightInd w:val="0"/>
                    <w:jc w:val="center"/>
                    <w:rPr>
                      <w:b/>
                      <w:kern w:val="0"/>
                      <w:szCs w:val="21"/>
                      <w:lang w:bidi="ar"/>
                    </w:rPr>
                  </w:pPr>
                  <w:r>
                    <w:rPr>
                      <w:kern w:val="0"/>
                      <w:szCs w:val="21"/>
                      <w:lang w:bidi="ar"/>
                    </w:rPr>
                    <w:t>《声环境质量标准》（GB3096-2008）中2类标准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565" w:type="pct"/>
                  <w:vMerge w:val="continue"/>
                  <w:noWrap w:val="0"/>
                  <w:vAlign w:val="center"/>
                </w:tcPr>
                <w:p>
                  <w:pPr>
                    <w:autoSpaceDE w:val="0"/>
                    <w:autoSpaceDN w:val="0"/>
                    <w:adjustRightInd w:val="0"/>
                    <w:jc w:val="center"/>
                    <w:rPr>
                      <w:b/>
                      <w:kern w:val="0"/>
                      <w:szCs w:val="21"/>
                      <w:lang w:bidi="ar"/>
                    </w:rPr>
                  </w:pPr>
                </w:p>
              </w:tc>
              <w:tc>
                <w:tcPr>
                  <w:tcW w:w="1191" w:type="pct"/>
                  <w:noWrap w:val="0"/>
                  <w:vAlign w:val="center"/>
                </w:tcPr>
                <w:p>
                  <w:pPr>
                    <w:autoSpaceDE w:val="0"/>
                    <w:autoSpaceDN w:val="0"/>
                    <w:adjustRightInd w:val="0"/>
                    <w:jc w:val="center"/>
                    <w:rPr>
                      <w:szCs w:val="21"/>
                    </w:rPr>
                  </w:pPr>
                  <w:r>
                    <w:rPr>
                      <w:szCs w:val="21"/>
                    </w:rPr>
                    <w:t>散户居民2</w:t>
                  </w:r>
                </w:p>
              </w:tc>
              <w:tc>
                <w:tcPr>
                  <w:tcW w:w="343" w:type="pct"/>
                  <w:noWrap w:val="0"/>
                  <w:vAlign w:val="center"/>
                </w:tcPr>
                <w:p>
                  <w:pPr>
                    <w:autoSpaceDE w:val="0"/>
                    <w:autoSpaceDN w:val="0"/>
                    <w:adjustRightInd w:val="0"/>
                    <w:jc w:val="center"/>
                    <w:rPr>
                      <w:szCs w:val="21"/>
                    </w:rPr>
                  </w:pPr>
                  <w:r>
                    <w:rPr>
                      <w:szCs w:val="21"/>
                    </w:rPr>
                    <w:t>西</w:t>
                  </w:r>
                </w:p>
              </w:tc>
              <w:tc>
                <w:tcPr>
                  <w:tcW w:w="685" w:type="pct"/>
                  <w:noWrap w:val="0"/>
                  <w:vAlign w:val="center"/>
                </w:tcPr>
                <w:p>
                  <w:pPr>
                    <w:autoSpaceDE w:val="0"/>
                    <w:autoSpaceDN w:val="0"/>
                    <w:adjustRightInd w:val="0"/>
                    <w:jc w:val="center"/>
                    <w:rPr>
                      <w:szCs w:val="21"/>
                    </w:rPr>
                  </w:pPr>
                  <w:r>
                    <w:rPr>
                      <w:szCs w:val="21"/>
                    </w:rPr>
                    <w:t>15</w:t>
                  </w:r>
                </w:p>
              </w:tc>
              <w:tc>
                <w:tcPr>
                  <w:tcW w:w="1062" w:type="pct"/>
                  <w:noWrap w:val="0"/>
                  <w:vAlign w:val="center"/>
                </w:tcPr>
                <w:p>
                  <w:pPr>
                    <w:autoSpaceDE w:val="0"/>
                    <w:autoSpaceDN w:val="0"/>
                    <w:adjustRightInd w:val="0"/>
                    <w:jc w:val="center"/>
                    <w:rPr>
                      <w:bCs/>
                      <w:kern w:val="0"/>
                      <w:szCs w:val="21"/>
                      <w:lang w:bidi="ar"/>
                    </w:rPr>
                  </w:pPr>
                  <w:r>
                    <w:rPr>
                      <w:bCs/>
                      <w:kern w:val="0"/>
                      <w:szCs w:val="21"/>
                      <w:lang w:bidi="ar"/>
                    </w:rPr>
                    <w:t>1户，2人</w:t>
                  </w:r>
                </w:p>
              </w:tc>
              <w:tc>
                <w:tcPr>
                  <w:tcW w:w="1154" w:type="pct"/>
                  <w:vMerge w:val="continue"/>
                  <w:noWrap w:val="0"/>
                  <w:vAlign w:val="center"/>
                </w:tcPr>
                <w:p>
                  <w:pPr>
                    <w:autoSpaceDE w:val="0"/>
                    <w:autoSpaceDN w:val="0"/>
                    <w:adjustRightInd w:val="0"/>
                    <w:jc w:val="center"/>
                    <w:rPr>
                      <w:b/>
                      <w:kern w:val="0"/>
                      <w:szCs w:val="21"/>
                      <w:lang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565" w:type="pct"/>
                  <w:vMerge w:val="continue"/>
                  <w:noWrap w:val="0"/>
                  <w:vAlign w:val="center"/>
                </w:tcPr>
                <w:p>
                  <w:pPr>
                    <w:autoSpaceDE w:val="0"/>
                    <w:autoSpaceDN w:val="0"/>
                    <w:adjustRightInd w:val="0"/>
                    <w:jc w:val="center"/>
                    <w:rPr>
                      <w:b/>
                      <w:kern w:val="0"/>
                      <w:szCs w:val="21"/>
                      <w:lang w:bidi="ar"/>
                    </w:rPr>
                  </w:pPr>
                </w:p>
              </w:tc>
              <w:tc>
                <w:tcPr>
                  <w:tcW w:w="1191" w:type="pct"/>
                  <w:noWrap w:val="0"/>
                  <w:vAlign w:val="center"/>
                </w:tcPr>
                <w:p>
                  <w:pPr>
                    <w:autoSpaceDE w:val="0"/>
                    <w:autoSpaceDN w:val="0"/>
                    <w:adjustRightInd w:val="0"/>
                    <w:jc w:val="center"/>
                    <w:rPr>
                      <w:szCs w:val="21"/>
                    </w:rPr>
                  </w:pPr>
                  <w:r>
                    <w:rPr>
                      <w:szCs w:val="21"/>
                    </w:rPr>
                    <w:t>散户居民3</w:t>
                  </w:r>
                </w:p>
              </w:tc>
              <w:tc>
                <w:tcPr>
                  <w:tcW w:w="343" w:type="pct"/>
                  <w:noWrap w:val="0"/>
                  <w:vAlign w:val="center"/>
                </w:tcPr>
                <w:p>
                  <w:pPr>
                    <w:autoSpaceDE w:val="0"/>
                    <w:autoSpaceDN w:val="0"/>
                    <w:adjustRightInd w:val="0"/>
                    <w:jc w:val="center"/>
                    <w:rPr>
                      <w:szCs w:val="21"/>
                    </w:rPr>
                  </w:pPr>
                  <w:r>
                    <w:rPr>
                      <w:szCs w:val="21"/>
                    </w:rPr>
                    <w:t>北</w:t>
                  </w:r>
                </w:p>
              </w:tc>
              <w:tc>
                <w:tcPr>
                  <w:tcW w:w="685" w:type="pct"/>
                  <w:noWrap w:val="0"/>
                  <w:vAlign w:val="center"/>
                </w:tcPr>
                <w:p>
                  <w:pPr>
                    <w:autoSpaceDE w:val="0"/>
                    <w:autoSpaceDN w:val="0"/>
                    <w:adjustRightInd w:val="0"/>
                    <w:jc w:val="center"/>
                    <w:rPr>
                      <w:szCs w:val="21"/>
                    </w:rPr>
                  </w:pPr>
                  <w:r>
                    <w:rPr>
                      <w:szCs w:val="21"/>
                    </w:rPr>
                    <w:t>38</w:t>
                  </w:r>
                </w:p>
              </w:tc>
              <w:tc>
                <w:tcPr>
                  <w:tcW w:w="1062" w:type="pct"/>
                  <w:noWrap w:val="0"/>
                  <w:vAlign w:val="center"/>
                </w:tcPr>
                <w:p>
                  <w:pPr>
                    <w:autoSpaceDE w:val="0"/>
                    <w:autoSpaceDN w:val="0"/>
                    <w:adjustRightInd w:val="0"/>
                    <w:jc w:val="center"/>
                    <w:rPr>
                      <w:bCs/>
                      <w:kern w:val="0"/>
                      <w:szCs w:val="21"/>
                      <w:lang w:bidi="ar"/>
                    </w:rPr>
                  </w:pPr>
                  <w:r>
                    <w:rPr>
                      <w:bCs/>
                      <w:kern w:val="0"/>
                      <w:szCs w:val="21"/>
                      <w:lang w:bidi="ar"/>
                    </w:rPr>
                    <w:t>3户，11人</w:t>
                  </w:r>
                </w:p>
              </w:tc>
              <w:tc>
                <w:tcPr>
                  <w:tcW w:w="1154" w:type="pct"/>
                  <w:vMerge w:val="continue"/>
                  <w:noWrap w:val="0"/>
                  <w:vAlign w:val="center"/>
                </w:tcPr>
                <w:p>
                  <w:pPr>
                    <w:autoSpaceDE w:val="0"/>
                    <w:autoSpaceDN w:val="0"/>
                    <w:adjustRightInd w:val="0"/>
                    <w:jc w:val="center"/>
                    <w:rPr>
                      <w:b/>
                      <w:kern w:val="0"/>
                      <w:szCs w:val="21"/>
                      <w:lang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565" w:type="pct"/>
                  <w:noWrap w:val="0"/>
                  <w:vAlign w:val="center"/>
                </w:tcPr>
                <w:p>
                  <w:pPr>
                    <w:autoSpaceDE w:val="0"/>
                    <w:autoSpaceDN w:val="0"/>
                    <w:adjustRightInd w:val="0"/>
                    <w:jc w:val="center"/>
                    <w:rPr>
                      <w:kern w:val="0"/>
                      <w:szCs w:val="21"/>
                    </w:rPr>
                  </w:pPr>
                  <w:r>
                    <w:rPr>
                      <w:kern w:val="0"/>
                      <w:szCs w:val="21"/>
                      <w:lang w:bidi="ar"/>
                    </w:rPr>
                    <w:t>地表水</w:t>
                  </w:r>
                </w:p>
              </w:tc>
              <w:tc>
                <w:tcPr>
                  <w:tcW w:w="1191" w:type="pct"/>
                  <w:noWrap w:val="0"/>
                  <w:vAlign w:val="center"/>
                </w:tcPr>
                <w:p>
                  <w:pPr>
                    <w:autoSpaceDE w:val="0"/>
                    <w:autoSpaceDN w:val="0"/>
                    <w:adjustRightInd w:val="0"/>
                    <w:jc w:val="center"/>
                    <w:rPr>
                      <w:kern w:val="0"/>
                      <w:szCs w:val="21"/>
                    </w:rPr>
                  </w:pPr>
                  <w:r>
                    <w:rPr>
                      <w:szCs w:val="21"/>
                    </w:rPr>
                    <w:t>双龙河</w:t>
                  </w:r>
                </w:p>
              </w:tc>
              <w:tc>
                <w:tcPr>
                  <w:tcW w:w="343" w:type="pct"/>
                  <w:noWrap w:val="0"/>
                  <w:vAlign w:val="center"/>
                </w:tcPr>
                <w:p>
                  <w:pPr>
                    <w:autoSpaceDE w:val="0"/>
                    <w:autoSpaceDN w:val="0"/>
                    <w:adjustRightInd w:val="0"/>
                    <w:jc w:val="center"/>
                    <w:rPr>
                      <w:kern w:val="0"/>
                      <w:szCs w:val="21"/>
                    </w:rPr>
                  </w:pPr>
                  <w:r>
                    <w:rPr>
                      <w:szCs w:val="21"/>
                    </w:rPr>
                    <w:t>北</w:t>
                  </w:r>
                </w:p>
              </w:tc>
              <w:tc>
                <w:tcPr>
                  <w:tcW w:w="685" w:type="pct"/>
                  <w:noWrap w:val="0"/>
                  <w:vAlign w:val="center"/>
                </w:tcPr>
                <w:p>
                  <w:pPr>
                    <w:autoSpaceDE w:val="0"/>
                    <w:autoSpaceDN w:val="0"/>
                    <w:adjustRightInd w:val="0"/>
                    <w:jc w:val="center"/>
                    <w:rPr>
                      <w:kern w:val="0"/>
                      <w:szCs w:val="21"/>
                    </w:rPr>
                  </w:pPr>
                  <w:r>
                    <w:rPr>
                      <w:szCs w:val="21"/>
                    </w:rPr>
                    <w:t>18</w:t>
                  </w:r>
                </w:p>
              </w:tc>
              <w:tc>
                <w:tcPr>
                  <w:tcW w:w="1062" w:type="pct"/>
                  <w:noWrap w:val="0"/>
                  <w:vAlign w:val="center"/>
                </w:tcPr>
                <w:p>
                  <w:pPr>
                    <w:autoSpaceDE w:val="0"/>
                    <w:autoSpaceDN w:val="0"/>
                    <w:adjustRightInd w:val="0"/>
                    <w:jc w:val="center"/>
                    <w:rPr>
                      <w:kern w:val="0"/>
                      <w:szCs w:val="21"/>
                    </w:rPr>
                  </w:pPr>
                  <w:r>
                    <w:rPr>
                      <w:kern w:val="0"/>
                      <w:szCs w:val="21"/>
                      <w:lang w:bidi="ar"/>
                    </w:rPr>
                    <w:t>行洪、灌溉地表水、纳污</w:t>
                  </w:r>
                </w:p>
              </w:tc>
              <w:tc>
                <w:tcPr>
                  <w:tcW w:w="1154" w:type="pct"/>
                  <w:noWrap w:val="0"/>
                  <w:vAlign w:val="center"/>
                </w:tcPr>
                <w:p>
                  <w:pPr>
                    <w:autoSpaceDE w:val="0"/>
                    <w:autoSpaceDN w:val="0"/>
                    <w:adjustRightInd w:val="0"/>
                    <w:jc w:val="center"/>
                    <w:rPr>
                      <w:kern w:val="0"/>
                      <w:szCs w:val="21"/>
                    </w:rPr>
                  </w:pPr>
                  <w:r>
                    <w:rPr>
                      <w:kern w:val="0"/>
                      <w:szCs w:val="21"/>
                      <w:lang w:bidi="ar"/>
                    </w:rPr>
                    <w:t>《地表水环境质量标准》（GB3838-2002）Ⅲ类水域标准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565" w:type="pct"/>
                  <w:noWrap w:val="0"/>
                  <w:vAlign w:val="center"/>
                </w:tcPr>
                <w:p>
                  <w:pPr>
                    <w:autoSpaceDE w:val="0"/>
                    <w:autoSpaceDN w:val="0"/>
                    <w:adjustRightInd w:val="0"/>
                    <w:jc w:val="center"/>
                    <w:rPr>
                      <w:kern w:val="0"/>
                      <w:szCs w:val="21"/>
                      <w:lang w:bidi="ar"/>
                    </w:rPr>
                  </w:pPr>
                  <w:r>
                    <w:rPr>
                      <w:kern w:val="0"/>
                      <w:szCs w:val="21"/>
                      <w:lang w:bidi="ar"/>
                    </w:rPr>
                    <w:t>地下水</w:t>
                  </w:r>
                </w:p>
              </w:tc>
              <w:tc>
                <w:tcPr>
                  <w:tcW w:w="3281" w:type="pct"/>
                  <w:gridSpan w:val="4"/>
                  <w:noWrap w:val="0"/>
                  <w:vAlign w:val="center"/>
                </w:tcPr>
                <w:p>
                  <w:pPr>
                    <w:autoSpaceDE w:val="0"/>
                    <w:autoSpaceDN w:val="0"/>
                    <w:adjustRightInd w:val="0"/>
                    <w:jc w:val="center"/>
                    <w:rPr>
                      <w:kern w:val="0"/>
                      <w:szCs w:val="21"/>
                      <w:lang w:bidi="ar"/>
                    </w:rPr>
                  </w:pPr>
                  <w:r>
                    <w:rPr>
                      <w:kern w:val="0"/>
                      <w:szCs w:val="21"/>
                      <w:lang w:bidi="ar"/>
                    </w:rPr>
                    <w:t>当前地下水环境</w:t>
                  </w:r>
                </w:p>
              </w:tc>
              <w:tc>
                <w:tcPr>
                  <w:tcW w:w="1154" w:type="pct"/>
                  <w:noWrap w:val="0"/>
                  <w:vAlign w:val="center"/>
                </w:tcPr>
                <w:p>
                  <w:pPr>
                    <w:autoSpaceDE w:val="0"/>
                    <w:autoSpaceDN w:val="0"/>
                    <w:adjustRightInd w:val="0"/>
                    <w:jc w:val="center"/>
                    <w:rPr>
                      <w:kern w:val="0"/>
                      <w:szCs w:val="21"/>
                      <w:lang w:bidi="ar"/>
                    </w:rPr>
                  </w:pPr>
                  <w:r>
                    <w:rPr>
                      <w:kern w:val="0"/>
                      <w:szCs w:val="21"/>
                      <w:lang w:bidi="ar"/>
                    </w:rPr>
                    <w:t>《地下水质量标准》（GB/T14848-2017）中III 类标准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565" w:type="pct"/>
                  <w:noWrap w:val="0"/>
                  <w:vAlign w:val="center"/>
                </w:tcPr>
                <w:p>
                  <w:pPr>
                    <w:autoSpaceDE w:val="0"/>
                    <w:autoSpaceDN w:val="0"/>
                    <w:adjustRightInd w:val="0"/>
                    <w:jc w:val="center"/>
                    <w:rPr>
                      <w:kern w:val="0"/>
                      <w:szCs w:val="21"/>
                      <w:lang w:bidi="ar"/>
                    </w:rPr>
                  </w:pPr>
                  <w:r>
                    <w:rPr>
                      <w:kern w:val="0"/>
                      <w:szCs w:val="21"/>
                      <w:lang w:bidi="ar"/>
                    </w:rPr>
                    <w:t>生态环境</w:t>
                  </w:r>
                </w:p>
              </w:tc>
              <w:tc>
                <w:tcPr>
                  <w:tcW w:w="3281" w:type="pct"/>
                  <w:gridSpan w:val="4"/>
                  <w:noWrap w:val="0"/>
                  <w:vAlign w:val="center"/>
                </w:tcPr>
                <w:p>
                  <w:pPr>
                    <w:autoSpaceDE w:val="0"/>
                    <w:autoSpaceDN w:val="0"/>
                    <w:adjustRightInd w:val="0"/>
                    <w:jc w:val="center"/>
                    <w:rPr>
                      <w:kern w:val="0"/>
                      <w:szCs w:val="21"/>
                      <w:lang w:bidi="ar"/>
                    </w:rPr>
                  </w:pPr>
                  <w:r>
                    <w:rPr>
                      <w:kern w:val="0"/>
                      <w:szCs w:val="21"/>
                      <w:lang w:bidi="ar"/>
                    </w:rPr>
                    <w:t>项目周围区域</w:t>
                  </w:r>
                </w:p>
              </w:tc>
              <w:tc>
                <w:tcPr>
                  <w:tcW w:w="1154" w:type="pct"/>
                  <w:noWrap w:val="0"/>
                  <w:vAlign w:val="center"/>
                </w:tcPr>
                <w:p>
                  <w:pPr>
                    <w:autoSpaceDE w:val="0"/>
                    <w:autoSpaceDN w:val="0"/>
                    <w:adjustRightInd w:val="0"/>
                    <w:jc w:val="center"/>
                    <w:rPr>
                      <w:kern w:val="0"/>
                      <w:szCs w:val="21"/>
                      <w:lang w:bidi="ar"/>
                    </w:rPr>
                  </w:pPr>
                  <w:r>
                    <w:rPr>
                      <w:kern w:val="0"/>
                      <w:szCs w:val="21"/>
                      <w:lang w:bidi="ar"/>
                    </w:rPr>
                    <w:t>保护并改善现有生态环境</w:t>
                  </w:r>
                </w:p>
              </w:tc>
            </w:tr>
          </w:tbl>
          <w:p>
            <w:pPr>
              <w:adjustRightInd w:val="0"/>
              <w:snapToGrid w:val="0"/>
              <w:spacing w:line="360" w:lineRule="auto"/>
              <w:ind w:firstLine="420" w:firstLineChars="20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396" w:type="pct"/>
            <w:noWrap w:val="0"/>
            <w:tcMar>
              <w:left w:w="28" w:type="dxa"/>
              <w:right w:w="28" w:type="dxa"/>
            </w:tcMar>
            <w:vAlign w:val="center"/>
          </w:tcPr>
          <w:p>
            <w:pPr>
              <w:adjustRightInd w:val="0"/>
              <w:snapToGrid w:val="0"/>
              <w:jc w:val="center"/>
              <w:rPr>
                <w:kern w:val="0"/>
                <w:szCs w:val="21"/>
              </w:rPr>
            </w:pPr>
            <w:r>
              <w:rPr>
                <w:kern w:val="0"/>
                <w:szCs w:val="21"/>
              </w:rPr>
              <w:t>污染</w:t>
            </w:r>
          </w:p>
          <w:p>
            <w:pPr>
              <w:adjustRightInd w:val="0"/>
              <w:snapToGrid w:val="0"/>
              <w:jc w:val="center"/>
              <w:rPr>
                <w:kern w:val="0"/>
                <w:szCs w:val="21"/>
              </w:rPr>
            </w:pPr>
            <w:r>
              <w:rPr>
                <w:kern w:val="0"/>
                <w:szCs w:val="21"/>
              </w:rPr>
              <w:t>物排</w:t>
            </w:r>
          </w:p>
          <w:p>
            <w:pPr>
              <w:adjustRightInd w:val="0"/>
              <w:snapToGrid w:val="0"/>
              <w:jc w:val="center"/>
              <w:rPr>
                <w:kern w:val="0"/>
                <w:szCs w:val="21"/>
              </w:rPr>
            </w:pPr>
            <w:r>
              <w:rPr>
                <w:kern w:val="0"/>
                <w:szCs w:val="21"/>
              </w:rPr>
              <w:t>放控</w:t>
            </w:r>
          </w:p>
          <w:p>
            <w:pPr>
              <w:adjustRightInd w:val="0"/>
              <w:snapToGrid w:val="0"/>
              <w:jc w:val="center"/>
              <w:rPr>
                <w:kern w:val="0"/>
                <w:szCs w:val="21"/>
              </w:rPr>
            </w:pPr>
            <w:r>
              <w:rPr>
                <w:kern w:val="0"/>
                <w:szCs w:val="21"/>
              </w:rPr>
              <w:t>制标</w:t>
            </w:r>
          </w:p>
          <w:p>
            <w:pPr>
              <w:adjustRightInd w:val="0"/>
              <w:snapToGrid w:val="0"/>
              <w:jc w:val="center"/>
              <w:rPr>
                <w:kern w:val="0"/>
                <w:szCs w:val="21"/>
              </w:rPr>
            </w:pPr>
            <w:r>
              <w:rPr>
                <w:kern w:val="0"/>
                <w:szCs w:val="21"/>
              </w:rPr>
              <w:t>准</w:t>
            </w:r>
          </w:p>
        </w:tc>
        <w:tc>
          <w:tcPr>
            <w:tcW w:w="4604" w:type="pct"/>
            <w:noWrap w:val="0"/>
            <w:vAlign w:val="center"/>
          </w:tcPr>
          <w:p>
            <w:pPr>
              <w:numPr>
                <w:ilvl w:val="0"/>
                <w:numId w:val="5"/>
              </w:numPr>
              <w:adjustRightInd w:val="0"/>
              <w:snapToGrid w:val="0"/>
              <w:spacing w:line="360" w:lineRule="auto"/>
              <w:rPr>
                <w:b/>
                <w:bCs/>
                <w:sz w:val="24"/>
              </w:rPr>
            </w:pPr>
            <w:r>
              <w:rPr>
                <w:b/>
                <w:bCs/>
                <w:sz w:val="24"/>
              </w:rPr>
              <w:t>废气</w:t>
            </w:r>
          </w:p>
          <w:p>
            <w:pPr>
              <w:spacing w:line="360" w:lineRule="auto"/>
              <w:ind w:firstLine="480" w:firstLineChars="200"/>
              <w:rPr>
                <w:sz w:val="24"/>
              </w:rPr>
            </w:pPr>
            <w:r>
              <w:rPr>
                <w:sz w:val="24"/>
              </w:rPr>
              <w:t>（1）施工期</w:t>
            </w:r>
          </w:p>
          <w:p>
            <w:pPr>
              <w:spacing w:line="360" w:lineRule="auto"/>
              <w:ind w:firstLine="480" w:firstLineChars="200"/>
              <w:rPr>
                <w:sz w:val="24"/>
              </w:rPr>
            </w:pPr>
            <w:r>
              <w:rPr>
                <w:sz w:val="24"/>
              </w:rPr>
              <w:t>施工期扬尘执行《四川省施工场地扬尘排放标准》（DB51/2682-2020）。具体见下表。</w:t>
            </w:r>
          </w:p>
          <w:p>
            <w:pPr>
              <w:pStyle w:val="120"/>
              <w:adjustRightInd/>
              <w:spacing w:line="240" w:lineRule="auto"/>
              <w:ind w:firstLine="0" w:firstLineChars="0"/>
              <w:jc w:val="center"/>
              <w:rPr>
                <w:rFonts w:eastAsia="黑体"/>
                <w:bCs/>
              </w:rPr>
            </w:pPr>
            <w:r>
              <w:rPr>
                <w:rFonts w:eastAsia="黑体"/>
                <w:bCs/>
              </w:rPr>
              <w:t>表3-11    四川省施工场地扬尘排放限值</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7"/>
              <w:gridCol w:w="3643"/>
              <w:gridCol w:w="1640"/>
              <w:gridCol w:w="16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3" w:type="pct"/>
                  <w:shd w:val="clear" w:color="auto" w:fill="CCFFFF"/>
                  <w:noWrap w:val="0"/>
                  <w:vAlign w:val="center"/>
                </w:tcPr>
                <w:p>
                  <w:pPr>
                    <w:pStyle w:val="30"/>
                    <w:spacing w:after="0"/>
                    <w:ind w:firstLine="0" w:firstLineChars="0"/>
                    <w:jc w:val="center"/>
                    <w:rPr>
                      <w:b/>
                      <w:szCs w:val="21"/>
                    </w:rPr>
                  </w:pPr>
                  <w:r>
                    <w:rPr>
                      <w:b/>
                      <w:szCs w:val="21"/>
                    </w:rPr>
                    <w:t>监测项目</w:t>
                  </w:r>
                </w:p>
              </w:tc>
              <w:tc>
                <w:tcPr>
                  <w:tcW w:w="2241" w:type="pct"/>
                  <w:shd w:val="clear" w:color="auto" w:fill="CCFFFF"/>
                  <w:noWrap w:val="0"/>
                  <w:vAlign w:val="center"/>
                </w:tcPr>
                <w:p>
                  <w:pPr>
                    <w:pStyle w:val="30"/>
                    <w:spacing w:after="0"/>
                    <w:ind w:firstLine="0" w:firstLineChars="0"/>
                    <w:jc w:val="center"/>
                    <w:rPr>
                      <w:b/>
                      <w:szCs w:val="21"/>
                    </w:rPr>
                  </w:pPr>
                  <w:r>
                    <w:rPr>
                      <w:b/>
                      <w:szCs w:val="21"/>
                    </w:rPr>
                    <w:t>施工阶段</w:t>
                  </w:r>
                </w:p>
              </w:tc>
              <w:tc>
                <w:tcPr>
                  <w:tcW w:w="1009" w:type="pct"/>
                  <w:shd w:val="clear" w:color="auto" w:fill="CCFFFF"/>
                  <w:noWrap w:val="0"/>
                  <w:vAlign w:val="center"/>
                </w:tcPr>
                <w:p>
                  <w:pPr>
                    <w:pStyle w:val="30"/>
                    <w:spacing w:after="0"/>
                    <w:ind w:firstLine="0" w:firstLineChars="0"/>
                    <w:jc w:val="center"/>
                    <w:rPr>
                      <w:b/>
                      <w:szCs w:val="21"/>
                    </w:rPr>
                  </w:pPr>
                  <w:r>
                    <w:rPr>
                      <w:b/>
                      <w:szCs w:val="21"/>
                    </w:rPr>
                    <w:t>监测点排放限值（μg/m</w:t>
                  </w:r>
                  <w:r>
                    <w:rPr>
                      <w:b/>
                      <w:szCs w:val="21"/>
                      <w:vertAlign w:val="superscript"/>
                    </w:rPr>
                    <w:t>3</w:t>
                  </w:r>
                  <w:r>
                    <w:rPr>
                      <w:b/>
                      <w:szCs w:val="21"/>
                    </w:rPr>
                    <w:t>）</w:t>
                  </w:r>
                </w:p>
              </w:tc>
              <w:tc>
                <w:tcPr>
                  <w:tcW w:w="1007" w:type="pct"/>
                  <w:shd w:val="clear" w:color="auto" w:fill="CCFFFF"/>
                  <w:noWrap w:val="0"/>
                  <w:vAlign w:val="center"/>
                </w:tcPr>
                <w:p>
                  <w:pPr>
                    <w:pStyle w:val="30"/>
                    <w:spacing w:after="0"/>
                    <w:ind w:firstLine="0" w:firstLineChars="0"/>
                    <w:jc w:val="center"/>
                    <w:rPr>
                      <w:b/>
                      <w:szCs w:val="21"/>
                    </w:rPr>
                  </w:pPr>
                  <w:r>
                    <w:rPr>
                      <w:b/>
                      <w:szCs w:val="21"/>
                    </w:rPr>
                    <w:t>监测时间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3" w:type="pct"/>
                  <w:vMerge w:val="restart"/>
                  <w:noWrap w:val="0"/>
                  <w:vAlign w:val="center"/>
                </w:tcPr>
                <w:p>
                  <w:pPr>
                    <w:jc w:val="center"/>
                    <w:rPr>
                      <w:bCs/>
                      <w:kern w:val="0"/>
                      <w:szCs w:val="21"/>
                    </w:rPr>
                  </w:pPr>
                  <w:r>
                    <w:rPr>
                      <w:bCs/>
                      <w:kern w:val="0"/>
                      <w:szCs w:val="21"/>
                    </w:rPr>
                    <w:t>TSP</w:t>
                  </w:r>
                </w:p>
              </w:tc>
              <w:tc>
                <w:tcPr>
                  <w:tcW w:w="2241" w:type="pct"/>
                  <w:noWrap w:val="0"/>
                  <w:vAlign w:val="center"/>
                </w:tcPr>
                <w:p>
                  <w:pPr>
                    <w:jc w:val="center"/>
                    <w:rPr>
                      <w:bCs/>
                      <w:kern w:val="0"/>
                      <w:szCs w:val="21"/>
                    </w:rPr>
                  </w:pPr>
                  <w:r>
                    <w:rPr>
                      <w:bCs/>
                      <w:kern w:val="0"/>
                      <w:szCs w:val="21"/>
                    </w:rPr>
                    <w:t>拆除工程/土方开挖/土方回填阶段</w:t>
                  </w:r>
                </w:p>
              </w:tc>
              <w:tc>
                <w:tcPr>
                  <w:tcW w:w="1009" w:type="pct"/>
                  <w:noWrap w:val="0"/>
                  <w:vAlign w:val="center"/>
                </w:tcPr>
                <w:p>
                  <w:pPr>
                    <w:jc w:val="center"/>
                    <w:rPr>
                      <w:bCs/>
                      <w:kern w:val="0"/>
                      <w:szCs w:val="21"/>
                    </w:rPr>
                  </w:pPr>
                  <w:r>
                    <w:rPr>
                      <w:bCs/>
                      <w:kern w:val="0"/>
                      <w:szCs w:val="21"/>
                    </w:rPr>
                    <w:t>600</w:t>
                  </w:r>
                </w:p>
              </w:tc>
              <w:tc>
                <w:tcPr>
                  <w:tcW w:w="1007" w:type="pct"/>
                  <w:vMerge w:val="restart"/>
                  <w:noWrap w:val="0"/>
                  <w:vAlign w:val="center"/>
                </w:tcPr>
                <w:p>
                  <w:pPr>
                    <w:jc w:val="center"/>
                    <w:rPr>
                      <w:bCs/>
                      <w:kern w:val="0"/>
                      <w:szCs w:val="21"/>
                    </w:rPr>
                  </w:pPr>
                  <w:r>
                    <w:rPr>
                      <w:bCs/>
                      <w:kern w:val="0"/>
                      <w:szCs w:val="21"/>
                    </w:rPr>
                    <w:t>自监测起持续15分钟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3" w:type="pct"/>
                  <w:vMerge w:val="continue"/>
                  <w:noWrap w:val="0"/>
                  <w:vAlign w:val="center"/>
                </w:tcPr>
                <w:p>
                  <w:pPr>
                    <w:jc w:val="center"/>
                    <w:rPr>
                      <w:bCs/>
                      <w:kern w:val="0"/>
                      <w:szCs w:val="21"/>
                    </w:rPr>
                  </w:pPr>
                </w:p>
              </w:tc>
              <w:tc>
                <w:tcPr>
                  <w:tcW w:w="2241" w:type="pct"/>
                  <w:noWrap w:val="0"/>
                  <w:vAlign w:val="center"/>
                </w:tcPr>
                <w:p>
                  <w:pPr>
                    <w:jc w:val="center"/>
                    <w:rPr>
                      <w:bCs/>
                      <w:kern w:val="0"/>
                      <w:szCs w:val="21"/>
                    </w:rPr>
                  </w:pPr>
                  <w:r>
                    <w:rPr>
                      <w:bCs/>
                      <w:kern w:val="0"/>
                      <w:szCs w:val="21"/>
                    </w:rPr>
                    <w:t>其他工程阶段</w:t>
                  </w:r>
                </w:p>
              </w:tc>
              <w:tc>
                <w:tcPr>
                  <w:tcW w:w="1009" w:type="pct"/>
                  <w:noWrap w:val="0"/>
                  <w:vAlign w:val="center"/>
                </w:tcPr>
                <w:p>
                  <w:pPr>
                    <w:jc w:val="center"/>
                    <w:rPr>
                      <w:bCs/>
                      <w:kern w:val="0"/>
                      <w:szCs w:val="21"/>
                    </w:rPr>
                  </w:pPr>
                  <w:r>
                    <w:rPr>
                      <w:bCs/>
                      <w:kern w:val="0"/>
                      <w:szCs w:val="21"/>
                    </w:rPr>
                    <w:t>250</w:t>
                  </w:r>
                </w:p>
              </w:tc>
              <w:tc>
                <w:tcPr>
                  <w:tcW w:w="1007" w:type="pct"/>
                  <w:vMerge w:val="continue"/>
                  <w:noWrap w:val="0"/>
                  <w:vAlign w:val="center"/>
                </w:tcPr>
                <w:p>
                  <w:pPr>
                    <w:jc w:val="center"/>
                    <w:rPr>
                      <w:bCs/>
                      <w:kern w:val="0"/>
                      <w:szCs w:val="21"/>
                    </w:rPr>
                  </w:pPr>
                </w:p>
              </w:tc>
            </w:tr>
          </w:tbl>
          <w:p>
            <w:pPr>
              <w:spacing w:before="120" w:beforeLines="50" w:line="360" w:lineRule="auto"/>
              <w:ind w:firstLine="480" w:firstLineChars="200"/>
              <w:rPr>
                <w:sz w:val="24"/>
              </w:rPr>
            </w:pPr>
            <w:r>
              <w:rPr>
                <w:sz w:val="24"/>
              </w:rPr>
              <w:t>（2）运营期</w:t>
            </w:r>
          </w:p>
          <w:p>
            <w:pPr>
              <w:spacing w:line="360" w:lineRule="auto"/>
              <w:ind w:firstLine="480" w:firstLineChars="200"/>
              <w:rPr>
                <w:sz w:val="24"/>
              </w:rPr>
            </w:pPr>
            <w:bookmarkStart w:id="25" w:name="_Hlk86505418"/>
            <w:r>
              <w:rPr>
                <w:sz w:val="24"/>
              </w:rPr>
              <w:t>氨、硫化氢、臭气浓度厂界浓度执行《城镇污水处理厂污染物排放标准》（GB18918-2002）表4二级标准，氨、硫化氢、臭气浓度有组织执行《恶臭污染物排放标准》（GB14554-93）表1二级标准。</w:t>
            </w:r>
            <w:bookmarkEnd w:id="25"/>
          </w:p>
          <w:p>
            <w:pPr>
              <w:pStyle w:val="121"/>
              <w:adjustRightInd/>
              <w:spacing w:line="240" w:lineRule="auto"/>
              <w:rPr>
                <w:rFonts w:eastAsia="黑体"/>
                <w:b w:val="0"/>
              </w:rPr>
            </w:pPr>
            <w:r>
              <w:rPr>
                <w:rFonts w:eastAsia="黑体"/>
                <w:b w:val="0"/>
              </w:rPr>
              <w:t>表3-12    大气污染物排放标准</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515"/>
              <w:gridCol w:w="1165"/>
              <w:gridCol w:w="1165"/>
              <w:gridCol w:w="1391"/>
              <w:gridCol w:w="289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32" w:type="pct"/>
                  <w:shd w:val="clear" w:color="auto" w:fill="CCFFFF"/>
                  <w:noWrap w:val="0"/>
                  <w:vAlign w:val="center"/>
                </w:tcPr>
                <w:p>
                  <w:pPr>
                    <w:pStyle w:val="30"/>
                    <w:spacing w:after="0"/>
                    <w:ind w:firstLine="0" w:firstLineChars="0"/>
                    <w:jc w:val="center"/>
                    <w:rPr>
                      <w:b/>
                      <w:szCs w:val="21"/>
                    </w:rPr>
                  </w:pPr>
                  <w:r>
                    <w:rPr>
                      <w:b/>
                      <w:szCs w:val="21"/>
                    </w:rPr>
                    <w:t>污染物</w:t>
                  </w:r>
                </w:p>
              </w:tc>
              <w:tc>
                <w:tcPr>
                  <w:tcW w:w="717" w:type="pct"/>
                  <w:shd w:val="clear" w:color="auto" w:fill="CCFFFF"/>
                  <w:noWrap w:val="0"/>
                  <w:vAlign w:val="center"/>
                </w:tcPr>
                <w:p>
                  <w:pPr>
                    <w:pStyle w:val="30"/>
                    <w:spacing w:after="0"/>
                    <w:ind w:firstLine="0" w:firstLineChars="0"/>
                    <w:jc w:val="center"/>
                    <w:rPr>
                      <w:b/>
                      <w:szCs w:val="21"/>
                    </w:rPr>
                  </w:pPr>
                  <w:r>
                    <w:rPr>
                      <w:b/>
                      <w:szCs w:val="21"/>
                    </w:rPr>
                    <w:t>排放高度</w:t>
                  </w:r>
                </w:p>
                <w:p>
                  <w:pPr>
                    <w:pStyle w:val="30"/>
                    <w:spacing w:after="0"/>
                    <w:ind w:firstLine="0" w:firstLineChars="0"/>
                    <w:jc w:val="center"/>
                    <w:rPr>
                      <w:b/>
                      <w:szCs w:val="21"/>
                    </w:rPr>
                  </w:pPr>
                  <w:r>
                    <w:rPr>
                      <w:b/>
                      <w:szCs w:val="21"/>
                    </w:rPr>
                    <w:t>（m）</w:t>
                  </w:r>
                </w:p>
              </w:tc>
              <w:tc>
                <w:tcPr>
                  <w:tcW w:w="717" w:type="pct"/>
                  <w:shd w:val="clear" w:color="auto" w:fill="CCFFFF"/>
                  <w:noWrap w:val="0"/>
                  <w:vAlign w:val="center"/>
                </w:tcPr>
                <w:p>
                  <w:pPr>
                    <w:pStyle w:val="30"/>
                    <w:spacing w:after="0"/>
                    <w:ind w:firstLine="0" w:firstLineChars="0"/>
                    <w:jc w:val="center"/>
                    <w:rPr>
                      <w:b/>
                      <w:szCs w:val="21"/>
                    </w:rPr>
                  </w:pPr>
                  <w:r>
                    <w:rPr>
                      <w:b/>
                      <w:szCs w:val="21"/>
                    </w:rPr>
                    <w:t>排放速率</w:t>
                  </w:r>
                </w:p>
                <w:p>
                  <w:pPr>
                    <w:pStyle w:val="30"/>
                    <w:spacing w:after="0"/>
                    <w:ind w:firstLine="0" w:firstLineChars="0"/>
                    <w:jc w:val="center"/>
                    <w:rPr>
                      <w:b/>
                      <w:szCs w:val="21"/>
                    </w:rPr>
                  </w:pPr>
                  <w:r>
                    <w:rPr>
                      <w:b/>
                      <w:szCs w:val="21"/>
                    </w:rPr>
                    <w:t>（kg/h）</w:t>
                  </w:r>
                </w:p>
              </w:tc>
              <w:tc>
                <w:tcPr>
                  <w:tcW w:w="856" w:type="pct"/>
                  <w:shd w:val="clear" w:color="auto" w:fill="CCFFFF"/>
                  <w:noWrap w:val="0"/>
                  <w:vAlign w:val="center"/>
                </w:tcPr>
                <w:p>
                  <w:pPr>
                    <w:pStyle w:val="30"/>
                    <w:spacing w:after="0"/>
                    <w:ind w:firstLine="0" w:firstLineChars="0"/>
                    <w:jc w:val="center"/>
                    <w:rPr>
                      <w:b/>
                      <w:szCs w:val="21"/>
                    </w:rPr>
                  </w:pPr>
                  <w:r>
                    <w:rPr>
                      <w:b/>
                      <w:szCs w:val="21"/>
                    </w:rPr>
                    <w:t>厂界标准值</w:t>
                  </w:r>
                </w:p>
                <w:p>
                  <w:pPr>
                    <w:pStyle w:val="30"/>
                    <w:spacing w:after="0"/>
                    <w:ind w:firstLine="0" w:firstLineChars="0"/>
                    <w:jc w:val="center"/>
                    <w:rPr>
                      <w:b/>
                      <w:szCs w:val="21"/>
                    </w:rPr>
                  </w:pPr>
                  <w:r>
                    <w:rPr>
                      <w:b/>
                      <w:szCs w:val="21"/>
                    </w:rPr>
                    <w:t>（mg/m</w:t>
                  </w:r>
                  <w:r>
                    <w:rPr>
                      <w:b/>
                      <w:szCs w:val="21"/>
                      <w:vertAlign w:val="superscript"/>
                    </w:rPr>
                    <w:t>3</w:t>
                  </w:r>
                  <w:r>
                    <w:rPr>
                      <w:b/>
                      <w:szCs w:val="21"/>
                    </w:rPr>
                    <w:t>）</w:t>
                  </w:r>
                </w:p>
              </w:tc>
              <w:tc>
                <w:tcPr>
                  <w:tcW w:w="1778" w:type="pct"/>
                  <w:shd w:val="clear" w:color="auto" w:fill="CCFFFF"/>
                  <w:noWrap w:val="0"/>
                  <w:vAlign w:val="center"/>
                </w:tcPr>
                <w:p>
                  <w:pPr>
                    <w:pStyle w:val="30"/>
                    <w:spacing w:after="0"/>
                    <w:ind w:firstLine="0" w:firstLineChars="0"/>
                    <w:jc w:val="center"/>
                    <w:rPr>
                      <w:b/>
                      <w:szCs w:val="21"/>
                    </w:rPr>
                  </w:pPr>
                  <w:r>
                    <w:rPr>
                      <w:b/>
                      <w:szCs w:val="21"/>
                    </w:rPr>
                    <w:t>标准来源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85" w:hRule="atLeast"/>
                <w:jc w:val="center"/>
              </w:trPr>
              <w:tc>
                <w:tcPr>
                  <w:tcW w:w="932" w:type="pct"/>
                  <w:noWrap w:val="0"/>
                  <w:vAlign w:val="center"/>
                </w:tcPr>
                <w:p>
                  <w:pPr>
                    <w:jc w:val="center"/>
                    <w:rPr>
                      <w:szCs w:val="21"/>
                    </w:rPr>
                  </w:pPr>
                  <w:r>
                    <w:rPr>
                      <w:kern w:val="0"/>
                      <w:szCs w:val="21"/>
                    </w:rPr>
                    <w:t>NH</w:t>
                  </w:r>
                  <w:r>
                    <w:rPr>
                      <w:kern w:val="0"/>
                      <w:szCs w:val="21"/>
                      <w:vertAlign w:val="subscript"/>
                    </w:rPr>
                    <w:t>3</w:t>
                  </w:r>
                </w:p>
              </w:tc>
              <w:tc>
                <w:tcPr>
                  <w:tcW w:w="717" w:type="pct"/>
                  <w:noWrap w:val="0"/>
                  <w:vAlign w:val="center"/>
                </w:tcPr>
                <w:p>
                  <w:pPr>
                    <w:pStyle w:val="30"/>
                    <w:spacing w:after="0"/>
                    <w:ind w:firstLine="0" w:firstLineChars="0"/>
                    <w:jc w:val="center"/>
                    <w:rPr>
                      <w:szCs w:val="21"/>
                    </w:rPr>
                  </w:pPr>
                  <w:r>
                    <w:rPr>
                      <w:szCs w:val="21"/>
                    </w:rPr>
                    <w:t>15</w:t>
                  </w:r>
                </w:p>
              </w:tc>
              <w:tc>
                <w:tcPr>
                  <w:tcW w:w="717" w:type="pct"/>
                  <w:noWrap w:val="0"/>
                  <w:vAlign w:val="center"/>
                </w:tcPr>
                <w:p>
                  <w:pPr>
                    <w:widowControl/>
                    <w:jc w:val="center"/>
                    <w:rPr>
                      <w:kern w:val="0"/>
                      <w:szCs w:val="21"/>
                    </w:rPr>
                  </w:pPr>
                  <w:r>
                    <w:rPr>
                      <w:kern w:val="0"/>
                      <w:szCs w:val="21"/>
                    </w:rPr>
                    <w:t>4.9</w:t>
                  </w:r>
                </w:p>
              </w:tc>
              <w:tc>
                <w:tcPr>
                  <w:tcW w:w="856" w:type="pct"/>
                  <w:noWrap w:val="0"/>
                  <w:vAlign w:val="center"/>
                </w:tcPr>
                <w:p>
                  <w:pPr>
                    <w:pStyle w:val="30"/>
                    <w:spacing w:after="0"/>
                    <w:ind w:firstLine="0" w:firstLineChars="0"/>
                    <w:jc w:val="center"/>
                    <w:rPr>
                      <w:szCs w:val="21"/>
                    </w:rPr>
                  </w:pPr>
                  <w:r>
                    <w:rPr>
                      <w:szCs w:val="21"/>
                    </w:rPr>
                    <w:t>1.5</w:t>
                  </w:r>
                </w:p>
              </w:tc>
              <w:tc>
                <w:tcPr>
                  <w:tcW w:w="1778" w:type="pct"/>
                  <w:vMerge w:val="restart"/>
                  <w:noWrap w:val="0"/>
                  <w:vAlign w:val="center"/>
                </w:tcPr>
                <w:p>
                  <w:pPr>
                    <w:pStyle w:val="30"/>
                    <w:ind w:firstLine="210"/>
                    <w:jc w:val="center"/>
                    <w:rPr>
                      <w:szCs w:val="21"/>
                    </w:rPr>
                  </w:pPr>
                  <w:r>
                    <w:rPr>
                      <w:kern w:val="0"/>
                      <w:szCs w:val="21"/>
                    </w:rPr>
                    <w:t>《城镇污水处理厂污染物排放标准》（GB18918-2002）表4二级标准、《恶臭污染物排放标准》（GB14554-93）表1二级标准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32" w:type="pct"/>
                  <w:noWrap w:val="0"/>
                  <w:vAlign w:val="center"/>
                </w:tcPr>
                <w:p>
                  <w:pPr>
                    <w:adjustRightInd w:val="0"/>
                    <w:snapToGrid w:val="0"/>
                    <w:jc w:val="center"/>
                    <w:rPr>
                      <w:kern w:val="0"/>
                      <w:szCs w:val="21"/>
                    </w:rPr>
                  </w:pPr>
                  <w:r>
                    <w:rPr>
                      <w:kern w:val="0"/>
                      <w:szCs w:val="21"/>
                    </w:rPr>
                    <w:t>H</w:t>
                  </w:r>
                  <w:r>
                    <w:rPr>
                      <w:kern w:val="0"/>
                      <w:szCs w:val="21"/>
                      <w:vertAlign w:val="subscript"/>
                    </w:rPr>
                    <w:t>2</w:t>
                  </w:r>
                  <w:r>
                    <w:rPr>
                      <w:kern w:val="0"/>
                      <w:szCs w:val="21"/>
                    </w:rPr>
                    <w:t>S</w:t>
                  </w:r>
                </w:p>
              </w:tc>
              <w:tc>
                <w:tcPr>
                  <w:tcW w:w="717" w:type="pct"/>
                  <w:noWrap w:val="0"/>
                  <w:vAlign w:val="center"/>
                </w:tcPr>
                <w:p>
                  <w:pPr>
                    <w:pStyle w:val="30"/>
                    <w:spacing w:after="0"/>
                    <w:ind w:firstLine="0" w:firstLineChars="0"/>
                    <w:jc w:val="center"/>
                    <w:rPr>
                      <w:szCs w:val="21"/>
                    </w:rPr>
                  </w:pPr>
                  <w:r>
                    <w:rPr>
                      <w:szCs w:val="21"/>
                    </w:rPr>
                    <w:t>15</w:t>
                  </w:r>
                </w:p>
              </w:tc>
              <w:tc>
                <w:tcPr>
                  <w:tcW w:w="717" w:type="pct"/>
                  <w:noWrap w:val="0"/>
                  <w:vAlign w:val="center"/>
                </w:tcPr>
                <w:p>
                  <w:pPr>
                    <w:widowControl/>
                    <w:jc w:val="center"/>
                    <w:rPr>
                      <w:kern w:val="0"/>
                      <w:szCs w:val="21"/>
                    </w:rPr>
                  </w:pPr>
                  <w:r>
                    <w:rPr>
                      <w:kern w:val="0"/>
                      <w:szCs w:val="21"/>
                    </w:rPr>
                    <w:t>0.33</w:t>
                  </w:r>
                </w:p>
              </w:tc>
              <w:tc>
                <w:tcPr>
                  <w:tcW w:w="856" w:type="pct"/>
                  <w:noWrap w:val="0"/>
                  <w:vAlign w:val="center"/>
                </w:tcPr>
                <w:p>
                  <w:pPr>
                    <w:pStyle w:val="30"/>
                    <w:spacing w:after="0"/>
                    <w:ind w:firstLine="0" w:firstLineChars="0"/>
                    <w:jc w:val="center"/>
                    <w:rPr>
                      <w:szCs w:val="21"/>
                    </w:rPr>
                  </w:pPr>
                  <w:r>
                    <w:rPr>
                      <w:szCs w:val="21"/>
                    </w:rPr>
                    <w:t>0.06</w:t>
                  </w:r>
                </w:p>
              </w:tc>
              <w:tc>
                <w:tcPr>
                  <w:tcW w:w="1778" w:type="pct"/>
                  <w:vMerge w:val="continue"/>
                  <w:noWrap w:val="0"/>
                  <w:vAlign w:val="center"/>
                </w:tcPr>
                <w:p>
                  <w:pPr>
                    <w:pStyle w:val="30"/>
                    <w:spacing w:after="0"/>
                    <w:ind w:firstLine="0" w:firstLineChars="0"/>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32" w:type="pct"/>
                  <w:noWrap w:val="0"/>
                  <w:vAlign w:val="center"/>
                </w:tcPr>
                <w:p>
                  <w:pPr>
                    <w:adjustRightInd w:val="0"/>
                    <w:snapToGrid w:val="0"/>
                    <w:jc w:val="center"/>
                    <w:rPr>
                      <w:kern w:val="0"/>
                      <w:szCs w:val="21"/>
                    </w:rPr>
                  </w:pPr>
                  <w:r>
                    <w:rPr>
                      <w:kern w:val="0"/>
                      <w:szCs w:val="21"/>
                    </w:rPr>
                    <w:t>臭气浓度（无量纲）</w:t>
                  </w:r>
                </w:p>
              </w:tc>
              <w:tc>
                <w:tcPr>
                  <w:tcW w:w="717" w:type="pct"/>
                  <w:noWrap w:val="0"/>
                  <w:vAlign w:val="center"/>
                </w:tcPr>
                <w:p>
                  <w:pPr>
                    <w:pStyle w:val="30"/>
                    <w:spacing w:after="0"/>
                    <w:ind w:firstLine="0" w:firstLineChars="0"/>
                    <w:jc w:val="center"/>
                    <w:rPr>
                      <w:szCs w:val="21"/>
                    </w:rPr>
                  </w:pPr>
                  <w:r>
                    <w:rPr>
                      <w:szCs w:val="21"/>
                    </w:rPr>
                    <w:t>/</w:t>
                  </w:r>
                </w:p>
              </w:tc>
              <w:tc>
                <w:tcPr>
                  <w:tcW w:w="717" w:type="pct"/>
                  <w:noWrap w:val="0"/>
                  <w:vAlign w:val="center"/>
                </w:tcPr>
                <w:p>
                  <w:pPr>
                    <w:widowControl/>
                    <w:jc w:val="center"/>
                    <w:rPr>
                      <w:kern w:val="0"/>
                      <w:szCs w:val="21"/>
                    </w:rPr>
                  </w:pPr>
                  <w:r>
                    <w:rPr>
                      <w:kern w:val="0"/>
                      <w:szCs w:val="21"/>
                    </w:rPr>
                    <w:t>2000</w:t>
                  </w:r>
                </w:p>
              </w:tc>
              <w:tc>
                <w:tcPr>
                  <w:tcW w:w="856" w:type="pct"/>
                  <w:noWrap w:val="0"/>
                  <w:vAlign w:val="center"/>
                </w:tcPr>
                <w:p>
                  <w:pPr>
                    <w:pStyle w:val="30"/>
                    <w:spacing w:after="0"/>
                    <w:ind w:firstLine="0" w:firstLineChars="0"/>
                    <w:jc w:val="center"/>
                    <w:rPr>
                      <w:szCs w:val="21"/>
                    </w:rPr>
                  </w:pPr>
                  <w:r>
                    <w:rPr>
                      <w:szCs w:val="21"/>
                    </w:rPr>
                    <w:t>20</w:t>
                  </w:r>
                </w:p>
              </w:tc>
              <w:tc>
                <w:tcPr>
                  <w:tcW w:w="1778" w:type="pct"/>
                  <w:vMerge w:val="continue"/>
                  <w:noWrap w:val="0"/>
                  <w:vAlign w:val="center"/>
                </w:tcPr>
                <w:p>
                  <w:pPr>
                    <w:pStyle w:val="30"/>
                    <w:spacing w:after="0"/>
                    <w:ind w:firstLine="0" w:firstLineChars="0"/>
                    <w:jc w:val="center"/>
                    <w:rPr>
                      <w:szCs w:val="21"/>
                    </w:rPr>
                  </w:pPr>
                </w:p>
              </w:tc>
            </w:tr>
          </w:tbl>
          <w:p>
            <w:pPr>
              <w:spacing w:before="120" w:beforeLines="50" w:line="360" w:lineRule="auto"/>
              <w:rPr>
                <w:b/>
                <w:bCs/>
                <w:sz w:val="24"/>
              </w:rPr>
            </w:pPr>
            <w:r>
              <w:rPr>
                <w:b/>
                <w:bCs/>
                <w:sz w:val="24"/>
              </w:rPr>
              <w:t>2、废水</w:t>
            </w:r>
          </w:p>
          <w:p>
            <w:pPr>
              <w:spacing w:line="360" w:lineRule="auto"/>
              <w:ind w:firstLine="480" w:firstLineChars="200"/>
              <w:rPr>
                <w:sz w:val="24"/>
              </w:rPr>
            </w:pPr>
            <w:r>
              <w:rPr>
                <w:sz w:val="24"/>
              </w:rPr>
              <w:t>本项目尾水执行《城镇污水处理厂污染物排放标准》（GB18918-2002）一级A标准，具体见下表。</w:t>
            </w:r>
          </w:p>
          <w:p>
            <w:pPr>
              <w:pStyle w:val="121"/>
              <w:adjustRightInd/>
              <w:spacing w:line="240" w:lineRule="auto"/>
              <w:rPr>
                <w:rFonts w:eastAsia="黑体"/>
                <w:b w:val="0"/>
              </w:rPr>
            </w:pPr>
            <w:r>
              <w:rPr>
                <w:rFonts w:eastAsia="黑体"/>
                <w:b w:val="0"/>
              </w:rPr>
              <w:t>表3-14    废水污染物排放标准（单位：mg/L）</w:t>
            </w:r>
          </w:p>
          <w:tbl>
            <w:tblPr>
              <w:tblStyle w:val="3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1565"/>
              <w:gridCol w:w="1526"/>
              <w:gridCol w:w="1007"/>
              <w:gridCol w:w="33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37" w:type="dxa"/>
                  <w:shd w:val="clear" w:color="auto" w:fill="CCFFFF"/>
                  <w:noWrap w:val="0"/>
                  <w:vAlign w:val="center"/>
                </w:tcPr>
                <w:p>
                  <w:pPr>
                    <w:pStyle w:val="117"/>
                    <w:snapToGrid w:val="0"/>
                    <w:spacing w:before="0" w:after="0"/>
                    <w:rPr>
                      <w:b/>
                      <w:bCs/>
                      <w:szCs w:val="21"/>
                    </w:rPr>
                  </w:pPr>
                  <w:r>
                    <w:rPr>
                      <w:b/>
                      <w:bCs/>
                      <w:szCs w:val="21"/>
                    </w:rPr>
                    <w:t>序号</w:t>
                  </w:r>
                </w:p>
              </w:tc>
              <w:tc>
                <w:tcPr>
                  <w:tcW w:w="1781" w:type="dxa"/>
                  <w:shd w:val="clear" w:color="auto" w:fill="CCFFFF"/>
                  <w:noWrap w:val="0"/>
                  <w:vAlign w:val="center"/>
                </w:tcPr>
                <w:p>
                  <w:pPr>
                    <w:pStyle w:val="117"/>
                    <w:snapToGrid w:val="0"/>
                    <w:spacing w:before="0" w:after="0"/>
                    <w:rPr>
                      <w:b/>
                      <w:bCs/>
                      <w:szCs w:val="21"/>
                    </w:rPr>
                  </w:pPr>
                  <w:r>
                    <w:rPr>
                      <w:b/>
                      <w:bCs/>
                      <w:szCs w:val="21"/>
                    </w:rPr>
                    <w:t>污染物种类</w:t>
                  </w:r>
                </w:p>
              </w:tc>
              <w:tc>
                <w:tcPr>
                  <w:tcW w:w="1728" w:type="dxa"/>
                  <w:shd w:val="clear" w:color="auto" w:fill="CCFFFF"/>
                  <w:noWrap w:val="0"/>
                  <w:vAlign w:val="center"/>
                </w:tcPr>
                <w:p>
                  <w:pPr>
                    <w:pStyle w:val="117"/>
                    <w:snapToGrid w:val="0"/>
                    <w:spacing w:before="0" w:after="0"/>
                    <w:rPr>
                      <w:b/>
                      <w:bCs/>
                      <w:szCs w:val="21"/>
                    </w:rPr>
                  </w:pPr>
                  <w:r>
                    <w:rPr>
                      <w:b/>
                      <w:bCs/>
                      <w:szCs w:val="21"/>
                    </w:rPr>
                    <w:t>标准限值mg/L</w:t>
                  </w:r>
                </w:p>
              </w:tc>
              <w:tc>
                <w:tcPr>
                  <w:tcW w:w="1157" w:type="dxa"/>
                  <w:shd w:val="clear" w:color="auto" w:fill="CCFFFF"/>
                  <w:noWrap w:val="0"/>
                  <w:vAlign w:val="center"/>
                </w:tcPr>
                <w:p>
                  <w:pPr>
                    <w:pStyle w:val="117"/>
                    <w:snapToGrid w:val="0"/>
                    <w:spacing w:before="0" w:after="0"/>
                    <w:rPr>
                      <w:b/>
                      <w:bCs/>
                      <w:szCs w:val="21"/>
                    </w:rPr>
                  </w:pPr>
                  <w:r>
                    <w:rPr>
                      <w:b/>
                      <w:bCs/>
                      <w:szCs w:val="21"/>
                    </w:rPr>
                    <w:t>执行点位</w:t>
                  </w:r>
                </w:p>
              </w:tc>
              <w:tc>
                <w:tcPr>
                  <w:tcW w:w="3883" w:type="dxa"/>
                  <w:shd w:val="clear" w:color="auto" w:fill="CCFFFF"/>
                  <w:noWrap w:val="0"/>
                  <w:vAlign w:val="center"/>
                </w:tcPr>
                <w:p>
                  <w:pPr>
                    <w:pStyle w:val="117"/>
                    <w:snapToGrid w:val="0"/>
                    <w:spacing w:before="0" w:after="0"/>
                    <w:rPr>
                      <w:b/>
                      <w:bCs/>
                      <w:szCs w:val="21"/>
                    </w:rPr>
                  </w:pPr>
                  <w:r>
                    <w:rPr>
                      <w:b/>
                      <w:bCs/>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7" w:type="dxa"/>
                  <w:noWrap w:val="0"/>
                  <w:vAlign w:val="center"/>
                </w:tcPr>
                <w:p>
                  <w:pPr>
                    <w:pStyle w:val="117"/>
                    <w:numPr>
                      <w:ilvl w:val="0"/>
                      <w:numId w:val="6"/>
                    </w:numPr>
                    <w:snapToGrid w:val="0"/>
                    <w:spacing w:before="0" w:after="0"/>
                    <w:rPr>
                      <w:szCs w:val="21"/>
                    </w:rPr>
                  </w:pPr>
                </w:p>
              </w:tc>
              <w:tc>
                <w:tcPr>
                  <w:tcW w:w="1781" w:type="dxa"/>
                  <w:noWrap w:val="0"/>
                  <w:vAlign w:val="center"/>
                </w:tcPr>
                <w:p>
                  <w:pPr>
                    <w:pStyle w:val="117"/>
                    <w:snapToGrid w:val="0"/>
                    <w:spacing w:before="0" w:after="0"/>
                    <w:rPr>
                      <w:szCs w:val="21"/>
                    </w:rPr>
                  </w:pPr>
                  <w:r>
                    <w:rPr>
                      <w:szCs w:val="21"/>
                    </w:rPr>
                    <w:t>pH（无量纲）</w:t>
                  </w:r>
                </w:p>
              </w:tc>
              <w:tc>
                <w:tcPr>
                  <w:tcW w:w="1728" w:type="dxa"/>
                  <w:noWrap w:val="0"/>
                  <w:vAlign w:val="center"/>
                </w:tcPr>
                <w:p>
                  <w:pPr>
                    <w:pStyle w:val="117"/>
                    <w:snapToGrid w:val="0"/>
                    <w:spacing w:before="0" w:after="0"/>
                    <w:rPr>
                      <w:szCs w:val="21"/>
                    </w:rPr>
                  </w:pPr>
                  <w:r>
                    <w:rPr>
                      <w:szCs w:val="21"/>
                    </w:rPr>
                    <w:t>6～9</w:t>
                  </w:r>
                </w:p>
              </w:tc>
              <w:tc>
                <w:tcPr>
                  <w:tcW w:w="1157" w:type="dxa"/>
                  <w:vMerge w:val="restart"/>
                  <w:noWrap w:val="0"/>
                  <w:vAlign w:val="center"/>
                </w:tcPr>
                <w:p>
                  <w:pPr>
                    <w:pStyle w:val="117"/>
                    <w:snapToGrid w:val="0"/>
                    <w:spacing w:before="0" w:after="0"/>
                    <w:rPr>
                      <w:szCs w:val="21"/>
                    </w:rPr>
                  </w:pPr>
                  <w:r>
                    <w:rPr>
                      <w:szCs w:val="21"/>
                    </w:rPr>
                    <w:t>达州市第三污水处理厂尾水排口</w:t>
                  </w:r>
                </w:p>
              </w:tc>
              <w:tc>
                <w:tcPr>
                  <w:tcW w:w="3883" w:type="dxa"/>
                  <w:vMerge w:val="restart"/>
                  <w:noWrap w:val="0"/>
                  <w:vAlign w:val="center"/>
                </w:tcPr>
                <w:p>
                  <w:pPr>
                    <w:pStyle w:val="117"/>
                    <w:snapToGrid w:val="0"/>
                    <w:spacing w:before="0" w:after="0"/>
                    <w:rPr>
                      <w:szCs w:val="21"/>
                    </w:rPr>
                  </w:pPr>
                  <w:r>
                    <w:rPr>
                      <w:szCs w:val="21"/>
                    </w:rPr>
                    <w:t>《城镇污水处理厂污染物排放标准》（GB18918-2002）一级A标准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7" w:type="dxa"/>
                  <w:noWrap w:val="0"/>
                  <w:vAlign w:val="center"/>
                </w:tcPr>
                <w:p>
                  <w:pPr>
                    <w:pStyle w:val="117"/>
                    <w:numPr>
                      <w:ilvl w:val="0"/>
                      <w:numId w:val="6"/>
                    </w:numPr>
                    <w:snapToGrid w:val="0"/>
                    <w:spacing w:before="0" w:after="0"/>
                    <w:rPr>
                      <w:szCs w:val="21"/>
                    </w:rPr>
                  </w:pPr>
                </w:p>
              </w:tc>
              <w:tc>
                <w:tcPr>
                  <w:tcW w:w="1781" w:type="dxa"/>
                  <w:noWrap w:val="0"/>
                  <w:vAlign w:val="center"/>
                </w:tcPr>
                <w:p>
                  <w:pPr>
                    <w:pStyle w:val="117"/>
                    <w:snapToGrid w:val="0"/>
                    <w:spacing w:before="0" w:after="0"/>
                    <w:rPr>
                      <w:szCs w:val="21"/>
                    </w:rPr>
                  </w:pPr>
                  <w:r>
                    <w:rPr>
                      <w:szCs w:val="21"/>
                    </w:rPr>
                    <w:t>BOD</w:t>
                  </w:r>
                  <w:r>
                    <w:rPr>
                      <w:szCs w:val="21"/>
                      <w:vertAlign w:val="subscript"/>
                    </w:rPr>
                    <w:t>5</w:t>
                  </w:r>
                </w:p>
              </w:tc>
              <w:tc>
                <w:tcPr>
                  <w:tcW w:w="1728" w:type="dxa"/>
                  <w:noWrap w:val="0"/>
                  <w:vAlign w:val="center"/>
                </w:tcPr>
                <w:p>
                  <w:pPr>
                    <w:pStyle w:val="117"/>
                    <w:snapToGrid w:val="0"/>
                    <w:spacing w:before="0" w:after="0"/>
                    <w:rPr>
                      <w:szCs w:val="21"/>
                    </w:rPr>
                  </w:pPr>
                  <w:r>
                    <w:rPr>
                      <w:szCs w:val="21"/>
                    </w:rPr>
                    <w:t>≤10</w:t>
                  </w:r>
                </w:p>
              </w:tc>
              <w:tc>
                <w:tcPr>
                  <w:tcW w:w="1157" w:type="dxa"/>
                  <w:vMerge w:val="continue"/>
                  <w:noWrap w:val="0"/>
                  <w:vAlign w:val="center"/>
                </w:tcPr>
                <w:p>
                  <w:pPr>
                    <w:pStyle w:val="117"/>
                    <w:snapToGrid w:val="0"/>
                    <w:spacing w:before="0" w:after="0"/>
                    <w:rPr>
                      <w:szCs w:val="21"/>
                    </w:rPr>
                  </w:pPr>
                </w:p>
              </w:tc>
              <w:tc>
                <w:tcPr>
                  <w:tcW w:w="3883" w:type="dxa"/>
                  <w:vMerge w:val="continue"/>
                  <w:noWrap w:val="0"/>
                  <w:vAlign w:val="center"/>
                </w:tcPr>
                <w:p>
                  <w:pPr>
                    <w:pStyle w:val="117"/>
                    <w:snapToGrid w:val="0"/>
                    <w:spacing w:before="0" w:after="0"/>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7" w:type="dxa"/>
                  <w:noWrap w:val="0"/>
                  <w:vAlign w:val="center"/>
                </w:tcPr>
                <w:p>
                  <w:pPr>
                    <w:pStyle w:val="117"/>
                    <w:numPr>
                      <w:ilvl w:val="0"/>
                      <w:numId w:val="6"/>
                    </w:numPr>
                    <w:snapToGrid w:val="0"/>
                    <w:spacing w:before="0" w:after="0"/>
                    <w:rPr>
                      <w:szCs w:val="21"/>
                    </w:rPr>
                  </w:pPr>
                </w:p>
              </w:tc>
              <w:tc>
                <w:tcPr>
                  <w:tcW w:w="1781" w:type="dxa"/>
                  <w:noWrap w:val="0"/>
                  <w:vAlign w:val="center"/>
                </w:tcPr>
                <w:p>
                  <w:pPr>
                    <w:pStyle w:val="117"/>
                    <w:snapToGrid w:val="0"/>
                    <w:spacing w:before="0" w:after="0"/>
                    <w:rPr>
                      <w:szCs w:val="21"/>
                    </w:rPr>
                  </w:pPr>
                  <w:r>
                    <w:rPr>
                      <w:szCs w:val="21"/>
                    </w:rPr>
                    <w:t>COD</w:t>
                  </w:r>
                </w:p>
              </w:tc>
              <w:tc>
                <w:tcPr>
                  <w:tcW w:w="1728" w:type="dxa"/>
                  <w:noWrap w:val="0"/>
                  <w:vAlign w:val="center"/>
                </w:tcPr>
                <w:p>
                  <w:pPr>
                    <w:pStyle w:val="117"/>
                    <w:snapToGrid w:val="0"/>
                    <w:spacing w:before="0" w:after="0"/>
                    <w:rPr>
                      <w:szCs w:val="21"/>
                    </w:rPr>
                  </w:pPr>
                  <w:r>
                    <w:rPr>
                      <w:szCs w:val="21"/>
                    </w:rPr>
                    <w:t>≤50</w:t>
                  </w:r>
                </w:p>
              </w:tc>
              <w:tc>
                <w:tcPr>
                  <w:tcW w:w="1157" w:type="dxa"/>
                  <w:vMerge w:val="continue"/>
                  <w:noWrap w:val="0"/>
                  <w:vAlign w:val="center"/>
                </w:tcPr>
                <w:p>
                  <w:pPr>
                    <w:pStyle w:val="117"/>
                    <w:snapToGrid w:val="0"/>
                    <w:spacing w:before="0" w:after="0"/>
                    <w:rPr>
                      <w:szCs w:val="21"/>
                    </w:rPr>
                  </w:pPr>
                </w:p>
              </w:tc>
              <w:tc>
                <w:tcPr>
                  <w:tcW w:w="3883" w:type="dxa"/>
                  <w:vMerge w:val="continue"/>
                  <w:noWrap w:val="0"/>
                  <w:vAlign w:val="center"/>
                </w:tcPr>
                <w:p>
                  <w:pPr>
                    <w:pStyle w:val="117"/>
                    <w:snapToGrid w:val="0"/>
                    <w:spacing w:before="0" w:after="0"/>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7" w:type="dxa"/>
                  <w:noWrap w:val="0"/>
                  <w:vAlign w:val="center"/>
                </w:tcPr>
                <w:p>
                  <w:pPr>
                    <w:pStyle w:val="117"/>
                    <w:numPr>
                      <w:ilvl w:val="0"/>
                      <w:numId w:val="6"/>
                    </w:numPr>
                    <w:snapToGrid w:val="0"/>
                    <w:spacing w:before="0" w:after="0"/>
                    <w:rPr>
                      <w:szCs w:val="21"/>
                    </w:rPr>
                  </w:pPr>
                </w:p>
              </w:tc>
              <w:tc>
                <w:tcPr>
                  <w:tcW w:w="1781" w:type="dxa"/>
                  <w:noWrap w:val="0"/>
                  <w:vAlign w:val="center"/>
                </w:tcPr>
                <w:p>
                  <w:pPr>
                    <w:pStyle w:val="117"/>
                    <w:snapToGrid w:val="0"/>
                    <w:spacing w:before="0" w:after="0"/>
                    <w:rPr>
                      <w:szCs w:val="21"/>
                    </w:rPr>
                  </w:pPr>
                  <w:r>
                    <w:rPr>
                      <w:szCs w:val="21"/>
                    </w:rPr>
                    <w:t>NH</w:t>
                  </w:r>
                  <w:r>
                    <w:rPr>
                      <w:szCs w:val="21"/>
                      <w:vertAlign w:val="subscript"/>
                    </w:rPr>
                    <w:t>3</w:t>
                  </w:r>
                  <w:r>
                    <w:rPr>
                      <w:szCs w:val="21"/>
                    </w:rPr>
                    <w:t>-N</w:t>
                  </w:r>
                </w:p>
              </w:tc>
              <w:tc>
                <w:tcPr>
                  <w:tcW w:w="1728" w:type="dxa"/>
                  <w:noWrap w:val="0"/>
                  <w:vAlign w:val="center"/>
                </w:tcPr>
                <w:p>
                  <w:pPr>
                    <w:pStyle w:val="117"/>
                    <w:snapToGrid w:val="0"/>
                    <w:spacing w:before="0" w:after="0"/>
                    <w:rPr>
                      <w:szCs w:val="21"/>
                    </w:rPr>
                  </w:pPr>
                  <w:r>
                    <w:rPr>
                      <w:szCs w:val="21"/>
                    </w:rPr>
                    <w:t>≤5（8）</w:t>
                  </w:r>
                </w:p>
              </w:tc>
              <w:tc>
                <w:tcPr>
                  <w:tcW w:w="1157" w:type="dxa"/>
                  <w:vMerge w:val="continue"/>
                  <w:noWrap w:val="0"/>
                  <w:vAlign w:val="center"/>
                </w:tcPr>
                <w:p>
                  <w:pPr>
                    <w:pStyle w:val="117"/>
                    <w:snapToGrid w:val="0"/>
                    <w:spacing w:before="0" w:after="0"/>
                    <w:rPr>
                      <w:szCs w:val="21"/>
                    </w:rPr>
                  </w:pPr>
                </w:p>
              </w:tc>
              <w:tc>
                <w:tcPr>
                  <w:tcW w:w="3883" w:type="dxa"/>
                  <w:vMerge w:val="continue"/>
                  <w:noWrap w:val="0"/>
                  <w:vAlign w:val="center"/>
                </w:tcPr>
                <w:p>
                  <w:pPr>
                    <w:pStyle w:val="117"/>
                    <w:snapToGrid w:val="0"/>
                    <w:spacing w:before="0" w:after="0"/>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7" w:type="dxa"/>
                  <w:noWrap w:val="0"/>
                  <w:vAlign w:val="center"/>
                </w:tcPr>
                <w:p>
                  <w:pPr>
                    <w:pStyle w:val="117"/>
                    <w:numPr>
                      <w:ilvl w:val="0"/>
                      <w:numId w:val="6"/>
                    </w:numPr>
                    <w:snapToGrid w:val="0"/>
                    <w:spacing w:before="0" w:after="0"/>
                    <w:rPr>
                      <w:szCs w:val="21"/>
                    </w:rPr>
                  </w:pPr>
                </w:p>
              </w:tc>
              <w:tc>
                <w:tcPr>
                  <w:tcW w:w="1781" w:type="dxa"/>
                  <w:noWrap w:val="0"/>
                  <w:vAlign w:val="center"/>
                </w:tcPr>
                <w:p>
                  <w:pPr>
                    <w:pStyle w:val="117"/>
                    <w:snapToGrid w:val="0"/>
                    <w:spacing w:before="0" w:after="0"/>
                    <w:rPr>
                      <w:szCs w:val="21"/>
                    </w:rPr>
                  </w:pPr>
                  <w:r>
                    <w:rPr>
                      <w:szCs w:val="21"/>
                    </w:rPr>
                    <w:t>石油类</w:t>
                  </w:r>
                </w:p>
              </w:tc>
              <w:tc>
                <w:tcPr>
                  <w:tcW w:w="1728" w:type="dxa"/>
                  <w:noWrap w:val="0"/>
                  <w:vAlign w:val="center"/>
                </w:tcPr>
                <w:p>
                  <w:pPr>
                    <w:pStyle w:val="117"/>
                    <w:snapToGrid w:val="0"/>
                    <w:spacing w:before="0" w:after="0"/>
                    <w:rPr>
                      <w:szCs w:val="21"/>
                    </w:rPr>
                  </w:pPr>
                  <w:r>
                    <w:rPr>
                      <w:szCs w:val="21"/>
                    </w:rPr>
                    <w:t>≤1</w:t>
                  </w:r>
                </w:p>
              </w:tc>
              <w:tc>
                <w:tcPr>
                  <w:tcW w:w="1157" w:type="dxa"/>
                  <w:vMerge w:val="continue"/>
                  <w:noWrap w:val="0"/>
                  <w:vAlign w:val="center"/>
                </w:tcPr>
                <w:p>
                  <w:pPr>
                    <w:pStyle w:val="117"/>
                    <w:snapToGrid w:val="0"/>
                    <w:spacing w:before="0" w:after="0"/>
                    <w:rPr>
                      <w:szCs w:val="21"/>
                    </w:rPr>
                  </w:pPr>
                </w:p>
              </w:tc>
              <w:tc>
                <w:tcPr>
                  <w:tcW w:w="3883" w:type="dxa"/>
                  <w:vMerge w:val="continue"/>
                  <w:noWrap w:val="0"/>
                  <w:vAlign w:val="center"/>
                </w:tcPr>
                <w:p>
                  <w:pPr>
                    <w:pStyle w:val="117"/>
                    <w:snapToGrid w:val="0"/>
                    <w:spacing w:before="0" w:after="0"/>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7" w:type="dxa"/>
                  <w:noWrap w:val="0"/>
                  <w:vAlign w:val="center"/>
                </w:tcPr>
                <w:p>
                  <w:pPr>
                    <w:pStyle w:val="117"/>
                    <w:numPr>
                      <w:ilvl w:val="0"/>
                      <w:numId w:val="6"/>
                    </w:numPr>
                    <w:snapToGrid w:val="0"/>
                    <w:spacing w:before="0" w:after="0"/>
                    <w:rPr>
                      <w:szCs w:val="21"/>
                    </w:rPr>
                  </w:pPr>
                </w:p>
              </w:tc>
              <w:tc>
                <w:tcPr>
                  <w:tcW w:w="1781" w:type="dxa"/>
                  <w:noWrap w:val="0"/>
                  <w:vAlign w:val="center"/>
                </w:tcPr>
                <w:p>
                  <w:pPr>
                    <w:pStyle w:val="117"/>
                    <w:snapToGrid w:val="0"/>
                    <w:spacing w:before="0" w:after="0"/>
                    <w:rPr>
                      <w:szCs w:val="21"/>
                    </w:rPr>
                  </w:pPr>
                  <w:r>
                    <w:rPr>
                      <w:szCs w:val="21"/>
                    </w:rPr>
                    <w:t>TP</w:t>
                  </w:r>
                </w:p>
              </w:tc>
              <w:tc>
                <w:tcPr>
                  <w:tcW w:w="1728" w:type="dxa"/>
                  <w:noWrap w:val="0"/>
                  <w:vAlign w:val="center"/>
                </w:tcPr>
                <w:p>
                  <w:pPr>
                    <w:pStyle w:val="117"/>
                    <w:snapToGrid w:val="0"/>
                    <w:spacing w:before="0" w:after="0"/>
                    <w:rPr>
                      <w:szCs w:val="21"/>
                    </w:rPr>
                  </w:pPr>
                  <w:r>
                    <w:rPr>
                      <w:szCs w:val="21"/>
                    </w:rPr>
                    <w:t>≤0.5</w:t>
                  </w:r>
                </w:p>
              </w:tc>
              <w:tc>
                <w:tcPr>
                  <w:tcW w:w="1157" w:type="dxa"/>
                  <w:vMerge w:val="continue"/>
                  <w:noWrap w:val="0"/>
                  <w:vAlign w:val="center"/>
                </w:tcPr>
                <w:p>
                  <w:pPr>
                    <w:pStyle w:val="117"/>
                    <w:snapToGrid w:val="0"/>
                    <w:spacing w:before="0" w:after="0"/>
                    <w:rPr>
                      <w:szCs w:val="21"/>
                    </w:rPr>
                  </w:pPr>
                </w:p>
              </w:tc>
              <w:tc>
                <w:tcPr>
                  <w:tcW w:w="3883" w:type="dxa"/>
                  <w:vMerge w:val="continue"/>
                  <w:noWrap w:val="0"/>
                  <w:vAlign w:val="center"/>
                </w:tcPr>
                <w:p>
                  <w:pPr>
                    <w:pStyle w:val="117"/>
                    <w:snapToGrid w:val="0"/>
                    <w:spacing w:before="0" w:after="0"/>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7" w:type="dxa"/>
                  <w:noWrap w:val="0"/>
                  <w:vAlign w:val="center"/>
                </w:tcPr>
                <w:p>
                  <w:pPr>
                    <w:pStyle w:val="117"/>
                    <w:numPr>
                      <w:ilvl w:val="0"/>
                      <w:numId w:val="6"/>
                    </w:numPr>
                    <w:snapToGrid w:val="0"/>
                    <w:spacing w:before="0" w:after="0"/>
                    <w:rPr>
                      <w:szCs w:val="21"/>
                    </w:rPr>
                  </w:pPr>
                </w:p>
              </w:tc>
              <w:tc>
                <w:tcPr>
                  <w:tcW w:w="1781" w:type="dxa"/>
                  <w:noWrap w:val="0"/>
                  <w:vAlign w:val="center"/>
                </w:tcPr>
                <w:p>
                  <w:pPr>
                    <w:pStyle w:val="117"/>
                    <w:snapToGrid w:val="0"/>
                    <w:spacing w:before="0" w:after="0"/>
                    <w:rPr>
                      <w:szCs w:val="21"/>
                    </w:rPr>
                  </w:pPr>
                  <w:r>
                    <w:rPr>
                      <w:szCs w:val="21"/>
                    </w:rPr>
                    <w:t>SS</w:t>
                  </w:r>
                </w:p>
              </w:tc>
              <w:tc>
                <w:tcPr>
                  <w:tcW w:w="1728" w:type="dxa"/>
                  <w:noWrap w:val="0"/>
                  <w:vAlign w:val="center"/>
                </w:tcPr>
                <w:p>
                  <w:pPr>
                    <w:pStyle w:val="117"/>
                    <w:snapToGrid w:val="0"/>
                    <w:spacing w:before="0" w:after="0"/>
                    <w:rPr>
                      <w:szCs w:val="21"/>
                    </w:rPr>
                  </w:pPr>
                  <w:r>
                    <w:rPr>
                      <w:szCs w:val="21"/>
                    </w:rPr>
                    <w:t>≤10</w:t>
                  </w:r>
                </w:p>
              </w:tc>
              <w:tc>
                <w:tcPr>
                  <w:tcW w:w="1157" w:type="dxa"/>
                  <w:vMerge w:val="continue"/>
                  <w:noWrap w:val="0"/>
                  <w:vAlign w:val="center"/>
                </w:tcPr>
                <w:p>
                  <w:pPr>
                    <w:pStyle w:val="117"/>
                    <w:snapToGrid w:val="0"/>
                    <w:spacing w:before="0" w:after="0"/>
                    <w:rPr>
                      <w:szCs w:val="21"/>
                    </w:rPr>
                  </w:pPr>
                </w:p>
              </w:tc>
              <w:tc>
                <w:tcPr>
                  <w:tcW w:w="3883" w:type="dxa"/>
                  <w:vMerge w:val="continue"/>
                  <w:noWrap w:val="0"/>
                  <w:vAlign w:val="center"/>
                </w:tcPr>
                <w:p>
                  <w:pPr>
                    <w:pStyle w:val="117"/>
                    <w:snapToGrid w:val="0"/>
                    <w:spacing w:before="0" w:after="0"/>
                    <w:rPr>
                      <w:szCs w:val="21"/>
                    </w:rPr>
                  </w:pPr>
                </w:p>
              </w:tc>
            </w:tr>
          </w:tbl>
          <w:p>
            <w:pPr>
              <w:rPr>
                <w:sz w:val="18"/>
                <w:szCs w:val="18"/>
              </w:rPr>
            </w:pPr>
            <w:r>
              <w:rPr>
                <w:sz w:val="18"/>
                <w:szCs w:val="18"/>
              </w:rPr>
              <w:t>注：括号外数值为水温＞12℃时的控制指标，括号内数值为水温≤12℃时的控制指标。</w:t>
            </w:r>
          </w:p>
          <w:p>
            <w:pPr>
              <w:spacing w:before="120" w:beforeLines="50" w:line="360" w:lineRule="auto"/>
              <w:rPr>
                <w:b/>
                <w:bCs/>
                <w:sz w:val="24"/>
              </w:rPr>
            </w:pPr>
            <w:r>
              <w:rPr>
                <w:b/>
                <w:bCs/>
                <w:sz w:val="24"/>
              </w:rPr>
              <w:t>3、噪声</w:t>
            </w:r>
          </w:p>
          <w:p>
            <w:pPr>
              <w:spacing w:line="360" w:lineRule="auto"/>
              <w:ind w:firstLine="480" w:firstLineChars="200"/>
              <w:rPr>
                <w:sz w:val="24"/>
              </w:rPr>
            </w:pPr>
            <w:r>
              <w:rPr>
                <w:sz w:val="24"/>
              </w:rPr>
              <w:t>（1）施工期</w:t>
            </w:r>
          </w:p>
          <w:p>
            <w:pPr>
              <w:spacing w:line="360" w:lineRule="auto"/>
              <w:ind w:firstLine="480" w:firstLineChars="200"/>
              <w:rPr>
                <w:sz w:val="24"/>
              </w:rPr>
            </w:pPr>
            <w:r>
              <w:rPr>
                <w:sz w:val="24"/>
              </w:rPr>
              <w:t>执行《建筑施工场界环境噪声排放标准》（GB12523-2011），具体要求如下表。</w:t>
            </w:r>
          </w:p>
          <w:p>
            <w:pPr>
              <w:pStyle w:val="122"/>
              <w:adjustRightInd/>
              <w:snapToGrid/>
            </w:pPr>
            <w:r>
              <w:t>表3-15    建筑施工场界环境噪声排放限值 （单位： dB（A））</w:t>
            </w:r>
          </w:p>
          <w:tbl>
            <w:tblPr>
              <w:tblStyle w:val="32"/>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40"/>
              <w:gridCol w:w="1248"/>
              <w:gridCol w:w="54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75" w:type="dxa"/>
                  <w:shd w:val="clear" w:color="auto" w:fill="CCFFFF"/>
                  <w:noWrap w:val="0"/>
                  <w:vAlign w:val="center"/>
                </w:tcPr>
                <w:p>
                  <w:pPr>
                    <w:pStyle w:val="82"/>
                    <w:spacing w:before="24" w:after="24"/>
                    <w:rPr>
                      <w:rFonts w:ascii="Times New Roman"/>
                      <w:b/>
                      <w:szCs w:val="21"/>
                    </w:rPr>
                  </w:pPr>
                  <w:r>
                    <w:rPr>
                      <w:rFonts w:ascii="Times New Roman"/>
                      <w:b/>
                      <w:szCs w:val="21"/>
                    </w:rPr>
                    <w:t>昼间</w:t>
                  </w:r>
                </w:p>
              </w:tc>
              <w:tc>
                <w:tcPr>
                  <w:tcW w:w="1276" w:type="dxa"/>
                  <w:shd w:val="clear" w:color="auto" w:fill="CCFFFF"/>
                  <w:noWrap w:val="0"/>
                  <w:vAlign w:val="center"/>
                </w:tcPr>
                <w:p>
                  <w:pPr>
                    <w:pStyle w:val="82"/>
                    <w:spacing w:before="24" w:after="24"/>
                    <w:rPr>
                      <w:rFonts w:ascii="Times New Roman"/>
                      <w:b/>
                      <w:szCs w:val="21"/>
                    </w:rPr>
                  </w:pPr>
                  <w:r>
                    <w:rPr>
                      <w:rFonts w:ascii="Times New Roman"/>
                      <w:b/>
                      <w:szCs w:val="21"/>
                    </w:rPr>
                    <w:t>夜间</w:t>
                  </w:r>
                </w:p>
              </w:tc>
              <w:tc>
                <w:tcPr>
                  <w:tcW w:w="5579" w:type="dxa"/>
                  <w:shd w:val="clear" w:color="auto" w:fill="CCFFFF"/>
                  <w:noWrap w:val="0"/>
                  <w:vAlign w:val="center"/>
                </w:tcPr>
                <w:p>
                  <w:pPr>
                    <w:pStyle w:val="82"/>
                    <w:spacing w:before="24" w:after="24"/>
                    <w:rPr>
                      <w:rFonts w:ascii="Times New Roman"/>
                      <w:b/>
                      <w:szCs w:val="21"/>
                    </w:rPr>
                  </w:pPr>
                  <w:r>
                    <w:rPr>
                      <w:rFonts w:ascii="Times New Roman"/>
                      <w:b/>
                      <w:szCs w:val="21"/>
                    </w:rPr>
                    <w:t>执行标准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75" w:type="dxa"/>
                  <w:noWrap w:val="0"/>
                  <w:vAlign w:val="center"/>
                </w:tcPr>
                <w:p>
                  <w:pPr>
                    <w:pStyle w:val="82"/>
                    <w:spacing w:before="24" w:after="24"/>
                    <w:rPr>
                      <w:rFonts w:ascii="Times New Roman"/>
                      <w:szCs w:val="21"/>
                    </w:rPr>
                  </w:pPr>
                  <w:r>
                    <w:rPr>
                      <w:rFonts w:ascii="Times New Roman"/>
                      <w:szCs w:val="21"/>
                    </w:rPr>
                    <w:t>70</w:t>
                  </w:r>
                </w:p>
              </w:tc>
              <w:tc>
                <w:tcPr>
                  <w:tcW w:w="1276" w:type="dxa"/>
                  <w:noWrap w:val="0"/>
                  <w:vAlign w:val="center"/>
                </w:tcPr>
                <w:p>
                  <w:pPr>
                    <w:pStyle w:val="82"/>
                    <w:spacing w:before="24" w:after="24"/>
                    <w:rPr>
                      <w:rFonts w:ascii="Times New Roman"/>
                      <w:szCs w:val="21"/>
                    </w:rPr>
                  </w:pPr>
                  <w:r>
                    <w:rPr>
                      <w:rFonts w:ascii="Times New Roman"/>
                      <w:szCs w:val="21"/>
                    </w:rPr>
                    <w:t>55</w:t>
                  </w:r>
                </w:p>
              </w:tc>
              <w:tc>
                <w:tcPr>
                  <w:tcW w:w="5579" w:type="dxa"/>
                  <w:noWrap w:val="0"/>
                  <w:vAlign w:val="center"/>
                </w:tcPr>
                <w:p>
                  <w:pPr>
                    <w:pStyle w:val="82"/>
                    <w:spacing w:before="24" w:after="24"/>
                    <w:rPr>
                      <w:rFonts w:ascii="Times New Roman"/>
                      <w:szCs w:val="21"/>
                    </w:rPr>
                  </w:pPr>
                  <w:r>
                    <w:rPr>
                      <w:rFonts w:ascii="Times New Roman"/>
                      <w:szCs w:val="21"/>
                    </w:rPr>
                    <w:t>《建筑施工场界环境噪声排放标准》（GB12523-2011）</w:t>
                  </w:r>
                </w:p>
              </w:tc>
            </w:tr>
          </w:tbl>
          <w:p>
            <w:pPr>
              <w:spacing w:before="120" w:beforeLines="50" w:line="360" w:lineRule="auto"/>
              <w:ind w:firstLine="480" w:firstLineChars="200"/>
              <w:rPr>
                <w:sz w:val="24"/>
              </w:rPr>
            </w:pPr>
            <w:r>
              <w:rPr>
                <w:sz w:val="24"/>
              </w:rPr>
              <w:t>（2）运行期</w:t>
            </w:r>
          </w:p>
          <w:p>
            <w:pPr>
              <w:spacing w:line="360" w:lineRule="auto"/>
              <w:ind w:firstLine="480" w:firstLineChars="200"/>
              <w:rPr>
                <w:sz w:val="24"/>
              </w:rPr>
            </w:pPr>
            <w:r>
              <w:rPr>
                <w:sz w:val="24"/>
              </w:rPr>
              <w:t>营运期执行《工业企业厂界环境噪声排放标准》（GB12348-2008）中的2类标准。</w:t>
            </w:r>
          </w:p>
          <w:p>
            <w:pPr>
              <w:pStyle w:val="121"/>
              <w:adjustRightInd/>
              <w:spacing w:line="240" w:lineRule="auto"/>
              <w:rPr>
                <w:rFonts w:eastAsia="黑体"/>
                <w:b w:val="0"/>
              </w:rPr>
            </w:pPr>
          </w:p>
          <w:p>
            <w:pPr>
              <w:pStyle w:val="121"/>
              <w:adjustRightInd/>
              <w:spacing w:line="240" w:lineRule="auto"/>
              <w:rPr>
                <w:rFonts w:eastAsia="黑体"/>
                <w:b w:val="0"/>
              </w:rPr>
            </w:pPr>
          </w:p>
          <w:p>
            <w:pPr>
              <w:pStyle w:val="121"/>
              <w:adjustRightInd/>
              <w:spacing w:line="240" w:lineRule="auto"/>
              <w:rPr>
                <w:rFonts w:eastAsia="黑体"/>
                <w:b w:val="0"/>
              </w:rPr>
            </w:pPr>
            <w:r>
              <w:rPr>
                <w:rFonts w:eastAsia="黑体"/>
                <w:b w:val="0"/>
              </w:rPr>
              <w:t>表3</w:t>
            </w:r>
            <w:bookmarkStart w:id="26" w:name="OLE_LINK1"/>
            <w:r>
              <w:rPr>
                <w:rFonts w:eastAsia="黑体"/>
                <w:b w:val="0"/>
              </w:rPr>
              <w:t>-16    工业企业厂界环境噪声排放限值（单位：dB（A））</w:t>
            </w:r>
          </w:p>
          <w:bookmarkEnd w:id="26"/>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512"/>
              <w:gridCol w:w="1510"/>
              <w:gridCol w:w="806"/>
              <w:gridCol w:w="429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30" w:type="pct"/>
                  <w:shd w:val="clear" w:color="auto" w:fill="CCFFFF"/>
                  <w:noWrap w:val="0"/>
                  <w:vAlign w:val="center"/>
                </w:tcPr>
                <w:p>
                  <w:pPr>
                    <w:pStyle w:val="24"/>
                    <w:ind w:left="0" w:firstLine="0"/>
                    <w:jc w:val="center"/>
                    <w:rPr>
                      <w:b/>
                      <w:sz w:val="21"/>
                      <w:szCs w:val="21"/>
                    </w:rPr>
                  </w:pPr>
                  <w:r>
                    <w:rPr>
                      <w:b/>
                      <w:sz w:val="21"/>
                      <w:szCs w:val="21"/>
                    </w:rPr>
                    <w:t>类别</w:t>
                  </w:r>
                </w:p>
              </w:tc>
              <w:tc>
                <w:tcPr>
                  <w:tcW w:w="929" w:type="pct"/>
                  <w:shd w:val="clear" w:color="auto" w:fill="CCFFFF"/>
                  <w:noWrap w:val="0"/>
                  <w:vAlign w:val="center"/>
                </w:tcPr>
                <w:p>
                  <w:pPr>
                    <w:pStyle w:val="24"/>
                    <w:ind w:left="0" w:firstLine="0"/>
                    <w:jc w:val="center"/>
                    <w:rPr>
                      <w:b/>
                      <w:sz w:val="21"/>
                      <w:szCs w:val="21"/>
                    </w:rPr>
                  </w:pPr>
                  <w:r>
                    <w:rPr>
                      <w:b/>
                      <w:sz w:val="21"/>
                      <w:szCs w:val="21"/>
                    </w:rPr>
                    <w:t>昼间</w:t>
                  </w:r>
                </w:p>
              </w:tc>
              <w:tc>
                <w:tcPr>
                  <w:tcW w:w="496" w:type="pct"/>
                  <w:shd w:val="clear" w:color="auto" w:fill="CCFFFF"/>
                  <w:noWrap w:val="0"/>
                  <w:vAlign w:val="center"/>
                </w:tcPr>
                <w:p>
                  <w:pPr>
                    <w:pStyle w:val="24"/>
                    <w:ind w:left="0" w:firstLine="0"/>
                    <w:jc w:val="center"/>
                    <w:rPr>
                      <w:b/>
                      <w:sz w:val="21"/>
                      <w:szCs w:val="21"/>
                    </w:rPr>
                  </w:pPr>
                  <w:r>
                    <w:rPr>
                      <w:b/>
                      <w:sz w:val="21"/>
                      <w:szCs w:val="21"/>
                    </w:rPr>
                    <w:t>夜间</w:t>
                  </w:r>
                </w:p>
              </w:tc>
              <w:tc>
                <w:tcPr>
                  <w:tcW w:w="2645" w:type="pct"/>
                  <w:shd w:val="clear" w:color="auto" w:fill="CCFFFF"/>
                  <w:noWrap w:val="0"/>
                  <w:vAlign w:val="center"/>
                </w:tcPr>
                <w:p>
                  <w:pPr>
                    <w:pStyle w:val="24"/>
                    <w:ind w:left="0" w:firstLine="0"/>
                    <w:jc w:val="center"/>
                    <w:rPr>
                      <w:b/>
                      <w:sz w:val="21"/>
                      <w:szCs w:val="21"/>
                    </w:rPr>
                  </w:pPr>
                  <w:r>
                    <w:rPr>
                      <w:b/>
                      <w:sz w:val="21"/>
                      <w:szCs w:val="21"/>
                    </w:rPr>
                    <w:t>执行标准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30" w:type="pct"/>
                  <w:noWrap w:val="0"/>
                  <w:vAlign w:val="center"/>
                </w:tcPr>
                <w:p>
                  <w:pPr>
                    <w:pStyle w:val="24"/>
                    <w:ind w:left="0" w:firstLine="0"/>
                    <w:jc w:val="center"/>
                    <w:rPr>
                      <w:sz w:val="21"/>
                      <w:szCs w:val="21"/>
                    </w:rPr>
                  </w:pPr>
                  <w:r>
                    <w:rPr>
                      <w:sz w:val="21"/>
                      <w:szCs w:val="21"/>
                    </w:rPr>
                    <w:t>2类</w:t>
                  </w:r>
                </w:p>
              </w:tc>
              <w:tc>
                <w:tcPr>
                  <w:tcW w:w="929" w:type="pct"/>
                  <w:noWrap w:val="0"/>
                  <w:vAlign w:val="center"/>
                </w:tcPr>
                <w:p>
                  <w:pPr>
                    <w:pStyle w:val="24"/>
                    <w:ind w:left="0" w:firstLine="0"/>
                    <w:jc w:val="center"/>
                    <w:rPr>
                      <w:sz w:val="21"/>
                      <w:szCs w:val="21"/>
                    </w:rPr>
                  </w:pPr>
                  <w:r>
                    <w:rPr>
                      <w:sz w:val="21"/>
                      <w:szCs w:val="21"/>
                    </w:rPr>
                    <w:t>60</w:t>
                  </w:r>
                </w:p>
              </w:tc>
              <w:tc>
                <w:tcPr>
                  <w:tcW w:w="496" w:type="pct"/>
                  <w:noWrap w:val="0"/>
                  <w:vAlign w:val="center"/>
                </w:tcPr>
                <w:p>
                  <w:pPr>
                    <w:pStyle w:val="24"/>
                    <w:ind w:left="0" w:firstLine="0"/>
                    <w:jc w:val="center"/>
                    <w:rPr>
                      <w:sz w:val="21"/>
                      <w:szCs w:val="21"/>
                    </w:rPr>
                  </w:pPr>
                  <w:r>
                    <w:rPr>
                      <w:sz w:val="21"/>
                      <w:szCs w:val="21"/>
                    </w:rPr>
                    <w:t>50</w:t>
                  </w:r>
                </w:p>
              </w:tc>
              <w:tc>
                <w:tcPr>
                  <w:tcW w:w="2645" w:type="pct"/>
                  <w:noWrap w:val="0"/>
                  <w:vAlign w:val="center"/>
                </w:tcPr>
                <w:p>
                  <w:pPr>
                    <w:pStyle w:val="24"/>
                    <w:ind w:left="0" w:firstLine="0"/>
                    <w:jc w:val="center"/>
                    <w:rPr>
                      <w:sz w:val="21"/>
                      <w:szCs w:val="21"/>
                    </w:rPr>
                  </w:pPr>
                  <w:r>
                    <w:rPr>
                      <w:sz w:val="21"/>
                      <w:szCs w:val="21"/>
                    </w:rPr>
                    <w:t>《工业企业厂界环境噪声排放标准》</w:t>
                  </w:r>
                </w:p>
                <w:p>
                  <w:pPr>
                    <w:pStyle w:val="24"/>
                    <w:ind w:left="0" w:firstLine="0"/>
                    <w:jc w:val="center"/>
                    <w:rPr>
                      <w:sz w:val="21"/>
                      <w:szCs w:val="21"/>
                    </w:rPr>
                  </w:pPr>
                  <w:r>
                    <w:rPr>
                      <w:sz w:val="21"/>
                      <w:szCs w:val="21"/>
                    </w:rPr>
                    <w:t>（GB 12348-2008）中2类标准</w:t>
                  </w:r>
                </w:p>
              </w:tc>
            </w:tr>
          </w:tbl>
          <w:p>
            <w:pPr>
              <w:spacing w:before="120" w:beforeLines="50" w:line="360" w:lineRule="auto"/>
              <w:rPr>
                <w:b/>
                <w:bCs/>
                <w:sz w:val="24"/>
                <w:lang w:val="zh-CN"/>
              </w:rPr>
            </w:pPr>
            <w:r>
              <w:rPr>
                <w:b/>
                <w:bCs/>
                <w:sz w:val="24"/>
                <w:lang w:val="zh-CN"/>
              </w:rPr>
              <w:t>4、固体废物</w:t>
            </w:r>
          </w:p>
          <w:p>
            <w:pPr>
              <w:adjustRightInd w:val="0"/>
              <w:snapToGrid w:val="0"/>
              <w:spacing w:line="360" w:lineRule="auto"/>
              <w:ind w:firstLine="480" w:firstLineChars="200"/>
              <w:rPr>
                <w:kern w:val="0"/>
                <w:szCs w:val="21"/>
              </w:rPr>
            </w:pPr>
            <w:r>
              <w:rPr>
                <w:sz w:val="24"/>
                <w:lang w:val="zh-CN"/>
              </w:rPr>
              <w:t>一般固废参照《一般工业固体废物贮存和填埋污染控制标准》（GB18599-2020）中相应标准。危险固体废物在厂内贮存时，执行《危险废物贮存污染控制标准》（GB18597-2023）中相关规定。项目污泥执行《城镇污水处理厂污染物排放标准》（GB18918-2002）中相关要求，污泥应进行脱水处理，脱水后污泥含水率应小于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396" w:type="pct"/>
            <w:noWrap w:val="0"/>
            <w:vAlign w:val="center"/>
          </w:tcPr>
          <w:p>
            <w:pPr>
              <w:adjustRightInd w:val="0"/>
              <w:snapToGrid w:val="0"/>
              <w:jc w:val="center"/>
              <w:rPr>
                <w:kern w:val="0"/>
                <w:szCs w:val="21"/>
              </w:rPr>
            </w:pPr>
            <w:r>
              <w:rPr>
                <w:kern w:val="0"/>
                <w:szCs w:val="21"/>
              </w:rPr>
              <w:t>总量控制指标</w:t>
            </w:r>
          </w:p>
        </w:tc>
        <w:tc>
          <w:tcPr>
            <w:tcW w:w="4604" w:type="pct"/>
            <w:noWrap w:val="0"/>
            <w:vAlign w:val="center"/>
          </w:tcPr>
          <w:p>
            <w:pPr>
              <w:pStyle w:val="89"/>
              <w:adjustRightInd w:val="0"/>
              <w:spacing w:line="360" w:lineRule="auto"/>
              <w:ind w:firstLine="480" w:firstLineChars="200"/>
              <w:jc w:val="both"/>
              <w:rPr>
                <w:rFonts w:ascii="Times New Roman" w:hAnsi="Times New Roman" w:cs="Times New Roman"/>
                <w:sz w:val="24"/>
                <w:lang w:eastAsia="zh-CN"/>
              </w:rPr>
            </w:pPr>
            <w:r>
              <w:rPr>
                <w:rFonts w:ascii="Times New Roman" w:hAnsi="Times New Roman" w:cs="Times New Roman"/>
                <w:sz w:val="24"/>
                <w:lang w:eastAsia="zh-CN"/>
              </w:rPr>
              <w:t>依据《建设项目主要污染物排放总量指标审核及管理暂行办法》（环发[2014]197号）、《四川省环境保护厅办公室关于贯彻落实&lt;建设项目主要污染物排放总量指标审核及管理暂行办法&gt;的通知》（川环办发〔2015〕333号）中相关规定，对本项目废水污染物总量控制指标核定排放量计算过程如下：</w:t>
            </w:r>
          </w:p>
          <w:p>
            <w:pPr>
              <w:pStyle w:val="104"/>
              <w:rPr>
                <w:b/>
                <w:bCs/>
              </w:rPr>
            </w:pPr>
            <w:r>
              <w:rPr>
                <w:b/>
                <w:bCs/>
              </w:rPr>
              <w:t>1、改扩建前原环评设计</w:t>
            </w:r>
          </w:p>
          <w:p>
            <w:pPr>
              <w:pStyle w:val="104"/>
            </w:pPr>
            <w:r>
              <w:t>项目污水设计处理能力为0.1万m</w:t>
            </w:r>
            <w:r>
              <w:rPr>
                <w:vertAlign w:val="superscript"/>
              </w:rPr>
              <w:t>3</w:t>
            </w:r>
            <w:r>
              <w:t>/d，排放量为0.1万m</w:t>
            </w:r>
            <w:r>
              <w:rPr>
                <w:vertAlign w:val="superscript"/>
              </w:rPr>
              <w:t>3</w:t>
            </w:r>
            <w:r>
              <w:t>/d。项目尾水执行《城镇污水处理厂污染物排放标准》（GB18918-2002）一级A标准。排放标准如下：</w:t>
            </w:r>
          </w:p>
          <w:p>
            <w:pPr>
              <w:pStyle w:val="104"/>
              <w:ind w:firstLine="480" w:firstLineChars="200"/>
            </w:pPr>
            <w:r>
              <w:t>化学需氧量=1000m</w:t>
            </w:r>
            <w:r>
              <w:rPr>
                <w:vertAlign w:val="superscript"/>
              </w:rPr>
              <w:t>3</w:t>
            </w:r>
            <w:r>
              <w:t>/d×50mg/L×365d/a×10</w:t>
            </w:r>
            <w:r>
              <w:rPr>
                <w:vertAlign w:val="superscript"/>
              </w:rPr>
              <w:t>-6</w:t>
            </w:r>
            <w:r>
              <w:t>=18.25t/a</w:t>
            </w:r>
          </w:p>
          <w:p>
            <w:pPr>
              <w:pStyle w:val="104"/>
              <w:ind w:firstLine="480" w:firstLineChars="200"/>
            </w:pPr>
            <w:r>
              <w:t>氨氮=1000m</w:t>
            </w:r>
            <w:r>
              <w:rPr>
                <w:vertAlign w:val="superscript"/>
              </w:rPr>
              <w:t>3</w:t>
            </w:r>
            <w:r>
              <w:t>/d×5mg/L×365d/a×10</w:t>
            </w:r>
            <w:r>
              <w:rPr>
                <w:vertAlign w:val="superscript"/>
              </w:rPr>
              <w:t>-6</w:t>
            </w:r>
            <w:r>
              <w:t>=1.825t/a</w:t>
            </w:r>
          </w:p>
          <w:p>
            <w:pPr>
              <w:pStyle w:val="104"/>
              <w:ind w:firstLine="480" w:firstLineChars="200"/>
            </w:pPr>
            <w:r>
              <w:t>总磷=1000m</w:t>
            </w:r>
            <w:r>
              <w:rPr>
                <w:vertAlign w:val="superscript"/>
              </w:rPr>
              <w:t>3</w:t>
            </w:r>
            <w:r>
              <w:t>/d×0.5mg/L×365d/a×10</w:t>
            </w:r>
            <w:r>
              <w:rPr>
                <w:vertAlign w:val="superscript"/>
              </w:rPr>
              <w:t>-6</w:t>
            </w:r>
            <w:r>
              <w:t>=0.1825t/a</w:t>
            </w:r>
          </w:p>
          <w:p>
            <w:pPr>
              <w:pStyle w:val="104"/>
              <w:ind w:firstLine="482" w:firstLineChars="200"/>
              <w:rPr>
                <w:b/>
                <w:bCs/>
                <w:szCs w:val="24"/>
              </w:rPr>
            </w:pPr>
            <w:r>
              <w:rPr>
                <w:b/>
                <w:bCs/>
                <w:szCs w:val="24"/>
              </w:rPr>
              <w:t>2、改扩建后</w:t>
            </w:r>
          </w:p>
          <w:p>
            <w:pPr>
              <w:pStyle w:val="104"/>
            </w:pPr>
            <w:r>
              <w:t>项目污水设计处理能力为0.15万m</w:t>
            </w:r>
            <w:r>
              <w:rPr>
                <w:vertAlign w:val="superscript"/>
              </w:rPr>
              <w:t>3</w:t>
            </w:r>
            <w:r>
              <w:t>/d，排放量为0.15万m</w:t>
            </w:r>
            <w:r>
              <w:rPr>
                <w:vertAlign w:val="superscript"/>
              </w:rPr>
              <w:t>3</w:t>
            </w:r>
            <w:r>
              <w:t>/d。项目尾水执行《城镇污水处理厂污染物排放标准》（GB18918-2002）一级A标准。排放标准如下：</w:t>
            </w:r>
          </w:p>
          <w:p>
            <w:pPr>
              <w:pStyle w:val="104"/>
              <w:ind w:firstLine="480" w:firstLineChars="200"/>
            </w:pPr>
            <w:r>
              <w:t>化学需氧量=15000m</w:t>
            </w:r>
            <w:r>
              <w:rPr>
                <w:vertAlign w:val="superscript"/>
              </w:rPr>
              <w:t>3</w:t>
            </w:r>
            <w:r>
              <w:t>/d×50mg/L×365d/a×10</w:t>
            </w:r>
            <w:r>
              <w:rPr>
                <w:vertAlign w:val="superscript"/>
              </w:rPr>
              <w:t>-6</w:t>
            </w:r>
            <w:r>
              <w:t>=27.375t/a</w:t>
            </w:r>
          </w:p>
          <w:p>
            <w:pPr>
              <w:pStyle w:val="104"/>
              <w:ind w:firstLine="480" w:firstLineChars="200"/>
            </w:pPr>
            <w:r>
              <w:t>氨氮=1500m</w:t>
            </w:r>
            <w:r>
              <w:rPr>
                <w:vertAlign w:val="superscript"/>
              </w:rPr>
              <w:t>3</w:t>
            </w:r>
            <w:r>
              <w:t>/d×5mg/L×365d/a×10</w:t>
            </w:r>
            <w:r>
              <w:rPr>
                <w:vertAlign w:val="superscript"/>
              </w:rPr>
              <w:t>-6</w:t>
            </w:r>
            <w:r>
              <w:t>=2.7375t/a</w:t>
            </w:r>
          </w:p>
          <w:p>
            <w:pPr>
              <w:pStyle w:val="104"/>
              <w:ind w:firstLine="480" w:firstLineChars="200"/>
            </w:pPr>
            <w:r>
              <w:t>总磷=1500m</w:t>
            </w:r>
            <w:r>
              <w:rPr>
                <w:vertAlign w:val="superscript"/>
              </w:rPr>
              <w:t>3</w:t>
            </w:r>
            <w:r>
              <w:t>/d×0.5mg/L×365d/a×10</w:t>
            </w:r>
            <w:r>
              <w:rPr>
                <w:vertAlign w:val="superscript"/>
              </w:rPr>
              <w:t>-6</w:t>
            </w:r>
            <w:r>
              <w:t>=0.2738t/a</w:t>
            </w:r>
          </w:p>
          <w:p>
            <w:pPr>
              <w:pStyle w:val="104"/>
              <w:ind w:firstLine="480" w:firstLineChars="200"/>
              <w:rPr>
                <w:szCs w:val="24"/>
              </w:rPr>
            </w:pPr>
            <w:r>
              <w:rPr>
                <w:szCs w:val="24"/>
              </w:rPr>
              <w:t>改扩建前后污染物总量控制指标变化情况见下表：</w:t>
            </w:r>
          </w:p>
          <w:p>
            <w:pPr>
              <w:pStyle w:val="104"/>
              <w:ind w:firstLine="0"/>
              <w:jc w:val="center"/>
              <w:rPr>
                <w:rFonts w:eastAsia="黑体"/>
                <w:szCs w:val="24"/>
              </w:rPr>
            </w:pPr>
            <w:r>
              <w:rPr>
                <w:rFonts w:eastAsia="黑体"/>
                <w:szCs w:val="24"/>
              </w:rPr>
              <w:t>表3-18  改扩建后污染物总量指标变化情况表（单位：t/a）</w:t>
            </w:r>
          </w:p>
          <w:tbl>
            <w:tblPr>
              <w:tblStyle w:val="3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582"/>
              <w:gridCol w:w="1582"/>
              <w:gridCol w:w="1582"/>
              <w:gridCol w:w="1582"/>
              <w:gridCol w:w="15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582" w:type="dxa"/>
                  <w:shd w:val="clear" w:color="auto" w:fill="CCFFFF"/>
                  <w:noWrap w:val="0"/>
                  <w:vAlign w:val="center"/>
                </w:tcPr>
                <w:p>
                  <w:pPr>
                    <w:pStyle w:val="104"/>
                    <w:spacing w:line="240" w:lineRule="auto"/>
                    <w:ind w:firstLine="0"/>
                    <w:jc w:val="center"/>
                    <w:rPr>
                      <w:b/>
                      <w:bCs/>
                      <w:sz w:val="21"/>
                      <w:szCs w:val="21"/>
                    </w:rPr>
                  </w:pPr>
                  <w:r>
                    <w:rPr>
                      <w:b/>
                      <w:bCs/>
                      <w:sz w:val="21"/>
                      <w:szCs w:val="21"/>
                    </w:rPr>
                    <w:t>排污口类型</w:t>
                  </w:r>
                </w:p>
              </w:tc>
              <w:tc>
                <w:tcPr>
                  <w:tcW w:w="1582" w:type="dxa"/>
                  <w:shd w:val="clear" w:color="auto" w:fill="CCFFFF"/>
                  <w:noWrap w:val="0"/>
                  <w:vAlign w:val="center"/>
                </w:tcPr>
                <w:p>
                  <w:pPr>
                    <w:pStyle w:val="104"/>
                    <w:spacing w:line="240" w:lineRule="auto"/>
                    <w:ind w:firstLine="0"/>
                    <w:jc w:val="center"/>
                    <w:rPr>
                      <w:b/>
                      <w:bCs/>
                      <w:sz w:val="21"/>
                      <w:szCs w:val="21"/>
                    </w:rPr>
                  </w:pPr>
                  <w:r>
                    <w:rPr>
                      <w:b/>
                      <w:bCs/>
                      <w:sz w:val="21"/>
                      <w:szCs w:val="21"/>
                    </w:rPr>
                    <w:t>污染物</w:t>
                  </w:r>
                </w:p>
              </w:tc>
              <w:tc>
                <w:tcPr>
                  <w:tcW w:w="1582" w:type="dxa"/>
                  <w:shd w:val="clear" w:color="auto" w:fill="CCFFFF"/>
                  <w:noWrap w:val="0"/>
                  <w:vAlign w:val="center"/>
                </w:tcPr>
                <w:p>
                  <w:pPr>
                    <w:pStyle w:val="104"/>
                    <w:spacing w:line="240" w:lineRule="auto"/>
                    <w:ind w:firstLine="0"/>
                    <w:jc w:val="center"/>
                    <w:rPr>
                      <w:b/>
                      <w:bCs/>
                      <w:sz w:val="21"/>
                      <w:szCs w:val="21"/>
                    </w:rPr>
                  </w:pPr>
                  <w:r>
                    <w:rPr>
                      <w:b/>
                      <w:bCs/>
                      <w:sz w:val="21"/>
                      <w:szCs w:val="21"/>
                    </w:rPr>
                    <w:t>改扩建前</w:t>
                  </w:r>
                </w:p>
              </w:tc>
              <w:tc>
                <w:tcPr>
                  <w:tcW w:w="1582" w:type="dxa"/>
                  <w:shd w:val="clear" w:color="auto" w:fill="CCFFFF"/>
                  <w:noWrap w:val="0"/>
                  <w:vAlign w:val="center"/>
                </w:tcPr>
                <w:p>
                  <w:pPr>
                    <w:pStyle w:val="104"/>
                    <w:spacing w:line="240" w:lineRule="auto"/>
                    <w:ind w:firstLine="0"/>
                    <w:jc w:val="center"/>
                    <w:rPr>
                      <w:b/>
                      <w:bCs/>
                      <w:sz w:val="21"/>
                      <w:szCs w:val="21"/>
                    </w:rPr>
                  </w:pPr>
                  <w:r>
                    <w:rPr>
                      <w:b/>
                      <w:bCs/>
                      <w:sz w:val="21"/>
                      <w:szCs w:val="21"/>
                    </w:rPr>
                    <w:t>改扩建后全厂</w:t>
                  </w:r>
                </w:p>
              </w:tc>
              <w:tc>
                <w:tcPr>
                  <w:tcW w:w="1582" w:type="dxa"/>
                  <w:shd w:val="clear" w:color="auto" w:fill="CCFFFF"/>
                  <w:noWrap w:val="0"/>
                  <w:vAlign w:val="center"/>
                </w:tcPr>
                <w:p>
                  <w:pPr>
                    <w:pStyle w:val="104"/>
                    <w:spacing w:line="240" w:lineRule="auto"/>
                    <w:ind w:firstLine="0"/>
                    <w:jc w:val="center"/>
                    <w:rPr>
                      <w:b/>
                      <w:bCs/>
                      <w:sz w:val="21"/>
                      <w:szCs w:val="21"/>
                    </w:rPr>
                  </w:pPr>
                  <w:r>
                    <w:rPr>
                      <w:b/>
                      <w:bCs/>
                      <w:sz w:val="21"/>
                      <w:szCs w:val="21"/>
                    </w:rPr>
                    <w:t>变化情况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582" w:type="dxa"/>
                  <w:vMerge w:val="restart"/>
                  <w:noWrap w:val="0"/>
                  <w:vAlign w:val="center"/>
                </w:tcPr>
                <w:p>
                  <w:pPr>
                    <w:pStyle w:val="104"/>
                    <w:spacing w:line="240" w:lineRule="auto"/>
                    <w:ind w:firstLine="0"/>
                    <w:jc w:val="center"/>
                    <w:rPr>
                      <w:sz w:val="21"/>
                      <w:szCs w:val="21"/>
                    </w:rPr>
                  </w:pPr>
                  <w:r>
                    <w:rPr>
                      <w:sz w:val="21"/>
                      <w:szCs w:val="21"/>
                    </w:rPr>
                    <w:t>双龙镇污水处理厂</w:t>
                  </w:r>
                </w:p>
              </w:tc>
              <w:tc>
                <w:tcPr>
                  <w:tcW w:w="1582" w:type="dxa"/>
                  <w:noWrap w:val="0"/>
                  <w:vAlign w:val="center"/>
                </w:tcPr>
                <w:p>
                  <w:pPr>
                    <w:pStyle w:val="104"/>
                    <w:spacing w:line="240" w:lineRule="auto"/>
                    <w:ind w:firstLine="0"/>
                    <w:jc w:val="center"/>
                    <w:rPr>
                      <w:sz w:val="21"/>
                      <w:szCs w:val="21"/>
                    </w:rPr>
                  </w:pPr>
                  <w:r>
                    <w:rPr>
                      <w:sz w:val="21"/>
                      <w:szCs w:val="21"/>
                    </w:rPr>
                    <w:t>COD</w:t>
                  </w:r>
                </w:p>
              </w:tc>
              <w:tc>
                <w:tcPr>
                  <w:tcW w:w="1582" w:type="dxa"/>
                  <w:noWrap w:val="0"/>
                  <w:vAlign w:val="center"/>
                </w:tcPr>
                <w:p>
                  <w:pPr>
                    <w:pStyle w:val="104"/>
                    <w:spacing w:line="240" w:lineRule="auto"/>
                    <w:ind w:firstLine="0"/>
                    <w:jc w:val="center"/>
                    <w:rPr>
                      <w:sz w:val="21"/>
                      <w:szCs w:val="21"/>
                    </w:rPr>
                  </w:pPr>
                  <w:r>
                    <w:rPr>
                      <w:sz w:val="21"/>
                      <w:szCs w:val="21"/>
                    </w:rPr>
                    <w:t>18.25</w:t>
                  </w:r>
                </w:p>
              </w:tc>
              <w:tc>
                <w:tcPr>
                  <w:tcW w:w="1582" w:type="dxa"/>
                  <w:noWrap w:val="0"/>
                  <w:vAlign w:val="center"/>
                </w:tcPr>
                <w:p>
                  <w:pPr>
                    <w:pStyle w:val="104"/>
                    <w:spacing w:line="240" w:lineRule="auto"/>
                    <w:ind w:firstLine="0"/>
                    <w:jc w:val="center"/>
                    <w:rPr>
                      <w:sz w:val="21"/>
                      <w:szCs w:val="21"/>
                    </w:rPr>
                  </w:pPr>
                  <w:r>
                    <w:rPr>
                      <w:sz w:val="21"/>
                      <w:szCs w:val="21"/>
                    </w:rPr>
                    <w:t>27.375</w:t>
                  </w:r>
                </w:p>
              </w:tc>
              <w:tc>
                <w:tcPr>
                  <w:tcW w:w="1582" w:type="dxa"/>
                  <w:noWrap w:val="0"/>
                  <w:vAlign w:val="bottom"/>
                </w:tcPr>
                <w:p>
                  <w:pPr>
                    <w:pStyle w:val="104"/>
                    <w:spacing w:line="240" w:lineRule="auto"/>
                    <w:ind w:firstLine="0"/>
                    <w:jc w:val="center"/>
                    <w:rPr>
                      <w:sz w:val="21"/>
                      <w:szCs w:val="21"/>
                    </w:rPr>
                  </w:pPr>
                  <w:r>
                    <w:rPr>
                      <w:sz w:val="21"/>
                      <w:szCs w:val="21"/>
                    </w:rPr>
                    <w:t>+9.125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582" w:type="dxa"/>
                  <w:vMerge w:val="continue"/>
                  <w:noWrap w:val="0"/>
                  <w:vAlign w:val="center"/>
                </w:tcPr>
                <w:p>
                  <w:pPr>
                    <w:pStyle w:val="104"/>
                    <w:spacing w:line="240" w:lineRule="auto"/>
                    <w:ind w:firstLine="0"/>
                    <w:jc w:val="center"/>
                    <w:rPr>
                      <w:sz w:val="21"/>
                      <w:szCs w:val="21"/>
                    </w:rPr>
                  </w:pPr>
                </w:p>
              </w:tc>
              <w:tc>
                <w:tcPr>
                  <w:tcW w:w="1582" w:type="dxa"/>
                  <w:noWrap w:val="0"/>
                  <w:vAlign w:val="center"/>
                </w:tcPr>
                <w:p>
                  <w:pPr>
                    <w:pStyle w:val="104"/>
                    <w:spacing w:line="240" w:lineRule="auto"/>
                    <w:ind w:firstLine="0"/>
                    <w:jc w:val="center"/>
                    <w:rPr>
                      <w:sz w:val="21"/>
                      <w:szCs w:val="21"/>
                    </w:rPr>
                  </w:pPr>
                  <w:r>
                    <w:rPr>
                      <w:sz w:val="21"/>
                      <w:szCs w:val="21"/>
                    </w:rPr>
                    <w:t>氨氮</w:t>
                  </w:r>
                </w:p>
              </w:tc>
              <w:tc>
                <w:tcPr>
                  <w:tcW w:w="1582" w:type="dxa"/>
                  <w:noWrap w:val="0"/>
                  <w:vAlign w:val="center"/>
                </w:tcPr>
                <w:p>
                  <w:pPr>
                    <w:pStyle w:val="104"/>
                    <w:spacing w:line="240" w:lineRule="auto"/>
                    <w:ind w:firstLine="0"/>
                    <w:jc w:val="center"/>
                    <w:rPr>
                      <w:sz w:val="21"/>
                      <w:szCs w:val="21"/>
                    </w:rPr>
                  </w:pPr>
                  <w:r>
                    <w:rPr>
                      <w:sz w:val="21"/>
                      <w:szCs w:val="21"/>
                    </w:rPr>
                    <w:t>1.825</w:t>
                  </w:r>
                </w:p>
              </w:tc>
              <w:tc>
                <w:tcPr>
                  <w:tcW w:w="1582" w:type="dxa"/>
                  <w:noWrap w:val="0"/>
                  <w:vAlign w:val="center"/>
                </w:tcPr>
                <w:p>
                  <w:pPr>
                    <w:pStyle w:val="104"/>
                    <w:spacing w:line="240" w:lineRule="auto"/>
                    <w:ind w:firstLine="0"/>
                    <w:jc w:val="center"/>
                    <w:rPr>
                      <w:sz w:val="21"/>
                      <w:szCs w:val="21"/>
                    </w:rPr>
                  </w:pPr>
                  <w:r>
                    <w:rPr>
                      <w:sz w:val="21"/>
                      <w:szCs w:val="21"/>
                    </w:rPr>
                    <w:t>2.7375</w:t>
                  </w:r>
                </w:p>
              </w:tc>
              <w:tc>
                <w:tcPr>
                  <w:tcW w:w="1582" w:type="dxa"/>
                  <w:noWrap w:val="0"/>
                  <w:vAlign w:val="bottom"/>
                </w:tcPr>
                <w:p>
                  <w:pPr>
                    <w:pStyle w:val="104"/>
                    <w:spacing w:line="240" w:lineRule="auto"/>
                    <w:ind w:firstLine="0"/>
                    <w:jc w:val="center"/>
                    <w:rPr>
                      <w:sz w:val="21"/>
                      <w:szCs w:val="21"/>
                    </w:rPr>
                  </w:pPr>
                  <w:r>
                    <w:rPr>
                      <w:sz w:val="21"/>
                      <w:szCs w:val="21"/>
                    </w:rPr>
                    <w:t>+0.9125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582" w:type="dxa"/>
                  <w:vMerge w:val="continue"/>
                  <w:noWrap w:val="0"/>
                  <w:vAlign w:val="center"/>
                </w:tcPr>
                <w:p>
                  <w:pPr>
                    <w:pStyle w:val="104"/>
                    <w:spacing w:line="240" w:lineRule="auto"/>
                    <w:ind w:firstLine="0"/>
                    <w:jc w:val="center"/>
                    <w:rPr>
                      <w:sz w:val="21"/>
                      <w:szCs w:val="21"/>
                    </w:rPr>
                  </w:pPr>
                </w:p>
              </w:tc>
              <w:tc>
                <w:tcPr>
                  <w:tcW w:w="1582" w:type="dxa"/>
                  <w:noWrap w:val="0"/>
                  <w:vAlign w:val="center"/>
                </w:tcPr>
                <w:p>
                  <w:pPr>
                    <w:pStyle w:val="104"/>
                    <w:spacing w:line="240" w:lineRule="auto"/>
                    <w:ind w:firstLine="0"/>
                    <w:jc w:val="center"/>
                    <w:rPr>
                      <w:sz w:val="21"/>
                      <w:szCs w:val="21"/>
                    </w:rPr>
                  </w:pPr>
                  <w:r>
                    <w:rPr>
                      <w:sz w:val="21"/>
                      <w:szCs w:val="21"/>
                    </w:rPr>
                    <w:t>总磷</w:t>
                  </w:r>
                </w:p>
              </w:tc>
              <w:tc>
                <w:tcPr>
                  <w:tcW w:w="1582" w:type="dxa"/>
                  <w:noWrap w:val="0"/>
                  <w:vAlign w:val="center"/>
                </w:tcPr>
                <w:p>
                  <w:pPr>
                    <w:pStyle w:val="104"/>
                    <w:spacing w:line="240" w:lineRule="auto"/>
                    <w:ind w:firstLine="0"/>
                    <w:jc w:val="center"/>
                    <w:rPr>
                      <w:sz w:val="21"/>
                      <w:szCs w:val="21"/>
                    </w:rPr>
                  </w:pPr>
                  <w:r>
                    <w:rPr>
                      <w:sz w:val="21"/>
                      <w:szCs w:val="21"/>
                    </w:rPr>
                    <w:t>0.1825</w:t>
                  </w:r>
                </w:p>
              </w:tc>
              <w:tc>
                <w:tcPr>
                  <w:tcW w:w="1582" w:type="dxa"/>
                  <w:noWrap w:val="0"/>
                  <w:vAlign w:val="center"/>
                </w:tcPr>
                <w:p>
                  <w:pPr>
                    <w:pStyle w:val="104"/>
                    <w:spacing w:line="240" w:lineRule="auto"/>
                    <w:ind w:firstLine="0"/>
                    <w:jc w:val="center"/>
                    <w:rPr>
                      <w:sz w:val="21"/>
                      <w:szCs w:val="21"/>
                    </w:rPr>
                  </w:pPr>
                  <w:r>
                    <w:rPr>
                      <w:sz w:val="21"/>
                      <w:szCs w:val="21"/>
                    </w:rPr>
                    <w:t>0.2738</w:t>
                  </w:r>
                </w:p>
              </w:tc>
              <w:tc>
                <w:tcPr>
                  <w:tcW w:w="1582" w:type="dxa"/>
                  <w:noWrap w:val="0"/>
                  <w:vAlign w:val="bottom"/>
                </w:tcPr>
                <w:p>
                  <w:pPr>
                    <w:pStyle w:val="104"/>
                    <w:spacing w:line="240" w:lineRule="auto"/>
                    <w:ind w:firstLine="0"/>
                    <w:jc w:val="center"/>
                    <w:rPr>
                      <w:sz w:val="21"/>
                      <w:szCs w:val="21"/>
                    </w:rPr>
                  </w:pPr>
                  <w:r>
                    <w:rPr>
                      <w:sz w:val="21"/>
                      <w:szCs w:val="21"/>
                    </w:rPr>
                    <w:t>+0.0913</w:t>
                  </w:r>
                </w:p>
              </w:tc>
            </w:tr>
          </w:tbl>
          <w:p>
            <w:pPr>
              <w:pStyle w:val="104"/>
              <w:ind w:firstLine="480" w:firstLineChars="200"/>
              <w:rPr>
                <w:b/>
                <w:bCs/>
              </w:rPr>
            </w:pPr>
            <w:r>
              <w:rPr>
                <w:szCs w:val="24"/>
              </w:rPr>
              <w:t>本项目属于污水处理厂建设项目，属于区域水污染减排设施。污水处理厂所需能源主要依靠市政电力供应（设备驱动能源为电能），不涉及主要大气污染物控制指标。</w:t>
            </w:r>
          </w:p>
        </w:tc>
      </w:tr>
    </w:tbl>
    <w:p>
      <w:pPr>
        <w:pStyle w:val="28"/>
        <w:jc w:val="center"/>
        <w:outlineLvl w:val="0"/>
        <w:rPr>
          <w:rFonts w:ascii="Times New Roman" w:hAnsi="Times New Roman"/>
          <w:snapToGrid w:val="0"/>
          <w:sz w:val="30"/>
          <w:szCs w:val="30"/>
        </w:rPr>
      </w:pPr>
      <w:r>
        <w:rPr>
          <w:rFonts w:ascii="Times New Roman" w:hAnsi="Times New Roman"/>
          <w:snapToGrid w:val="0"/>
          <w:sz w:val="36"/>
          <w:szCs w:val="36"/>
        </w:rPr>
        <w:br w:type="page"/>
      </w:r>
      <w:bookmarkStart w:id="27" w:name="_Toc116207761"/>
      <w:r>
        <w:rPr>
          <w:rFonts w:ascii="Times New Roman" w:hAnsi="Times New Roman"/>
          <w:snapToGrid w:val="0"/>
          <w:sz w:val="30"/>
          <w:szCs w:val="30"/>
        </w:rPr>
        <w:t>四、主要环境影响和保护措施</w:t>
      </w:r>
      <w:bookmarkEnd w:id="27"/>
    </w:p>
    <w:tbl>
      <w:tblPr>
        <w:tblStyle w:val="3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27"/>
        <w:gridCol w:w="86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27" w:type="dxa"/>
            <w:noWrap w:val="0"/>
            <w:tcMar>
              <w:left w:w="28" w:type="dxa"/>
              <w:right w:w="28" w:type="dxa"/>
            </w:tcMar>
            <w:vAlign w:val="center"/>
          </w:tcPr>
          <w:p>
            <w:pPr>
              <w:adjustRightInd w:val="0"/>
              <w:snapToGrid w:val="0"/>
              <w:jc w:val="center"/>
            </w:pPr>
            <w:r>
              <w:t>施工</w:t>
            </w:r>
          </w:p>
          <w:p>
            <w:pPr>
              <w:adjustRightInd w:val="0"/>
              <w:snapToGrid w:val="0"/>
              <w:jc w:val="center"/>
            </w:pPr>
            <w:r>
              <w:t>期环</w:t>
            </w:r>
          </w:p>
          <w:p>
            <w:pPr>
              <w:adjustRightInd w:val="0"/>
              <w:snapToGrid w:val="0"/>
              <w:jc w:val="center"/>
            </w:pPr>
            <w:r>
              <w:t>境保</w:t>
            </w:r>
          </w:p>
          <w:p>
            <w:pPr>
              <w:adjustRightInd w:val="0"/>
              <w:snapToGrid w:val="0"/>
              <w:jc w:val="center"/>
            </w:pPr>
            <w:r>
              <w:t>护措</w:t>
            </w:r>
          </w:p>
          <w:p>
            <w:pPr>
              <w:adjustRightInd w:val="0"/>
              <w:snapToGrid w:val="0"/>
              <w:jc w:val="center"/>
              <w:rPr>
                <w:bCs/>
              </w:rPr>
            </w:pPr>
            <w:r>
              <w:t>施</w:t>
            </w:r>
          </w:p>
        </w:tc>
        <w:tc>
          <w:tcPr>
            <w:tcW w:w="8654" w:type="dxa"/>
            <w:noWrap w:val="0"/>
            <w:vAlign w:val="center"/>
          </w:tcPr>
          <w:p>
            <w:pPr>
              <w:adjustRightInd w:val="0"/>
              <w:snapToGrid w:val="0"/>
              <w:spacing w:line="360" w:lineRule="auto"/>
              <w:rPr>
                <w:b/>
                <w:bCs/>
                <w:sz w:val="24"/>
              </w:rPr>
            </w:pPr>
            <w:r>
              <w:rPr>
                <w:b/>
                <w:bCs/>
                <w:sz w:val="24"/>
              </w:rPr>
              <w:t>一、大气污染物</w:t>
            </w:r>
          </w:p>
          <w:p>
            <w:pPr>
              <w:adjustRightInd w:val="0"/>
              <w:snapToGrid w:val="0"/>
              <w:spacing w:line="360" w:lineRule="auto"/>
              <w:ind w:firstLine="480" w:firstLineChars="200"/>
              <w:rPr>
                <w:sz w:val="24"/>
              </w:rPr>
            </w:pPr>
            <w:r>
              <w:rPr>
                <w:sz w:val="24"/>
              </w:rPr>
              <w:t>本项目在建设期对周围大气环境有影响的主要因素是：建筑施工工地扬尘污染、施工机械燃烧柴油排放的废气污染、大型运输车辆的汽车尾气污染。</w:t>
            </w:r>
          </w:p>
          <w:p>
            <w:pPr>
              <w:spacing w:line="360" w:lineRule="auto"/>
              <w:rPr>
                <w:b/>
                <w:bCs/>
                <w:sz w:val="24"/>
              </w:rPr>
            </w:pPr>
            <w:r>
              <w:rPr>
                <w:b/>
                <w:bCs/>
                <w:sz w:val="24"/>
              </w:rPr>
              <w:t>1、施工扬尘</w:t>
            </w:r>
          </w:p>
          <w:p>
            <w:pPr>
              <w:adjustRightInd w:val="0"/>
              <w:snapToGrid w:val="0"/>
              <w:spacing w:line="360" w:lineRule="auto"/>
              <w:ind w:firstLine="480" w:firstLineChars="200"/>
              <w:rPr>
                <w:sz w:val="24"/>
              </w:rPr>
            </w:pPr>
            <w:r>
              <w:rPr>
                <w:sz w:val="24"/>
              </w:rPr>
              <w:t>扬尘造成大气中TSP值增高，施工扬尘的起尘量与许多因素有关，影响起尘量的因素包括：基础开挖起尘量、施工渣土堆场起尘量、进出车辆带泥砂起量、原料搬运量、现场施工条件、采取的防护措施、空气湿度、风速等。</w:t>
            </w:r>
          </w:p>
          <w:p>
            <w:pPr>
              <w:adjustRightInd w:val="0"/>
              <w:snapToGrid w:val="0"/>
              <w:spacing w:line="360" w:lineRule="auto"/>
              <w:ind w:firstLine="480" w:firstLineChars="200"/>
              <w:rPr>
                <w:sz w:val="24"/>
              </w:rPr>
            </w:pPr>
            <w:r>
              <w:rPr>
                <w:sz w:val="24"/>
              </w:rPr>
              <w:t>为有效降低扬尘产生量，保护大气环境，不对周围敏感点造成明显影响，施工单位采取如下措施防尘：</w:t>
            </w:r>
          </w:p>
          <w:p>
            <w:pPr>
              <w:adjustRightInd w:val="0"/>
              <w:snapToGrid w:val="0"/>
              <w:spacing w:line="360" w:lineRule="auto"/>
              <w:ind w:firstLine="480" w:firstLineChars="200"/>
              <w:rPr>
                <w:sz w:val="24"/>
              </w:rPr>
            </w:pPr>
            <w:r>
              <w:rPr>
                <w:sz w:val="24"/>
              </w:rPr>
              <w:t>（1）在施工过程中，作业场地将采取围挡、围护以减少扬尘扩散，围挡、围护对减少扬尘对环境的污染有明显作用，当风速为2.5m/s时可使影响距离缩短40%。在施工现场周围，连续设置不低于2.5m高的围挡，并做到坚固美观。</w:t>
            </w:r>
          </w:p>
          <w:p>
            <w:pPr>
              <w:adjustRightInd w:val="0"/>
              <w:snapToGrid w:val="0"/>
              <w:spacing w:line="360" w:lineRule="auto"/>
              <w:ind w:firstLine="480" w:firstLineChars="200"/>
              <w:rPr>
                <w:sz w:val="24"/>
              </w:rPr>
            </w:pPr>
            <w:r>
              <w:rPr>
                <w:sz w:val="24"/>
              </w:rPr>
              <w:t>（2）在施工场地安排员工定期对施工场地洒水以减少扬尘量，洒水次数根据天气状况而定，一般每天洒水1～2次，若遇到大风或干燥天气可适当增加洒水次数。施工场地洒水与否对扬尘的影响较大，场地洒水后，扬尘量将减低28%～75%，大大减少了其对环境的影响。</w:t>
            </w:r>
          </w:p>
          <w:p>
            <w:pPr>
              <w:adjustRightInd w:val="0"/>
              <w:snapToGrid w:val="0"/>
              <w:spacing w:line="360" w:lineRule="auto"/>
              <w:ind w:firstLine="480" w:firstLineChars="200"/>
              <w:rPr>
                <w:sz w:val="24"/>
              </w:rPr>
            </w:pPr>
            <w:r>
              <w:rPr>
                <w:sz w:val="24"/>
              </w:rPr>
              <w:t>（3）工程建设期间，使用的具有粉尘逸散性的工程材料、砂石、土方或废弃物，应当密闭处理。若在工地内堆置，则应采取覆盖防尘布、覆盖防尘网、配合定期喷洒粉尘抑制剂等措施，防止风蚀起尘。同时对运输建筑材料及建筑垃圾的车辆</w:t>
            </w:r>
            <w:r>
              <w:rPr>
                <w:rFonts w:hint="eastAsia"/>
                <w:sz w:val="24"/>
              </w:rPr>
              <w:t>加盖篷布</w:t>
            </w:r>
            <w:r>
              <w:rPr>
                <w:sz w:val="24"/>
              </w:rPr>
              <w:t>减少洒落；车辆进出、装卸场地时应用水将轮胎冲洗干净；车辆行驶路线应首选外环路，尽量避开居民区和市中心区。</w:t>
            </w:r>
          </w:p>
          <w:p>
            <w:pPr>
              <w:adjustRightInd w:val="0"/>
              <w:snapToGrid w:val="0"/>
              <w:spacing w:line="360" w:lineRule="auto"/>
              <w:ind w:firstLine="480" w:firstLineChars="200"/>
              <w:rPr>
                <w:sz w:val="24"/>
              </w:rPr>
            </w:pPr>
            <w:r>
              <w:rPr>
                <w:sz w:val="24"/>
              </w:rPr>
              <w:t>（4）尽量避免在大风天气下进行施工作业，建议使用商品混凝土。</w:t>
            </w:r>
          </w:p>
          <w:p>
            <w:pPr>
              <w:adjustRightInd w:val="0"/>
              <w:snapToGrid w:val="0"/>
              <w:spacing w:line="360" w:lineRule="auto"/>
              <w:ind w:firstLine="480" w:firstLineChars="200"/>
              <w:rPr>
                <w:sz w:val="24"/>
              </w:rPr>
            </w:pPr>
            <w:r>
              <w:rPr>
                <w:sz w:val="24"/>
              </w:rPr>
              <w:t>（5）在施工场地上设置专人负责建筑垃圾、建筑材料的处置、清运和堆放，堆放场地</w:t>
            </w:r>
            <w:r>
              <w:rPr>
                <w:rFonts w:hint="eastAsia"/>
                <w:sz w:val="24"/>
              </w:rPr>
              <w:t>加盖篷布</w:t>
            </w:r>
            <w:r>
              <w:rPr>
                <w:sz w:val="24"/>
              </w:rPr>
              <w:t>或洒水，防止二次扬尘。</w:t>
            </w:r>
          </w:p>
          <w:p>
            <w:pPr>
              <w:adjustRightInd w:val="0"/>
              <w:snapToGrid w:val="0"/>
              <w:spacing w:line="360" w:lineRule="auto"/>
              <w:ind w:firstLine="480" w:firstLineChars="200"/>
              <w:rPr>
                <w:sz w:val="24"/>
              </w:rPr>
            </w:pPr>
            <w:r>
              <w:rPr>
                <w:sz w:val="24"/>
              </w:rPr>
              <w:t>（6）工程建设期间，施工工地内车行路径，应采取铺设钢板、铺设混凝土、铺设沥青混凝土、铺设用细石或其它功能相当的材料等措施之一，防止机动车扬尘。进出施工现场临时道路应根据实际情况进行硬化，或定期施洒粉尘抑制剂以保持路面低尘负荷状态。</w:t>
            </w:r>
          </w:p>
          <w:p>
            <w:pPr>
              <w:adjustRightInd w:val="0"/>
              <w:snapToGrid w:val="0"/>
              <w:spacing w:line="360" w:lineRule="auto"/>
              <w:ind w:firstLine="480" w:firstLineChars="200"/>
              <w:rPr>
                <w:sz w:val="24"/>
              </w:rPr>
            </w:pPr>
            <w:r>
              <w:rPr>
                <w:sz w:val="24"/>
              </w:rPr>
              <w:t>（7）工程建设期间，对于工地内裸露地面，应采取下列防尘措施之一：覆盖防尘布或防尘网；铺设钢板、混凝土、沥青混凝土、细石或其他功能相当的材料；植被绿化；定期洒水；地表压实处理并洒水；定期喷洒抑尘剂。</w:t>
            </w:r>
          </w:p>
          <w:p>
            <w:pPr>
              <w:adjustRightInd w:val="0"/>
              <w:snapToGrid w:val="0"/>
              <w:spacing w:line="360" w:lineRule="auto"/>
              <w:ind w:firstLine="480" w:firstLineChars="200"/>
              <w:rPr>
                <w:sz w:val="24"/>
              </w:rPr>
            </w:pPr>
            <w:r>
              <w:rPr>
                <w:sz w:val="24"/>
              </w:rPr>
              <w:t>（8）施工期间，施工单位应负责工地周边道路的保洁与清洗责任；施工期间，随工程进度及时进行回填和植被恢复，减少裸露地面和临时土方堆场。</w:t>
            </w:r>
          </w:p>
          <w:p>
            <w:pPr>
              <w:adjustRightInd w:val="0"/>
              <w:snapToGrid w:val="0"/>
              <w:spacing w:line="360" w:lineRule="auto"/>
              <w:ind w:firstLine="480" w:firstLineChars="200"/>
              <w:rPr>
                <w:sz w:val="24"/>
              </w:rPr>
            </w:pPr>
            <w:r>
              <w:rPr>
                <w:sz w:val="24"/>
              </w:rPr>
              <w:t>（9）对建筑垃圾应及时处理、清运、以减少占地，防止扬尘污染，改善施工场地的环境。</w:t>
            </w:r>
          </w:p>
          <w:p>
            <w:pPr>
              <w:adjustRightInd w:val="0"/>
              <w:snapToGrid w:val="0"/>
              <w:spacing w:line="360" w:lineRule="auto"/>
              <w:ind w:firstLine="482" w:firstLineChars="200"/>
              <w:rPr>
                <w:b/>
                <w:bCs/>
                <w:sz w:val="24"/>
              </w:rPr>
            </w:pPr>
            <w:r>
              <w:rPr>
                <w:b/>
                <w:bCs/>
                <w:sz w:val="24"/>
              </w:rPr>
              <w:t>通过采取上述措施，施工场地内扬尘能满足《四川省施工场地扬尘排放标准》（DB51/2682-2020）要求，要求施工场地内土方开挖/土方回填阶段产生的总悬浮颗粒物（TSP）需小于600μg/m</w:t>
            </w:r>
            <w:r>
              <w:rPr>
                <w:b/>
                <w:bCs/>
                <w:sz w:val="24"/>
                <w:vertAlign w:val="superscript"/>
              </w:rPr>
              <w:t>3</w:t>
            </w:r>
            <w:r>
              <w:rPr>
                <w:b/>
                <w:bCs/>
                <w:sz w:val="24"/>
              </w:rPr>
              <w:t>，其他工程阶段产生的总悬浮颗粒物（TSP）需小于250μg/m</w:t>
            </w:r>
            <w:r>
              <w:rPr>
                <w:b/>
                <w:bCs/>
                <w:sz w:val="24"/>
                <w:vertAlign w:val="superscript"/>
              </w:rPr>
              <w:t>3</w:t>
            </w:r>
            <w:r>
              <w:rPr>
                <w:b/>
                <w:bCs/>
                <w:sz w:val="24"/>
              </w:rPr>
              <w:t>。</w:t>
            </w:r>
          </w:p>
          <w:p>
            <w:pPr>
              <w:spacing w:line="360" w:lineRule="auto"/>
              <w:ind w:firstLine="482" w:firstLineChars="200"/>
              <w:rPr>
                <w:sz w:val="24"/>
              </w:rPr>
            </w:pPr>
            <w:r>
              <w:rPr>
                <w:b/>
                <w:bCs/>
                <w:sz w:val="24"/>
              </w:rPr>
              <w:t>在本项目施工期对扬尘严格采取上述防治措施后，其浓度可得到有效控制，能够实现达标排放，不会对区域环境空气产生明显不利影响。</w:t>
            </w:r>
          </w:p>
          <w:p>
            <w:pPr>
              <w:spacing w:line="360" w:lineRule="auto"/>
              <w:ind w:firstLine="482" w:firstLineChars="200"/>
              <w:rPr>
                <w:b/>
                <w:bCs/>
                <w:sz w:val="24"/>
              </w:rPr>
            </w:pPr>
            <w:r>
              <w:rPr>
                <w:b/>
                <w:bCs/>
                <w:sz w:val="24"/>
              </w:rPr>
              <w:t>2、施工机械及运输车辆尾气</w:t>
            </w:r>
          </w:p>
          <w:p>
            <w:pPr>
              <w:spacing w:line="360" w:lineRule="auto"/>
              <w:ind w:firstLine="480" w:firstLineChars="200"/>
              <w:rPr>
                <w:sz w:val="24"/>
              </w:rPr>
            </w:pPr>
            <w:r>
              <w:rPr>
                <w:sz w:val="24"/>
              </w:rPr>
              <w:t>施工过程中产生的车辆及施工机械尾气主要含CO、碳氢化合物、NOx等污染物。汽车运输和施工机具尾气主要对作业点周围和运输路线两侧局部范围产生影响。通过采取采用优质、污染小的燃油，加强大型施工机械和车辆管理，工程承包商的机械设备应配备相应的消烟除尘设备，定期检查、维修，确保施工机械和车辆各项环保指标符合尾气排放要求等措施降低机械尾气的排放。同时，施工区空气流通性好，排放废气中的各项污染物能够很快扩散，不会引起局部大气环境质量的恶化；加之废气排放的不连续性和工程施工期有限，排放的废气对区域的环境空气质量影响是较小的，工程完工后其污染也随之消失。</w:t>
            </w:r>
          </w:p>
          <w:p>
            <w:pPr>
              <w:spacing w:line="360" w:lineRule="auto"/>
              <w:ind w:firstLine="480" w:firstLineChars="200"/>
              <w:rPr>
                <w:sz w:val="24"/>
              </w:rPr>
            </w:pPr>
            <w:r>
              <w:rPr>
                <w:sz w:val="24"/>
              </w:rPr>
              <w:t>综上，施工期间施工方只要</w:t>
            </w:r>
            <w:r>
              <w:rPr>
                <w:rFonts w:hint="eastAsia"/>
                <w:sz w:val="24"/>
              </w:rPr>
              <w:t>按照</w:t>
            </w:r>
            <w:r>
              <w:rPr>
                <w:sz w:val="24"/>
              </w:rPr>
              <w:t>国家规定的施工期污染防治文件相关条款的要求，做到文明施工、清洁施工和科学施工，并按照本环评所提要求及建议采取必要的防治措施，施工期产生的大气污染物可得到有效控制，不会对项目所在区域大气环境产生明显的不良影响。施工结束后，施工期的大气环境影响也将随之消失。</w:t>
            </w:r>
          </w:p>
          <w:p>
            <w:pPr>
              <w:adjustRightInd w:val="0"/>
              <w:snapToGrid w:val="0"/>
              <w:spacing w:line="360" w:lineRule="auto"/>
              <w:rPr>
                <w:sz w:val="24"/>
              </w:rPr>
            </w:pPr>
            <w:r>
              <w:rPr>
                <w:b/>
                <w:bCs/>
                <w:sz w:val="24"/>
              </w:rPr>
              <w:t>二、水</w:t>
            </w:r>
            <w:r>
              <w:rPr>
                <w:rFonts w:hint="eastAsia"/>
                <w:b/>
                <w:bCs/>
                <w:sz w:val="24"/>
              </w:rPr>
              <w:t>污染整治</w:t>
            </w:r>
            <w:r>
              <w:rPr>
                <w:b/>
                <w:bCs/>
                <w:sz w:val="24"/>
              </w:rPr>
              <w:t>理措施</w:t>
            </w:r>
          </w:p>
          <w:p>
            <w:pPr>
              <w:spacing w:line="360" w:lineRule="auto"/>
              <w:ind w:firstLine="480" w:firstLineChars="200"/>
              <w:rPr>
                <w:sz w:val="24"/>
              </w:rPr>
            </w:pPr>
            <w:r>
              <w:rPr>
                <w:sz w:val="24"/>
              </w:rPr>
              <w:t>（1）施工废水</w:t>
            </w:r>
          </w:p>
          <w:p>
            <w:pPr>
              <w:spacing w:line="360" w:lineRule="auto"/>
              <w:ind w:firstLine="480" w:firstLineChars="200"/>
              <w:rPr>
                <w:sz w:val="24"/>
              </w:rPr>
            </w:pPr>
            <w:r>
              <w:rPr>
                <w:sz w:val="24"/>
              </w:rPr>
              <w:t>砂石料冲洗废水：设置沉淀池，将废水悬浮物进行沉淀，上清液可用于建筑工地洒水防尘。人工运输水泥砂浆时，应避免泄漏，泄漏水泥砂浆应及时清理。运浆容器和搅拌用具尽量集中放置，及时清洗，冲洗水引入沉淀池。</w:t>
            </w:r>
          </w:p>
          <w:p>
            <w:pPr>
              <w:spacing w:line="360" w:lineRule="auto"/>
              <w:ind w:firstLine="480" w:firstLineChars="200"/>
              <w:rPr>
                <w:sz w:val="24"/>
              </w:rPr>
            </w:pPr>
            <w:r>
              <w:rPr>
                <w:sz w:val="24"/>
              </w:rPr>
              <w:t>机械和车辆冲洗废水：施工机械和车辆应到附近专门清洗点或修理点进行清洗和修理，机械保养冲洗水、含油污水不得随意排放，废水经隔油池处理后再进入沉淀池处理。</w:t>
            </w:r>
          </w:p>
          <w:p>
            <w:pPr>
              <w:spacing w:line="360" w:lineRule="auto"/>
              <w:ind w:firstLine="480" w:firstLineChars="200"/>
              <w:rPr>
                <w:sz w:val="24"/>
              </w:rPr>
            </w:pPr>
            <w:r>
              <w:rPr>
                <w:sz w:val="24"/>
              </w:rPr>
              <w:t>（2）施工人员生活污水</w:t>
            </w:r>
          </w:p>
          <w:p>
            <w:pPr>
              <w:spacing w:line="360" w:lineRule="auto"/>
              <w:ind w:firstLine="480" w:firstLineChars="200"/>
              <w:rPr>
                <w:sz w:val="24"/>
              </w:rPr>
            </w:pPr>
            <w:r>
              <w:rPr>
                <w:sz w:val="24"/>
              </w:rPr>
              <w:t>施工高峰期间施工人员及管理人员按10人，按60L/人·d计算，用水量为0.6m</w:t>
            </w:r>
            <w:r>
              <w:rPr>
                <w:sz w:val="24"/>
                <w:vertAlign w:val="superscript"/>
              </w:rPr>
              <w:t>3</w:t>
            </w:r>
            <w:r>
              <w:rPr>
                <w:sz w:val="24"/>
              </w:rPr>
              <w:t>/d，生活污水排放系数按0.85计，项目施工期生活污水产生量为0.51m</w:t>
            </w:r>
            <w:r>
              <w:rPr>
                <w:sz w:val="24"/>
                <w:vertAlign w:val="superscript"/>
              </w:rPr>
              <w:t>3</w:t>
            </w:r>
            <w:r>
              <w:rPr>
                <w:sz w:val="24"/>
              </w:rPr>
              <w:t>/d。生活污水中主要污染物为COD、BOD、氨氮、SS等。本项目施工人员餐饮、住宿均依托附近已有的设施，无需建立新的施工临时生活区。</w:t>
            </w:r>
          </w:p>
          <w:p>
            <w:pPr>
              <w:spacing w:line="360" w:lineRule="auto"/>
              <w:ind w:firstLine="480" w:firstLineChars="200"/>
              <w:rPr>
                <w:sz w:val="24"/>
              </w:rPr>
            </w:pPr>
            <w:r>
              <w:rPr>
                <w:sz w:val="24"/>
              </w:rPr>
              <w:t>施工人员产生的生活污水利用附近区域既有的卫生设施进行收集处理，严禁将产生的生活污水随意倾倒入附近水体。</w:t>
            </w:r>
          </w:p>
          <w:p>
            <w:pPr>
              <w:adjustRightInd w:val="0"/>
              <w:snapToGrid w:val="0"/>
              <w:spacing w:line="360" w:lineRule="auto"/>
              <w:rPr>
                <w:b/>
                <w:bCs/>
                <w:sz w:val="24"/>
              </w:rPr>
            </w:pPr>
            <w:r>
              <w:rPr>
                <w:b/>
                <w:bCs/>
                <w:sz w:val="24"/>
              </w:rPr>
              <w:t>三、施工噪声</w:t>
            </w:r>
          </w:p>
          <w:p>
            <w:pPr>
              <w:adjustRightInd w:val="0"/>
              <w:snapToGrid w:val="0"/>
              <w:spacing w:line="360" w:lineRule="auto"/>
              <w:ind w:firstLine="480" w:firstLineChars="200"/>
              <w:rPr>
                <w:kern w:val="0"/>
                <w:sz w:val="24"/>
                <w:szCs w:val="20"/>
              </w:rPr>
            </w:pPr>
            <w:r>
              <w:rPr>
                <w:sz w:val="24"/>
              </w:rPr>
              <w:t>本工程施工期间噪声主要包括施工机械噪声和运输车辆噪声。</w:t>
            </w:r>
            <w:r>
              <w:rPr>
                <w:kern w:val="0"/>
                <w:sz w:val="24"/>
                <w:szCs w:val="20"/>
              </w:rPr>
              <w:t>常用施工设备和运输车辆在作业期间所产生的噪声值见下表。</w:t>
            </w:r>
          </w:p>
          <w:p>
            <w:pPr>
              <w:adjustRightInd w:val="0"/>
              <w:snapToGrid w:val="0"/>
              <w:jc w:val="center"/>
              <w:rPr>
                <w:rFonts w:eastAsia="黑体"/>
                <w:sz w:val="24"/>
                <w:szCs w:val="21"/>
              </w:rPr>
            </w:pPr>
            <w:r>
              <w:rPr>
                <w:rFonts w:eastAsia="黑体"/>
                <w:sz w:val="24"/>
                <w:szCs w:val="21"/>
              </w:rPr>
              <w:t>表4-1  各种施工机械设备的噪声值单位：dB（A）</w:t>
            </w:r>
          </w:p>
          <w:tbl>
            <w:tblPr>
              <w:tblStyle w:val="32"/>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456"/>
              <w:gridCol w:w="1305"/>
              <w:gridCol w:w="2251"/>
              <w:gridCol w:w="3426"/>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863" w:type="pct"/>
                  <w:shd w:val="clear" w:color="auto" w:fill="CCFFFF"/>
                  <w:noWrap w:val="0"/>
                  <w:vAlign w:val="center"/>
                </w:tcPr>
                <w:p>
                  <w:pPr>
                    <w:adjustRightInd w:val="0"/>
                    <w:snapToGrid w:val="0"/>
                    <w:jc w:val="center"/>
                    <w:rPr>
                      <w:b/>
                      <w:szCs w:val="21"/>
                    </w:rPr>
                  </w:pPr>
                  <w:r>
                    <w:rPr>
                      <w:b/>
                      <w:szCs w:val="21"/>
                    </w:rPr>
                    <w:t>序号</w:t>
                  </w:r>
                </w:p>
              </w:tc>
              <w:tc>
                <w:tcPr>
                  <w:tcW w:w="773" w:type="pct"/>
                  <w:shd w:val="clear" w:color="auto" w:fill="CCFFFF"/>
                  <w:noWrap w:val="0"/>
                  <w:vAlign w:val="center"/>
                </w:tcPr>
                <w:p>
                  <w:pPr>
                    <w:adjustRightInd w:val="0"/>
                    <w:snapToGrid w:val="0"/>
                    <w:jc w:val="center"/>
                    <w:rPr>
                      <w:b/>
                      <w:szCs w:val="21"/>
                    </w:rPr>
                  </w:pPr>
                  <w:r>
                    <w:rPr>
                      <w:b/>
                      <w:szCs w:val="21"/>
                    </w:rPr>
                    <w:t>声源</w:t>
                  </w:r>
                </w:p>
              </w:tc>
              <w:tc>
                <w:tcPr>
                  <w:tcW w:w="1334" w:type="pct"/>
                  <w:shd w:val="clear" w:color="auto" w:fill="CCFFFF"/>
                  <w:noWrap w:val="0"/>
                  <w:vAlign w:val="center"/>
                </w:tcPr>
                <w:p>
                  <w:pPr>
                    <w:adjustRightInd w:val="0"/>
                    <w:snapToGrid w:val="0"/>
                    <w:jc w:val="center"/>
                    <w:rPr>
                      <w:b/>
                      <w:szCs w:val="21"/>
                    </w:rPr>
                  </w:pPr>
                  <w:r>
                    <w:rPr>
                      <w:b/>
                      <w:szCs w:val="21"/>
                    </w:rPr>
                    <w:t>声源特点</w:t>
                  </w:r>
                </w:p>
              </w:tc>
              <w:tc>
                <w:tcPr>
                  <w:tcW w:w="2030" w:type="pct"/>
                  <w:shd w:val="clear" w:color="auto" w:fill="CCFFFF"/>
                  <w:noWrap w:val="0"/>
                  <w:vAlign w:val="center"/>
                </w:tcPr>
                <w:p>
                  <w:pPr>
                    <w:adjustRightInd w:val="0"/>
                    <w:snapToGrid w:val="0"/>
                    <w:jc w:val="center"/>
                    <w:rPr>
                      <w:b/>
                      <w:szCs w:val="21"/>
                    </w:rPr>
                  </w:pPr>
                  <w:r>
                    <w:rPr>
                      <w:b/>
                      <w:szCs w:val="21"/>
                    </w:rPr>
                    <w:t>距离设备5m处声压级dB（A）</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63" w:type="pct"/>
                  <w:noWrap w:val="0"/>
                  <w:vAlign w:val="center"/>
                </w:tcPr>
                <w:p>
                  <w:pPr>
                    <w:numPr>
                      <w:ilvl w:val="0"/>
                      <w:numId w:val="7"/>
                    </w:numPr>
                    <w:adjustRightInd w:val="0"/>
                    <w:snapToGrid w:val="0"/>
                    <w:jc w:val="center"/>
                    <w:rPr>
                      <w:szCs w:val="21"/>
                    </w:rPr>
                  </w:pPr>
                </w:p>
              </w:tc>
              <w:tc>
                <w:tcPr>
                  <w:tcW w:w="773" w:type="pct"/>
                  <w:noWrap w:val="0"/>
                  <w:vAlign w:val="center"/>
                </w:tcPr>
                <w:p>
                  <w:pPr>
                    <w:adjustRightInd w:val="0"/>
                    <w:snapToGrid w:val="0"/>
                    <w:jc w:val="center"/>
                    <w:rPr>
                      <w:szCs w:val="21"/>
                    </w:rPr>
                  </w:pPr>
                  <w:r>
                    <w:rPr>
                      <w:szCs w:val="21"/>
                    </w:rPr>
                    <w:t>打夯机</w:t>
                  </w:r>
                </w:p>
              </w:tc>
              <w:tc>
                <w:tcPr>
                  <w:tcW w:w="1334" w:type="pct"/>
                  <w:noWrap w:val="0"/>
                  <w:vAlign w:val="center"/>
                </w:tcPr>
                <w:p>
                  <w:pPr>
                    <w:adjustRightInd w:val="0"/>
                    <w:snapToGrid w:val="0"/>
                    <w:jc w:val="center"/>
                    <w:rPr>
                      <w:szCs w:val="21"/>
                    </w:rPr>
                  </w:pPr>
                  <w:r>
                    <w:rPr>
                      <w:szCs w:val="21"/>
                    </w:rPr>
                    <w:t>流动不稳态源</w:t>
                  </w:r>
                </w:p>
              </w:tc>
              <w:tc>
                <w:tcPr>
                  <w:tcW w:w="2030" w:type="pct"/>
                  <w:noWrap w:val="0"/>
                  <w:vAlign w:val="center"/>
                </w:tcPr>
                <w:p>
                  <w:pPr>
                    <w:adjustRightInd w:val="0"/>
                    <w:snapToGrid w:val="0"/>
                    <w:jc w:val="center"/>
                    <w:rPr>
                      <w:szCs w:val="21"/>
                    </w:rPr>
                  </w:pPr>
                  <w:r>
                    <w:rPr>
                      <w:szCs w:val="21"/>
                    </w:rPr>
                    <w:t>75~82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63" w:type="pct"/>
                  <w:noWrap w:val="0"/>
                  <w:vAlign w:val="center"/>
                </w:tcPr>
                <w:p>
                  <w:pPr>
                    <w:numPr>
                      <w:ilvl w:val="0"/>
                      <w:numId w:val="7"/>
                    </w:numPr>
                    <w:adjustRightInd w:val="0"/>
                    <w:snapToGrid w:val="0"/>
                    <w:jc w:val="center"/>
                    <w:rPr>
                      <w:szCs w:val="21"/>
                    </w:rPr>
                  </w:pPr>
                </w:p>
              </w:tc>
              <w:tc>
                <w:tcPr>
                  <w:tcW w:w="773" w:type="pct"/>
                  <w:noWrap w:val="0"/>
                  <w:vAlign w:val="center"/>
                </w:tcPr>
                <w:p>
                  <w:pPr>
                    <w:adjustRightInd w:val="0"/>
                    <w:snapToGrid w:val="0"/>
                    <w:jc w:val="center"/>
                    <w:rPr>
                      <w:szCs w:val="21"/>
                    </w:rPr>
                  </w:pPr>
                  <w:r>
                    <w:rPr>
                      <w:szCs w:val="21"/>
                    </w:rPr>
                    <w:t>空压机</w:t>
                  </w:r>
                </w:p>
              </w:tc>
              <w:tc>
                <w:tcPr>
                  <w:tcW w:w="1334" w:type="pct"/>
                  <w:noWrap w:val="0"/>
                  <w:vAlign w:val="center"/>
                </w:tcPr>
                <w:p>
                  <w:pPr>
                    <w:adjustRightInd w:val="0"/>
                    <w:snapToGrid w:val="0"/>
                    <w:jc w:val="center"/>
                    <w:rPr>
                      <w:szCs w:val="21"/>
                    </w:rPr>
                  </w:pPr>
                  <w:r>
                    <w:rPr>
                      <w:szCs w:val="21"/>
                    </w:rPr>
                    <w:t>不稳态源</w:t>
                  </w:r>
                </w:p>
              </w:tc>
              <w:tc>
                <w:tcPr>
                  <w:tcW w:w="2030" w:type="pct"/>
                  <w:noWrap w:val="0"/>
                  <w:vAlign w:val="center"/>
                </w:tcPr>
                <w:p>
                  <w:pPr>
                    <w:adjustRightInd w:val="0"/>
                    <w:snapToGrid w:val="0"/>
                    <w:jc w:val="center"/>
                    <w:rPr>
                      <w:szCs w:val="21"/>
                    </w:rPr>
                  </w:pPr>
                  <w:r>
                    <w:rPr>
                      <w:szCs w:val="21"/>
                    </w:rPr>
                    <w:t>75~85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63" w:type="pct"/>
                  <w:noWrap w:val="0"/>
                  <w:vAlign w:val="center"/>
                </w:tcPr>
                <w:p>
                  <w:pPr>
                    <w:numPr>
                      <w:ilvl w:val="0"/>
                      <w:numId w:val="7"/>
                    </w:numPr>
                    <w:adjustRightInd w:val="0"/>
                    <w:snapToGrid w:val="0"/>
                    <w:jc w:val="center"/>
                    <w:rPr>
                      <w:szCs w:val="21"/>
                    </w:rPr>
                  </w:pPr>
                </w:p>
              </w:tc>
              <w:tc>
                <w:tcPr>
                  <w:tcW w:w="773" w:type="pct"/>
                  <w:noWrap w:val="0"/>
                  <w:vAlign w:val="center"/>
                </w:tcPr>
                <w:p>
                  <w:pPr>
                    <w:adjustRightInd w:val="0"/>
                    <w:snapToGrid w:val="0"/>
                    <w:jc w:val="center"/>
                    <w:rPr>
                      <w:szCs w:val="21"/>
                    </w:rPr>
                  </w:pPr>
                  <w:r>
                    <w:rPr>
                      <w:szCs w:val="21"/>
                    </w:rPr>
                    <w:t>打桩机</w:t>
                  </w:r>
                </w:p>
              </w:tc>
              <w:tc>
                <w:tcPr>
                  <w:tcW w:w="1334" w:type="pct"/>
                  <w:noWrap w:val="0"/>
                  <w:vAlign w:val="center"/>
                </w:tcPr>
                <w:p>
                  <w:pPr>
                    <w:adjustRightInd w:val="0"/>
                    <w:snapToGrid w:val="0"/>
                    <w:jc w:val="center"/>
                    <w:rPr>
                      <w:szCs w:val="21"/>
                    </w:rPr>
                  </w:pPr>
                  <w:r>
                    <w:rPr>
                      <w:szCs w:val="21"/>
                    </w:rPr>
                    <w:t>流动不稳态源</w:t>
                  </w:r>
                </w:p>
              </w:tc>
              <w:tc>
                <w:tcPr>
                  <w:tcW w:w="2030" w:type="pct"/>
                  <w:noWrap w:val="0"/>
                  <w:vAlign w:val="center"/>
                </w:tcPr>
                <w:p>
                  <w:pPr>
                    <w:adjustRightInd w:val="0"/>
                    <w:snapToGrid w:val="0"/>
                    <w:jc w:val="center"/>
                    <w:rPr>
                      <w:szCs w:val="21"/>
                    </w:rPr>
                  </w:pPr>
                  <w:r>
                    <w:rPr>
                      <w:szCs w:val="21"/>
                    </w:rPr>
                    <w:t>90~105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63" w:type="pct"/>
                  <w:noWrap w:val="0"/>
                  <w:vAlign w:val="center"/>
                </w:tcPr>
                <w:p>
                  <w:pPr>
                    <w:numPr>
                      <w:ilvl w:val="0"/>
                      <w:numId w:val="7"/>
                    </w:numPr>
                    <w:adjustRightInd w:val="0"/>
                    <w:snapToGrid w:val="0"/>
                    <w:jc w:val="center"/>
                    <w:rPr>
                      <w:szCs w:val="21"/>
                    </w:rPr>
                  </w:pPr>
                </w:p>
              </w:tc>
              <w:tc>
                <w:tcPr>
                  <w:tcW w:w="773" w:type="pct"/>
                  <w:noWrap w:val="0"/>
                  <w:vAlign w:val="center"/>
                </w:tcPr>
                <w:p>
                  <w:pPr>
                    <w:adjustRightInd w:val="0"/>
                    <w:snapToGrid w:val="0"/>
                    <w:jc w:val="center"/>
                    <w:rPr>
                      <w:szCs w:val="21"/>
                    </w:rPr>
                  </w:pPr>
                  <w:r>
                    <w:rPr>
                      <w:szCs w:val="21"/>
                    </w:rPr>
                    <w:t>压缩机</w:t>
                  </w:r>
                </w:p>
              </w:tc>
              <w:tc>
                <w:tcPr>
                  <w:tcW w:w="1334" w:type="pct"/>
                  <w:noWrap w:val="0"/>
                  <w:vAlign w:val="center"/>
                </w:tcPr>
                <w:p>
                  <w:pPr>
                    <w:adjustRightInd w:val="0"/>
                    <w:snapToGrid w:val="0"/>
                    <w:jc w:val="center"/>
                    <w:rPr>
                      <w:szCs w:val="21"/>
                    </w:rPr>
                  </w:pPr>
                  <w:r>
                    <w:rPr>
                      <w:szCs w:val="21"/>
                    </w:rPr>
                    <w:t>流动不稳态源</w:t>
                  </w:r>
                </w:p>
              </w:tc>
              <w:tc>
                <w:tcPr>
                  <w:tcW w:w="2030" w:type="pct"/>
                  <w:noWrap w:val="0"/>
                  <w:vAlign w:val="center"/>
                </w:tcPr>
                <w:p>
                  <w:pPr>
                    <w:adjustRightInd w:val="0"/>
                    <w:snapToGrid w:val="0"/>
                    <w:jc w:val="center"/>
                    <w:rPr>
                      <w:szCs w:val="21"/>
                    </w:rPr>
                  </w:pPr>
                  <w:r>
                    <w:rPr>
                      <w:szCs w:val="21"/>
                    </w:rPr>
                    <w:t>75~88</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63" w:hRule="atLeast"/>
                <w:jc w:val="center"/>
              </w:trPr>
              <w:tc>
                <w:tcPr>
                  <w:tcW w:w="863" w:type="pct"/>
                  <w:noWrap w:val="0"/>
                  <w:vAlign w:val="center"/>
                </w:tcPr>
                <w:p>
                  <w:pPr>
                    <w:numPr>
                      <w:ilvl w:val="0"/>
                      <w:numId w:val="7"/>
                    </w:numPr>
                    <w:adjustRightInd w:val="0"/>
                    <w:snapToGrid w:val="0"/>
                    <w:jc w:val="center"/>
                    <w:rPr>
                      <w:szCs w:val="21"/>
                    </w:rPr>
                  </w:pPr>
                </w:p>
              </w:tc>
              <w:tc>
                <w:tcPr>
                  <w:tcW w:w="773" w:type="pct"/>
                  <w:noWrap w:val="0"/>
                  <w:vAlign w:val="center"/>
                </w:tcPr>
                <w:p>
                  <w:pPr>
                    <w:adjustRightInd w:val="0"/>
                    <w:snapToGrid w:val="0"/>
                    <w:jc w:val="center"/>
                    <w:rPr>
                      <w:szCs w:val="21"/>
                    </w:rPr>
                  </w:pPr>
                  <w:r>
                    <w:rPr>
                      <w:szCs w:val="21"/>
                    </w:rPr>
                    <w:t>电焊机</w:t>
                  </w:r>
                </w:p>
              </w:tc>
              <w:tc>
                <w:tcPr>
                  <w:tcW w:w="1334" w:type="pct"/>
                  <w:noWrap w:val="0"/>
                  <w:vAlign w:val="center"/>
                </w:tcPr>
                <w:p>
                  <w:pPr>
                    <w:adjustRightInd w:val="0"/>
                    <w:snapToGrid w:val="0"/>
                    <w:jc w:val="center"/>
                    <w:rPr>
                      <w:szCs w:val="21"/>
                    </w:rPr>
                  </w:pPr>
                  <w:r>
                    <w:rPr>
                      <w:szCs w:val="21"/>
                    </w:rPr>
                    <w:t>流动不稳态源</w:t>
                  </w:r>
                </w:p>
              </w:tc>
              <w:tc>
                <w:tcPr>
                  <w:tcW w:w="2030" w:type="pct"/>
                  <w:noWrap w:val="0"/>
                  <w:vAlign w:val="center"/>
                </w:tcPr>
                <w:p>
                  <w:pPr>
                    <w:adjustRightInd w:val="0"/>
                    <w:snapToGrid w:val="0"/>
                    <w:jc w:val="center"/>
                    <w:rPr>
                      <w:szCs w:val="21"/>
                    </w:rPr>
                  </w:pPr>
                  <w:r>
                    <w:rPr>
                      <w:szCs w:val="21"/>
                    </w:rPr>
                    <w:t>90~95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63" w:type="pct"/>
                  <w:noWrap w:val="0"/>
                  <w:vAlign w:val="center"/>
                </w:tcPr>
                <w:p>
                  <w:pPr>
                    <w:numPr>
                      <w:ilvl w:val="0"/>
                      <w:numId w:val="7"/>
                    </w:numPr>
                    <w:adjustRightInd w:val="0"/>
                    <w:snapToGrid w:val="0"/>
                    <w:jc w:val="center"/>
                    <w:rPr>
                      <w:szCs w:val="21"/>
                    </w:rPr>
                  </w:pPr>
                </w:p>
              </w:tc>
              <w:tc>
                <w:tcPr>
                  <w:tcW w:w="773" w:type="pct"/>
                  <w:noWrap w:val="0"/>
                  <w:vAlign w:val="center"/>
                </w:tcPr>
                <w:p>
                  <w:pPr>
                    <w:adjustRightInd w:val="0"/>
                    <w:snapToGrid w:val="0"/>
                    <w:jc w:val="center"/>
                    <w:rPr>
                      <w:szCs w:val="21"/>
                    </w:rPr>
                  </w:pPr>
                  <w:r>
                    <w:rPr>
                      <w:szCs w:val="21"/>
                    </w:rPr>
                    <w:t>电锯</w:t>
                  </w:r>
                </w:p>
              </w:tc>
              <w:tc>
                <w:tcPr>
                  <w:tcW w:w="1334" w:type="pct"/>
                  <w:noWrap w:val="0"/>
                  <w:vAlign w:val="center"/>
                </w:tcPr>
                <w:p>
                  <w:pPr>
                    <w:adjustRightInd w:val="0"/>
                    <w:snapToGrid w:val="0"/>
                    <w:jc w:val="center"/>
                    <w:rPr>
                      <w:szCs w:val="21"/>
                    </w:rPr>
                  </w:pPr>
                  <w:r>
                    <w:rPr>
                      <w:szCs w:val="21"/>
                    </w:rPr>
                    <w:t>不稳态源</w:t>
                  </w:r>
                </w:p>
              </w:tc>
              <w:tc>
                <w:tcPr>
                  <w:tcW w:w="2030" w:type="pct"/>
                  <w:noWrap w:val="0"/>
                  <w:vAlign w:val="center"/>
                </w:tcPr>
                <w:p>
                  <w:pPr>
                    <w:adjustRightInd w:val="0"/>
                    <w:snapToGrid w:val="0"/>
                    <w:jc w:val="center"/>
                    <w:rPr>
                      <w:szCs w:val="21"/>
                    </w:rPr>
                  </w:pPr>
                  <w:r>
                    <w:rPr>
                      <w:szCs w:val="21"/>
                    </w:rPr>
                    <w:t>100~110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63" w:type="pct"/>
                  <w:noWrap w:val="0"/>
                  <w:vAlign w:val="center"/>
                </w:tcPr>
                <w:p>
                  <w:pPr>
                    <w:numPr>
                      <w:ilvl w:val="0"/>
                      <w:numId w:val="7"/>
                    </w:numPr>
                    <w:adjustRightInd w:val="0"/>
                    <w:snapToGrid w:val="0"/>
                    <w:jc w:val="center"/>
                    <w:rPr>
                      <w:szCs w:val="21"/>
                    </w:rPr>
                  </w:pPr>
                </w:p>
              </w:tc>
              <w:tc>
                <w:tcPr>
                  <w:tcW w:w="773" w:type="pct"/>
                  <w:noWrap w:val="0"/>
                  <w:vAlign w:val="center"/>
                </w:tcPr>
                <w:p>
                  <w:pPr>
                    <w:adjustRightInd w:val="0"/>
                    <w:snapToGrid w:val="0"/>
                    <w:jc w:val="center"/>
                    <w:rPr>
                      <w:szCs w:val="21"/>
                    </w:rPr>
                  </w:pPr>
                  <w:r>
                    <w:rPr>
                      <w:szCs w:val="21"/>
                    </w:rPr>
                    <w:t>振捣机</w:t>
                  </w:r>
                </w:p>
              </w:tc>
              <w:tc>
                <w:tcPr>
                  <w:tcW w:w="1334" w:type="pct"/>
                  <w:noWrap w:val="0"/>
                  <w:vAlign w:val="center"/>
                </w:tcPr>
                <w:p>
                  <w:pPr>
                    <w:adjustRightInd w:val="0"/>
                    <w:snapToGrid w:val="0"/>
                    <w:jc w:val="center"/>
                    <w:rPr>
                      <w:szCs w:val="21"/>
                    </w:rPr>
                  </w:pPr>
                  <w:r>
                    <w:rPr>
                      <w:szCs w:val="21"/>
                    </w:rPr>
                    <w:t>不稳态源</w:t>
                  </w:r>
                </w:p>
              </w:tc>
              <w:tc>
                <w:tcPr>
                  <w:tcW w:w="2030" w:type="pct"/>
                  <w:noWrap w:val="0"/>
                  <w:vAlign w:val="center"/>
                </w:tcPr>
                <w:p>
                  <w:pPr>
                    <w:adjustRightInd w:val="0"/>
                    <w:snapToGrid w:val="0"/>
                    <w:jc w:val="center"/>
                    <w:rPr>
                      <w:szCs w:val="21"/>
                    </w:rPr>
                  </w:pPr>
                  <w:r>
                    <w:rPr>
                      <w:szCs w:val="21"/>
                    </w:rPr>
                    <w:t>100~105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63" w:type="pct"/>
                  <w:noWrap w:val="0"/>
                  <w:vAlign w:val="center"/>
                </w:tcPr>
                <w:p>
                  <w:pPr>
                    <w:numPr>
                      <w:ilvl w:val="0"/>
                      <w:numId w:val="7"/>
                    </w:numPr>
                    <w:adjustRightInd w:val="0"/>
                    <w:snapToGrid w:val="0"/>
                    <w:jc w:val="center"/>
                    <w:rPr>
                      <w:szCs w:val="21"/>
                    </w:rPr>
                  </w:pPr>
                </w:p>
              </w:tc>
              <w:tc>
                <w:tcPr>
                  <w:tcW w:w="773" w:type="pct"/>
                  <w:noWrap w:val="0"/>
                  <w:vAlign w:val="center"/>
                </w:tcPr>
                <w:p>
                  <w:pPr>
                    <w:adjustRightInd w:val="0"/>
                    <w:snapToGrid w:val="0"/>
                    <w:jc w:val="center"/>
                    <w:rPr>
                      <w:szCs w:val="21"/>
                    </w:rPr>
                  </w:pPr>
                  <w:r>
                    <w:rPr>
                      <w:szCs w:val="21"/>
                    </w:rPr>
                    <w:t>大型载重车</w:t>
                  </w:r>
                </w:p>
              </w:tc>
              <w:tc>
                <w:tcPr>
                  <w:tcW w:w="1334" w:type="pct"/>
                  <w:noWrap w:val="0"/>
                  <w:vAlign w:val="center"/>
                </w:tcPr>
                <w:p>
                  <w:pPr>
                    <w:adjustRightInd w:val="0"/>
                    <w:snapToGrid w:val="0"/>
                    <w:jc w:val="center"/>
                    <w:rPr>
                      <w:szCs w:val="21"/>
                    </w:rPr>
                  </w:pPr>
                  <w:r>
                    <w:rPr>
                      <w:szCs w:val="21"/>
                    </w:rPr>
                    <w:t>流动不稳态源</w:t>
                  </w:r>
                </w:p>
              </w:tc>
              <w:tc>
                <w:tcPr>
                  <w:tcW w:w="2030" w:type="pct"/>
                  <w:noWrap w:val="0"/>
                  <w:vAlign w:val="center"/>
                </w:tcPr>
                <w:p>
                  <w:pPr>
                    <w:adjustRightInd w:val="0"/>
                    <w:snapToGrid w:val="0"/>
                    <w:jc w:val="center"/>
                    <w:rPr>
                      <w:szCs w:val="21"/>
                    </w:rPr>
                  </w:pPr>
                  <w:r>
                    <w:rPr>
                      <w:szCs w:val="21"/>
                    </w:rPr>
                    <w:t>84~89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63" w:type="pct"/>
                  <w:noWrap w:val="0"/>
                  <w:vAlign w:val="center"/>
                </w:tcPr>
                <w:p>
                  <w:pPr>
                    <w:numPr>
                      <w:ilvl w:val="0"/>
                      <w:numId w:val="7"/>
                    </w:numPr>
                    <w:adjustRightInd w:val="0"/>
                    <w:snapToGrid w:val="0"/>
                    <w:jc w:val="center"/>
                    <w:rPr>
                      <w:szCs w:val="21"/>
                    </w:rPr>
                  </w:pPr>
                </w:p>
              </w:tc>
              <w:tc>
                <w:tcPr>
                  <w:tcW w:w="773" w:type="pct"/>
                  <w:noWrap w:val="0"/>
                  <w:vAlign w:val="center"/>
                </w:tcPr>
                <w:p>
                  <w:pPr>
                    <w:adjustRightInd w:val="0"/>
                    <w:snapToGrid w:val="0"/>
                    <w:jc w:val="center"/>
                    <w:rPr>
                      <w:szCs w:val="21"/>
                    </w:rPr>
                  </w:pPr>
                  <w:r>
                    <w:rPr>
                      <w:szCs w:val="21"/>
                    </w:rPr>
                    <w:t>混凝土罐车</w:t>
                  </w:r>
                </w:p>
              </w:tc>
              <w:tc>
                <w:tcPr>
                  <w:tcW w:w="1334" w:type="pct"/>
                  <w:noWrap w:val="0"/>
                  <w:vAlign w:val="center"/>
                </w:tcPr>
                <w:p>
                  <w:pPr>
                    <w:adjustRightInd w:val="0"/>
                    <w:snapToGrid w:val="0"/>
                    <w:jc w:val="center"/>
                    <w:rPr>
                      <w:szCs w:val="21"/>
                    </w:rPr>
                  </w:pPr>
                  <w:r>
                    <w:rPr>
                      <w:szCs w:val="21"/>
                    </w:rPr>
                    <w:t>流动不稳态源</w:t>
                  </w:r>
                </w:p>
              </w:tc>
              <w:tc>
                <w:tcPr>
                  <w:tcW w:w="2030" w:type="pct"/>
                  <w:noWrap w:val="0"/>
                  <w:vAlign w:val="center"/>
                </w:tcPr>
                <w:p>
                  <w:pPr>
                    <w:adjustRightInd w:val="0"/>
                    <w:snapToGrid w:val="0"/>
                    <w:jc w:val="center"/>
                    <w:rPr>
                      <w:szCs w:val="21"/>
                    </w:rPr>
                  </w:pPr>
                  <w:r>
                    <w:rPr>
                      <w:szCs w:val="21"/>
                    </w:rPr>
                    <w:t>80~85</w:t>
                  </w:r>
                </w:p>
              </w:tc>
            </w:tr>
          </w:tbl>
          <w:p>
            <w:pPr>
              <w:adjustRightInd w:val="0"/>
              <w:snapToGrid w:val="0"/>
              <w:spacing w:line="360" w:lineRule="auto"/>
              <w:ind w:firstLine="480" w:firstLineChars="200"/>
              <w:rPr>
                <w:sz w:val="24"/>
              </w:rPr>
            </w:pPr>
            <w:r>
              <w:rPr>
                <w:sz w:val="24"/>
              </w:rPr>
              <w:t>施工期主要施工机械设备噪声源强（声压级）采用《环境噪声与振动控制工程技术导则》（HJ2034-2013）附录表A、2中数据，列于下表。</w:t>
            </w:r>
          </w:p>
          <w:p>
            <w:pPr>
              <w:adjustRightInd w:val="0"/>
              <w:snapToGrid w:val="0"/>
              <w:spacing w:line="360" w:lineRule="auto"/>
              <w:ind w:firstLine="480" w:firstLineChars="200"/>
              <w:rPr>
                <w:sz w:val="24"/>
              </w:rPr>
            </w:pPr>
            <w:r>
              <w:rPr>
                <w:sz w:val="24"/>
              </w:rPr>
              <w:t>为了计算施工噪声对周边环境的影响，采用以下公式对施工期噪声影响进行预测：</w:t>
            </w:r>
          </w:p>
          <w:p>
            <w:pPr>
              <w:adjustRightInd w:val="0"/>
              <w:snapToGrid w:val="0"/>
              <w:spacing w:line="360" w:lineRule="auto"/>
              <w:jc w:val="center"/>
              <w:rPr>
                <w:sz w:val="24"/>
              </w:rPr>
            </w:pPr>
            <w:r>
              <w:rPr>
                <w:sz w:val="24"/>
              </w:rPr>
              <w:t>L</w:t>
            </w:r>
            <w:r>
              <w:rPr>
                <w:sz w:val="24"/>
                <w:vertAlign w:val="subscript"/>
              </w:rPr>
              <w:t>2</w:t>
            </w:r>
            <w:r>
              <w:rPr>
                <w:sz w:val="24"/>
              </w:rPr>
              <w:t>=L</w:t>
            </w:r>
            <w:r>
              <w:rPr>
                <w:sz w:val="24"/>
                <w:vertAlign w:val="subscript"/>
              </w:rPr>
              <w:t>1</w:t>
            </w:r>
            <w:r>
              <w:rPr>
                <w:sz w:val="24"/>
              </w:rPr>
              <w:t>-20lgr2/r1-△</w:t>
            </w:r>
          </w:p>
          <w:p>
            <w:pPr>
              <w:adjustRightInd w:val="0"/>
              <w:snapToGrid w:val="0"/>
              <w:spacing w:line="360" w:lineRule="auto"/>
              <w:ind w:firstLine="480" w:firstLineChars="200"/>
              <w:rPr>
                <w:sz w:val="24"/>
              </w:rPr>
            </w:pPr>
            <w:r>
              <w:rPr>
                <w:sz w:val="24"/>
              </w:rPr>
              <w:t>式中：L</w:t>
            </w:r>
            <w:r>
              <w:rPr>
                <w:sz w:val="24"/>
                <w:vertAlign w:val="subscript"/>
              </w:rPr>
              <w:t>1</w:t>
            </w:r>
            <w:r>
              <w:rPr>
                <w:sz w:val="24"/>
              </w:rPr>
              <w:t>、L</w:t>
            </w:r>
            <w:r>
              <w:rPr>
                <w:sz w:val="24"/>
                <w:vertAlign w:val="subscript"/>
              </w:rPr>
              <w:t>2</w:t>
            </w:r>
            <w:r>
              <w:rPr>
                <w:sz w:val="24"/>
              </w:rPr>
              <w:t>—距离声源r1、r2（m）距离的噪声值（dB)</w:t>
            </w:r>
          </w:p>
          <w:p>
            <w:pPr>
              <w:adjustRightInd w:val="0"/>
              <w:snapToGrid w:val="0"/>
              <w:spacing w:line="360" w:lineRule="auto"/>
              <w:ind w:firstLine="1200" w:firstLineChars="500"/>
              <w:rPr>
                <w:sz w:val="24"/>
              </w:rPr>
            </w:pPr>
            <w:r>
              <w:rPr>
                <w:sz w:val="24"/>
              </w:rPr>
              <w:t>r1—点声源至受声点1的距离(m)</w:t>
            </w:r>
          </w:p>
          <w:p>
            <w:pPr>
              <w:adjustRightInd w:val="0"/>
              <w:snapToGrid w:val="0"/>
              <w:spacing w:line="360" w:lineRule="auto"/>
              <w:ind w:firstLine="1200" w:firstLineChars="500"/>
              <w:rPr>
                <w:sz w:val="24"/>
              </w:rPr>
            </w:pPr>
            <w:r>
              <w:rPr>
                <w:sz w:val="24"/>
              </w:rPr>
              <w:t>r2—点声源至受声点2的距离(m)</w:t>
            </w:r>
          </w:p>
          <w:p>
            <w:pPr>
              <w:adjustRightInd w:val="0"/>
              <w:snapToGrid w:val="0"/>
              <w:spacing w:line="360" w:lineRule="auto"/>
              <w:ind w:firstLine="1200" w:firstLineChars="500"/>
              <w:rPr>
                <w:sz w:val="24"/>
              </w:rPr>
            </w:pPr>
            <w:r>
              <w:rPr>
                <w:sz w:val="24"/>
              </w:rPr>
              <w:t>△—噪声传播过程中由屏障、空气吸收等引起的衰减量</w:t>
            </w:r>
          </w:p>
          <w:p>
            <w:pPr>
              <w:adjustRightInd w:val="0"/>
              <w:snapToGrid w:val="0"/>
              <w:spacing w:line="360" w:lineRule="auto"/>
              <w:ind w:firstLine="480" w:firstLineChars="200"/>
              <w:rPr>
                <w:sz w:val="24"/>
              </w:rPr>
            </w:pPr>
            <w:r>
              <w:rPr>
                <w:sz w:val="24"/>
              </w:rPr>
              <w:t>根据噪声预测模式可算出在不同施工阶段各设备所需的最小衰减距离，具体见下表。</w:t>
            </w:r>
          </w:p>
          <w:p>
            <w:pPr>
              <w:adjustRightInd w:val="0"/>
              <w:snapToGrid w:val="0"/>
              <w:jc w:val="center"/>
              <w:rPr>
                <w:rFonts w:eastAsia="黑体"/>
                <w:sz w:val="24"/>
                <w:szCs w:val="21"/>
              </w:rPr>
            </w:pPr>
            <w:r>
              <w:rPr>
                <w:rFonts w:eastAsia="黑体"/>
                <w:sz w:val="24"/>
                <w:szCs w:val="21"/>
              </w:rPr>
              <w:t xml:space="preserve">表4-2    厂界施工噪声  </w:t>
            </w:r>
            <w:r>
              <w:rPr>
                <w:rFonts w:eastAsia="黑体"/>
                <w:bCs/>
                <w:sz w:val="24"/>
              </w:rPr>
              <w:t>单位：dB（A）</w:t>
            </w:r>
          </w:p>
          <w:tbl>
            <w:tblPr>
              <w:tblStyle w:val="32"/>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2653"/>
              <w:gridCol w:w="1446"/>
              <w:gridCol w:w="1446"/>
              <w:gridCol w:w="1446"/>
              <w:gridCol w:w="144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72" w:type="pct"/>
                  <w:shd w:val="clear" w:color="auto" w:fill="CCFFFF"/>
                  <w:noWrap w:val="0"/>
                  <w:vAlign w:val="center"/>
                </w:tcPr>
                <w:p>
                  <w:pPr>
                    <w:adjustRightInd w:val="0"/>
                    <w:snapToGrid w:val="0"/>
                    <w:jc w:val="center"/>
                    <w:rPr>
                      <w:b/>
                      <w:szCs w:val="21"/>
                    </w:rPr>
                  </w:pPr>
                  <w:r>
                    <w:rPr>
                      <w:b/>
                      <w:szCs w:val="21"/>
                    </w:rPr>
                    <w:t>噪声声源</w:t>
                  </w:r>
                </w:p>
              </w:tc>
              <w:tc>
                <w:tcPr>
                  <w:tcW w:w="857" w:type="pct"/>
                  <w:shd w:val="clear" w:color="auto" w:fill="CCFFFF"/>
                  <w:noWrap w:val="0"/>
                  <w:vAlign w:val="center"/>
                </w:tcPr>
                <w:p>
                  <w:pPr>
                    <w:adjustRightInd w:val="0"/>
                    <w:snapToGrid w:val="0"/>
                    <w:jc w:val="center"/>
                    <w:rPr>
                      <w:b/>
                      <w:szCs w:val="21"/>
                    </w:rPr>
                  </w:pPr>
                  <w:r>
                    <w:rPr>
                      <w:b/>
                      <w:szCs w:val="21"/>
                    </w:rPr>
                    <w:t>北</w:t>
                  </w:r>
                </w:p>
              </w:tc>
              <w:tc>
                <w:tcPr>
                  <w:tcW w:w="857" w:type="pct"/>
                  <w:shd w:val="clear" w:color="auto" w:fill="CCFFFF"/>
                  <w:noWrap w:val="0"/>
                  <w:vAlign w:val="center"/>
                </w:tcPr>
                <w:p>
                  <w:pPr>
                    <w:adjustRightInd w:val="0"/>
                    <w:snapToGrid w:val="0"/>
                    <w:jc w:val="center"/>
                    <w:rPr>
                      <w:b/>
                      <w:szCs w:val="21"/>
                    </w:rPr>
                  </w:pPr>
                  <w:r>
                    <w:rPr>
                      <w:b/>
                      <w:szCs w:val="21"/>
                    </w:rPr>
                    <w:t>东</w:t>
                  </w:r>
                </w:p>
              </w:tc>
              <w:tc>
                <w:tcPr>
                  <w:tcW w:w="857" w:type="pct"/>
                  <w:shd w:val="clear" w:color="auto" w:fill="CCFFFF"/>
                  <w:noWrap w:val="0"/>
                  <w:vAlign w:val="center"/>
                </w:tcPr>
                <w:p>
                  <w:pPr>
                    <w:adjustRightInd w:val="0"/>
                    <w:snapToGrid w:val="0"/>
                    <w:jc w:val="center"/>
                    <w:rPr>
                      <w:b/>
                      <w:szCs w:val="21"/>
                    </w:rPr>
                  </w:pPr>
                  <w:r>
                    <w:rPr>
                      <w:b/>
                      <w:szCs w:val="21"/>
                    </w:rPr>
                    <w:t>南</w:t>
                  </w:r>
                </w:p>
              </w:tc>
              <w:tc>
                <w:tcPr>
                  <w:tcW w:w="857" w:type="pct"/>
                  <w:shd w:val="clear" w:color="auto" w:fill="CCFFFF"/>
                  <w:noWrap w:val="0"/>
                  <w:vAlign w:val="center"/>
                </w:tcPr>
                <w:p>
                  <w:pPr>
                    <w:adjustRightInd w:val="0"/>
                    <w:snapToGrid w:val="0"/>
                    <w:jc w:val="center"/>
                    <w:rPr>
                      <w:b/>
                      <w:szCs w:val="21"/>
                    </w:rPr>
                  </w:pPr>
                  <w:r>
                    <w:rPr>
                      <w:b/>
                      <w:szCs w:val="21"/>
                    </w:rPr>
                    <w:t>西</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72" w:type="pct"/>
                  <w:noWrap w:val="0"/>
                  <w:vAlign w:val="center"/>
                </w:tcPr>
                <w:p>
                  <w:pPr>
                    <w:adjustRightInd w:val="0"/>
                    <w:snapToGrid w:val="0"/>
                    <w:jc w:val="center"/>
                    <w:rPr>
                      <w:szCs w:val="21"/>
                    </w:rPr>
                  </w:pPr>
                  <w:r>
                    <w:rPr>
                      <w:szCs w:val="21"/>
                    </w:rPr>
                    <w:t>建筑机械动力噪声</w:t>
                  </w:r>
                </w:p>
              </w:tc>
              <w:tc>
                <w:tcPr>
                  <w:tcW w:w="857" w:type="pct"/>
                  <w:noWrap w:val="0"/>
                  <w:vAlign w:val="center"/>
                </w:tcPr>
                <w:p>
                  <w:pPr>
                    <w:adjustRightInd w:val="0"/>
                    <w:snapToGrid w:val="0"/>
                    <w:jc w:val="center"/>
                    <w:rPr>
                      <w:szCs w:val="21"/>
                    </w:rPr>
                  </w:pPr>
                  <w:r>
                    <w:rPr>
                      <w:szCs w:val="21"/>
                    </w:rPr>
                    <w:t>69.0</w:t>
                  </w:r>
                </w:p>
              </w:tc>
              <w:tc>
                <w:tcPr>
                  <w:tcW w:w="857" w:type="pct"/>
                  <w:noWrap w:val="0"/>
                  <w:vAlign w:val="center"/>
                </w:tcPr>
                <w:p>
                  <w:pPr>
                    <w:adjustRightInd w:val="0"/>
                    <w:snapToGrid w:val="0"/>
                    <w:jc w:val="center"/>
                    <w:rPr>
                      <w:szCs w:val="21"/>
                    </w:rPr>
                  </w:pPr>
                  <w:r>
                    <w:rPr>
                      <w:szCs w:val="21"/>
                    </w:rPr>
                    <w:t>61.7</w:t>
                  </w:r>
                </w:p>
              </w:tc>
              <w:tc>
                <w:tcPr>
                  <w:tcW w:w="857" w:type="pct"/>
                  <w:noWrap w:val="0"/>
                  <w:vAlign w:val="center"/>
                </w:tcPr>
                <w:p>
                  <w:pPr>
                    <w:adjustRightInd w:val="0"/>
                    <w:snapToGrid w:val="0"/>
                    <w:jc w:val="center"/>
                    <w:rPr>
                      <w:szCs w:val="21"/>
                    </w:rPr>
                  </w:pPr>
                  <w:r>
                    <w:rPr>
                      <w:szCs w:val="21"/>
                    </w:rPr>
                    <w:t>59.5</w:t>
                  </w:r>
                </w:p>
              </w:tc>
              <w:tc>
                <w:tcPr>
                  <w:tcW w:w="857" w:type="pct"/>
                  <w:noWrap w:val="0"/>
                  <w:vAlign w:val="center"/>
                </w:tcPr>
                <w:p>
                  <w:pPr>
                    <w:adjustRightInd w:val="0"/>
                    <w:snapToGrid w:val="0"/>
                    <w:jc w:val="center"/>
                    <w:rPr>
                      <w:szCs w:val="21"/>
                    </w:rPr>
                  </w:pPr>
                  <w:r>
                    <w:rPr>
                      <w:szCs w:val="21"/>
                    </w:rPr>
                    <w:t>66.7</w:t>
                  </w:r>
                </w:p>
              </w:tc>
            </w:tr>
          </w:tbl>
          <w:p>
            <w:pPr>
              <w:adjustRightInd w:val="0"/>
              <w:snapToGrid w:val="0"/>
              <w:spacing w:line="360" w:lineRule="auto"/>
              <w:ind w:firstLine="480" w:firstLineChars="200"/>
              <w:rPr>
                <w:b/>
                <w:bCs/>
                <w:sz w:val="24"/>
              </w:rPr>
            </w:pPr>
            <w:r>
              <w:rPr>
                <w:sz w:val="24"/>
              </w:rPr>
              <w:t>本次评价预测多台施工机械产生的噪声对其的影响，预测结果如下：</w:t>
            </w:r>
          </w:p>
          <w:p>
            <w:pPr>
              <w:adjustRightInd w:val="0"/>
              <w:snapToGrid w:val="0"/>
              <w:jc w:val="center"/>
              <w:rPr>
                <w:rFonts w:eastAsia="黑体"/>
                <w:sz w:val="24"/>
              </w:rPr>
            </w:pPr>
            <w:r>
              <w:rPr>
                <w:rFonts w:eastAsia="黑体"/>
                <w:sz w:val="24"/>
              </w:rPr>
              <w:t>表4-3  敏感点噪声预测一览表  单位：dB（A）</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86"/>
              <w:gridCol w:w="1851"/>
              <w:gridCol w:w="1851"/>
              <w:gridCol w:w="18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710" w:type="pct"/>
                  <w:shd w:val="clear" w:color="auto" w:fill="CCFFFF"/>
                  <w:noWrap w:val="0"/>
                  <w:vAlign w:val="center"/>
                </w:tcPr>
                <w:p>
                  <w:pPr>
                    <w:jc w:val="center"/>
                    <w:rPr>
                      <w:b/>
                      <w:bCs/>
                      <w:szCs w:val="21"/>
                    </w:rPr>
                  </w:pPr>
                  <w:r>
                    <w:rPr>
                      <w:b/>
                      <w:bCs/>
                      <w:szCs w:val="21"/>
                    </w:rPr>
                    <w:t>检测点名称</w:t>
                  </w:r>
                </w:p>
              </w:tc>
              <w:tc>
                <w:tcPr>
                  <w:tcW w:w="1097" w:type="pct"/>
                  <w:shd w:val="clear" w:color="auto" w:fill="CCFFFF"/>
                  <w:noWrap w:val="0"/>
                  <w:vAlign w:val="center"/>
                </w:tcPr>
                <w:p>
                  <w:pPr>
                    <w:jc w:val="center"/>
                    <w:rPr>
                      <w:b/>
                      <w:szCs w:val="21"/>
                    </w:rPr>
                  </w:pPr>
                  <w:r>
                    <w:rPr>
                      <w:b/>
                      <w:szCs w:val="21"/>
                    </w:rPr>
                    <w:t>时段</w:t>
                  </w:r>
                </w:p>
              </w:tc>
              <w:tc>
                <w:tcPr>
                  <w:tcW w:w="1097" w:type="pct"/>
                  <w:shd w:val="clear" w:color="auto" w:fill="CCFFFF"/>
                  <w:noWrap w:val="0"/>
                  <w:vAlign w:val="center"/>
                </w:tcPr>
                <w:p>
                  <w:pPr>
                    <w:jc w:val="center"/>
                    <w:rPr>
                      <w:b/>
                      <w:szCs w:val="21"/>
                    </w:rPr>
                  </w:pPr>
                  <w:r>
                    <w:rPr>
                      <w:b/>
                      <w:szCs w:val="21"/>
                    </w:rPr>
                    <w:t>背景值</w:t>
                  </w:r>
                </w:p>
              </w:tc>
              <w:tc>
                <w:tcPr>
                  <w:tcW w:w="1096" w:type="pct"/>
                  <w:shd w:val="clear" w:color="auto" w:fill="CCFFFF"/>
                  <w:noWrap w:val="0"/>
                  <w:vAlign w:val="center"/>
                </w:tcPr>
                <w:p>
                  <w:pPr>
                    <w:jc w:val="center"/>
                    <w:rPr>
                      <w:b/>
                      <w:szCs w:val="21"/>
                    </w:rPr>
                  </w:pPr>
                  <w:r>
                    <w:rPr>
                      <w:b/>
                      <w:szCs w:val="21"/>
                    </w:rPr>
                    <w:t>预测值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10" w:type="pct"/>
                  <w:vMerge w:val="restart"/>
                  <w:noWrap w:val="0"/>
                  <w:vAlign w:val="center"/>
                </w:tcPr>
                <w:p>
                  <w:pPr>
                    <w:jc w:val="center"/>
                    <w:rPr>
                      <w:szCs w:val="21"/>
                    </w:rPr>
                  </w:pPr>
                  <w:r>
                    <w:rPr>
                      <w:sz w:val="22"/>
                      <w:szCs w:val="22"/>
                    </w:rPr>
                    <w:t>项目南侧约25m居民</w:t>
                  </w:r>
                </w:p>
              </w:tc>
              <w:tc>
                <w:tcPr>
                  <w:tcW w:w="1097" w:type="pct"/>
                  <w:noWrap w:val="0"/>
                  <w:vAlign w:val="center"/>
                </w:tcPr>
                <w:p>
                  <w:pPr>
                    <w:jc w:val="center"/>
                    <w:rPr>
                      <w:bCs/>
                      <w:szCs w:val="21"/>
                    </w:rPr>
                  </w:pPr>
                  <w:r>
                    <w:rPr>
                      <w:bCs/>
                      <w:szCs w:val="21"/>
                    </w:rPr>
                    <w:t>昼间</w:t>
                  </w:r>
                </w:p>
              </w:tc>
              <w:tc>
                <w:tcPr>
                  <w:tcW w:w="1097" w:type="pct"/>
                  <w:noWrap w:val="0"/>
                  <w:vAlign w:val="center"/>
                </w:tcPr>
                <w:p>
                  <w:pPr>
                    <w:jc w:val="center"/>
                    <w:rPr>
                      <w:bCs/>
                      <w:szCs w:val="21"/>
                    </w:rPr>
                  </w:pPr>
                  <w:r>
                    <w:rPr>
                      <w:sz w:val="22"/>
                      <w:szCs w:val="22"/>
                    </w:rPr>
                    <w:t>51</w:t>
                  </w:r>
                </w:p>
              </w:tc>
              <w:tc>
                <w:tcPr>
                  <w:tcW w:w="1096" w:type="pct"/>
                  <w:noWrap w:val="0"/>
                  <w:vAlign w:val="top"/>
                </w:tcPr>
                <w:p>
                  <w:pPr>
                    <w:jc w:val="center"/>
                    <w:rPr>
                      <w:bCs/>
                      <w:szCs w:val="21"/>
                    </w:rPr>
                  </w:pPr>
                  <w:r>
                    <w:rPr>
                      <w:bCs/>
                      <w:szCs w:val="21"/>
                    </w:rPr>
                    <w:t>51.1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10" w:type="pct"/>
                  <w:vMerge w:val="continue"/>
                  <w:noWrap w:val="0"/>
                  <w:vAlign w:val="center"/>
                </w:tcPr>
                <w:p>
                  <w:pPr>
                    <w:jc w:val="center"/>
                    <w:rPr>
                      <w:szCs w:val="21"/>
                    </w:rPr>
                  </w:pPr>
                </w:p>
              </w:tc>
              <w:tc>
                <w:tcPr>
                  <w:tcW w:w="1097" w:type="pct"/>
                  <w:noWrap w:val="0"/>
                  <w:vAlign w:val="center"/>
                </w:tcPr>
                <w:p>
                  <w:pPr>
                    <w:jc w:val="center"/>
                    <w:rPr>
                      <w:bCs/>
                      <w:szCs w:val="21"/>
                    </w:rPr>
                  </w:pPr>
                  <w:r>
                    <w:rPr>
                      <w:bCs/>
                      <w:szCs w:val="21"/>
                    </w:rPr>
                    <w:t>夜间</w:t>
                  </w:r>
                </w:p>
              </w:tc>
              <w:tc>
                <w:tcPr>
                  <w:tcW w:w="1097" w:type="pct"/>
                  <w:noWrap w:val="0"/>
                  <w:vAlign w:val="center"/>
                </w:tcPr>
                <w:p>
                  <w:pPr>
                    <w:jc w:val="center"/>
                    <w:rPr>
                      <w:bCs/>
                      <w:szCs w:val="21"/>
                    </w:rPr>
                  </w:pPr>
                  <w:r>
                    <w:rPr>
                      <w:sz w:val="22"/>
                      <w:szCs w:val="22"/>
                    </w:rPr>
                    <w:t>47</w:t>
                  </w:r>
                </w:p>
              </w:tc>
              <w:tc>
                <w:tcPr>
                  <w:tcW w:w="1096" w:type="pct"/>
                  <w:noWrap w:val="0"/>
                  <w:vAlign w:val="top"/>
                </w:tcPr>
                <w:p>
                  <w:pPr>
                    <w:jc w:val="center"/>
                    <w:rPr>
                      <w:bCs/>
                      <w:szCs w:val="21"/>
                    </w:rPr>
                  </w:pPr>
                  <w:r>
                    <w:rPr>
                      <w:bCs/>
                      <w:szCs w:val="21"/>
                    </w:rPr>
                    <w:t>47.2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10" w:type="pct"/>
                  <w:vMerge w:val="restart"/>
                  <w:noWrap w:val="0"/>
                  <w:vAlign w:val="center"/>
                </w:tcPr>
                <w:p>
                  <w:pPr>
                    <w:jc w:val="center"/>
                    <w:rPr>
                      <w:szCs w:val="21"/>
                    </w:rPr>
                  </w:pPr>
                  <w:r>
                    <w:rPr>
                      <w:sz w:val="22"/>
                      <w:szCs w:val="22"/>
                    </w:rPr>
                    <w:t>项目西侧约10m居民</w:t>
                  </w:r>
                </w:p>
              </w:tc>
              <w:tc>
                <w:tcPr>
                  <w:tcW w:w="1097" w:type="pct"/>
                  <w:noWrap w:val="0"/>
                  <w:vAlign w:val="center"/>
                </w:tcPr>
                <w:p>
                  <w:pPr>
                    <w:jc w:val="center"/>
                    <w:rPr>
                      <w:bCs/>
                      <w:szCs w:val="21"/>
                    </w:rPr>
                  </w:pPr>
                  <w:r>
                    <w:rPr>
                      <w:bCs/>
                      <w:szCs w:val="21"/>
                    </w:rPr>
                    <w:t>昼间</w:t>
                  </w:r>
                </w:p>
              </w:tc>
              <w:tc>
                <w:tcPr>
                  <w:tcW w:w="1097" w:type="pct"/>
                  <w:noWrap w:val="0"/>
                  <w:vAlign w:val="center"/>
                </w:tcPr>
                <w:p>
                  <w:pPr>
                    <w:jc w:val="center"/>
                    <w:rPr>
                      <w:bCs/>
                      <w:szCs w:val="21"/>
                    </w:rPr>
                  </w:pPr>
                  <w:r>
                    <w:rPr>
                      <w:sz w:val="22"/>
                      <w:szCs w:val="22"/>
                    </w:rPr>
                    <w:t>52</w:t>
                  </w:r>
                </w:p>
              </w:tc>
              <w:tc>
                <w:tcPr>
                  <w:tcW w:w="1096" w:type="pct"/>
                  <w:noWrap w:val="0"/>
                  <w:vAlign w:val="top"/>
                </w:tcPr>
                <w:p>
                  <w:pPr>
                    <w:jc w:val="center"/>
                    <w:rPr>
                      <w:bCs/>
                      <w:szCs w:val="21"/>
                    </w:rPr>
                  </w:pPr>
                  <w:r>
                    <w:rPr>
                      <w:bCs/>
                      <w:szCs w:val="21"/>
                    </w:rPr>
                    <w:t>53.1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10" w:type="pct"/>
                  <w:vMerge w:val="continue"/>
                  <w:noWrap w:val="0"/>
                  <w:vAlign w:val="center"/>
                </w:tcPr>
                <w:p>
                  <w:pPr>
                    <w:jc w:val="center"/>
                    <w:rPr>
                      <w:szCs w:val="21"/>
                    </w:rPr>
                  </w:pPr>
                </w:p>
              </w:tc>
              <w:tc>
                <w:tcPr>
                  <w:tcW w:w="1097" w:type="pct"/>
                  <w:noWrap w:val="0"/>
                  <w:vAlign w:val="center"/>
                </w:tcPr>
                <w:p>
                  <w:pPr>
                    <w:jc w:val="center"/>
                    <w:rPr>
                      <w:bCs/>
                      <w:szCs w:val="21"/>
                    </w:rPr>
                  </w:pPr>
                  <w:r>
                    <w:rPr>
                      <w:bCs/>
                      <w:szCs w:val="21"/>
                    </w:rPr>
                    <w:t>夜间</w:t>
                  </w:r>
                </w:p>
              </w:tc>
              <w:tc>
                <w:tcPr>
                  <w:tcW w:w="1097" w:type="pct"/>
                  <w:noWrap w:val="0"/>
                  <w:vAlign w:val="center"/>
                </w:tcPr>
                <w:p>
                  <w:pPr>
                    <w:jc w:val="center"/>
                    <w:rPr>
                      <w:bCs/>
                      <w:szCs w:val="21"/>
                    </w:rPr>
                  </w:pPr>
                  <w:r>
                    <w:rPr>
                      <w:sz w:val="22"/>
                      <w:szCs w:val="22"/>
                    </w:rPr>
                    <w:t>46</w:t>
                  </w:r>
                </w:p>
              </w:tc>
              <w:tc>
                <w:tcPr>
                  <w:tcW w:w="1096" w:type="pct"/>
                  <w:noWrap w:val="0"/>
                  <w:vAlign w:val="top"/>
                </w:tcPr>
                <w:p>
                  <w:pPr>
                    <w:jc w:val="center"/>
                    <w:rPr>
                      <w:bCs/>
                      <w:szCs w:val="21"/>
                    </w:rPr>
                  </w:pPr>
                  <w:r>
                    <w:rPr>
                      <w:bCs/>
                      <w:szCs w:val="21"/>
                    </w:rPr>
                    <w:t>49.4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10" w:type="pct"/>
                  <w:vMerge w:val="restart"/>
                  <w:noWrap w:val="0"/>
                  <w:vAlign w:val="center"/>
                </w:tcPr>
                <w:p>
                  <w:pPr>
                    <w:jc w:val="center"/>
                    <w:rPr>
                      <w:szCs w:val="21"/>
                    </w:rPr>
                  </w:pPr>
                  <w:r>
                    <w:rPr>
                      <w:sz w:val="22"/>
                      <w:szCs w:val="22"/>
                    </w:rPr>
                    <w:t>项目北侧约50m居民</w:t>
                  </w:r>
                </w:p>
              </w:tc>
              <w:tc>
                <w:tcPr>
                  <w:tcW w:w="1097" w:type="pct"/>
                  <w:noWrap w:val="0"/>
                  <w:vAlign w:val="center"/>
                </w:tcPr>
                <w:p>
                  <w:pPr>
                    <w:jc w:val="center"/>
                    <w:rPr>
                      <w:bCs/>
                      <w:szCs w:val="21"/>
                    </w:rPr>
                  </w:pPr>
                  <w:r>
                    <w:rPr>
                      <w:bCs/>
                      <w:szCs w:val="21"/>
                    </w:rPr>
                    <w:t>昼间</w:t>
                  </w:r>
                </w:p>
              </w:tc>
              <w:tc>
                <w:tcPr>
                  <w:tcW w:w="1097" w:type="pct"/>
                  <w:noWrap w:val="0"/>
                  <w:vAlign w:val="center"/>
                </w:tcPr>
                <w:p>
                  <w:pPr>
                    <w:jc w:val="center"/>
                    <w:rPr>
                      <w:bCs/>
                      <w:szCs w:val="21"/>
                    </w:rPr>
                  </w:pPr>
                  <w:r>
                    <w:rPr>
                      <w:sz w:val="22"/>
                      <w:szCs w:val="22"/>
                    </w:rPr>
                    <w:t>50</w:t>
                  </w:r>
                </w:p>
              </w:tc>
              <w:tc>
                <w:tcPr>
                  <w:tcW w:w="1096" w:type="pct"/>
                  <w:noWrap w:val="0"/>
                  <w:vAlign w:val="top"/>
                </w:tcPr>
                <w:p>
                  <w:pPr>
                    <w:jc w:val="center"/>
                    <w:rPr>
                      <w:bCs/>
                      <w:szCs w:val="21"/>
                    </w:rPr>
                  </w:pPr>
                  <w:r>
                    <w:rPr>
                      <w:bCs/>
                      <w:szCs w:val="21"/>
                    </w:rPr>
                    <w:t>50.1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10" w:type="pct"/>
                  <w:vMerge w:val="continue"/>
                  <w:noWrap w:val="0"/>
                  <w:vAlign w:val="center"/>
                </w:tcPr>
                <w:p>
                  <w:pPr>
                    <w:jc w:val="center"/>
                    <w:rPr>
                      <w:szCs w:val="21"/>
                    </w:rPr>
                  </w:pPr>
                </w:p>
              </w:tc>
              <w:tc>
                <w:tcPr>
                  <w:tcW w:w="1097" w:type="pct"/>
                  <w:noWrap w:val="0"/>
                  <w:vAlign w:val="center"/>
                </w:tcPr>
                <w:p>
                  <w:pPr>
                    <w:jc w:val="center"/>
                    <w:rPr>
                      <w:bCs/>
                      <w:szCs w:val="21"/>
                    </w:rPr>
                  </w:pPr>
                  <w:r>
                    <w:rPr>
                      <w:bCs/>
                      <w:szCs w:val="21"/>
                    </w:rPr>
                    <w:t>夜间</w:t>
                  </w:r>
                </w:p>
              </w:tc>
              <w:tc>
                <w:tcPr>
                  <w:tcW w:w="1097" w:type="pct"/>
                  <w:noWrap w:val="0"/>
                  <w:vAlign w:val="center"/>
                </w:tcPr>
                <w:p>
                  <w:pPr>
                    <w:jc w:val="center"/>
                    <w:rPr>
                      <w:bCs/>
                      <w:szCs w:val="21"/>
                    </w:rPr>
                  </w:pPr>
                  <w:r>
                    <w:rPr>
                      <w:sz w:val="22"/>
                      <w:szCs w:val="22"/>
                    </w:rPr>
                    <w:t>45</w:t>
                  </w:r>
                </w:p>
              </w:tc>
              <w:tc>
                <w:tcPr>
                  <w:tcW w:w="1096" w:type="pct"/>
                  <w:noWrap w:val="0"/>
                  <w:vAlign w:val="top"/>
                </w:tcPr>
                <w:p>
                  <w:pPr>
                    <w:jc w:val="center"/>
                    <w:rPr>
                      <w:bCs/>
                      <w:szCs w:val="21"/>
                    </w:rPr>
                  </w:pPr>
                  <w:r>
                    <w:rPr>
                      <w:bCs/>
                      <w:szCs w:val="21"/>
                    </w:rPr>
                    <w:t>45.4</w:t>
                  </w:r>
                </w:p>
              </w:tc>
            </w:tr>
          </w:tbl>
          <w:p>
            <w:pPr>
              <w:adjustRightInd w:val="0"/>
              <w:snapToGrid w:val="0"/>
              <w:spacing w:line="360" w:lineRule="auto"/>
              <w:ind w:firstLine="480" w:firstLineChars="200"/>
              <w:rPr>
                <w:sz w:val="24"/>
              </w:rPr>
            </w:pPr>
            <w:r>
              <w:rPr>
                <w:sz w:val="24"/>
              </w:rPr>
              <w:t>根据预测结果可知，本项目施工期间对敏感目标影响较大，项目施工必须针对敏感点采取一定的噪声防护措施，施工单位应做到：</w:t>
            </w:r>
          </w:p>
          <w:p>
            <w:pPr>
              <w:adjustRightInd w:val="0"/>
              <w:snapToGrid w:val="0"/>
              <w:spacing w:line="360" w:lineRule="auto"/>
              <w:ind w:firstLine="480" w:firstLineChars="200"/>
              <w:rPr>
                <w:sz w:val="24"/>
              </w:rPr>
            </w:pPr>
            <w:r>
              <w:rPr>
                <w:sz w:val="24"/>
              </w:rPr>
              <w:t>1）合理安排施工时间，杜绝夜间（22：00～6：00）施工，必须连续施工时，须事前取得相关部门批准，并告知周边居民，避免施工噪声扰民。</w:t>
            </w:r>
          </w:p>
          <w:p>
            <w:pPr>
              <w:adjustRightInd w:val="0"/>
              <w:snapToGrid w:val="0"/>
              <w:spacing w:line="360" w:lineRule="auto"/>
              <w:ind w:firstLine="480" w:firstLineChars="200"/>
              <w:rPr>
                <w:sz w:val="24"/>
              </w:rPr>
            </w:pPr>
            <w:r>
              <w:rPr>
                <w:sz w:val="24"/>
              </w:rPr>
              <w:t>2）在施工进度组织方面，通过合理组织以尽量缩短施工时间以减少施工噪声造成的影响；</w:t>
            </w:r>
          </w:p>
          <w:p>
            <w:pPr>
              <w:adjustRightInd w:val="0"/>
              <w:snapToGrid w:val="0"/>
              <w:spacing w:line="360" w:lineRule="auto"/>
              <w:ind w:firstLine="480" w:firstLineChars="200"/>
              <w:rPr>
                <w:sz w:val="24"/>
              </w:rPr>
            </w:pPr>
            <w:r>
              <w:rPr>
                <w:sz w:val="24"/>
              </w:rPr>
              <w:t>3）建议施工单位在选择原料以及弃土运输路线时，避免途经项目周围的敏感点，最大程度减少对项目敏感点的影响。</w:t>
            </w:r>
          </w:p>
          <w:p>
            <w:pPr>
              <w:adjustRightInd w:val="0"/>
              <w:snapToGrid w:val="0"/>
              <w:spacing w:line="360" w:lineRule="auto"/>
              <w:ind w:firstLine="480" w:firstLineChars="200"/>
              <w:rPr>
                <w:sz w:val="24"/>
              </w:rPr>
            </w:pPr>
            <w:r>
              <w:rPr>
                <w:sz w:val="24"/>
              </w:rPr>
              <w:t>4）严格进行施工人员管理，文明施工；</w:t>
            </w:r>
          </w:p>
          <w:p>
            <w:pPr>
              <w:adjustRightInd w:val="0"/>
              <w:snapToGrid w:val="0"/>
              <w:spacing w:line="360" w:lineRule="auto"/>
              <w:ind w:firstLine="480" w:firstLineChars="200"/>
              <w:rPr>
                <w:sz w:val="24"/>
              </w:rPr>
            </w:pPr>
            <w:r>
              <w:rPr>
                <w:sz w:val="24"/>
              </w:rPr>
              <w:t>5）加强与施工点周围单位的沟通和联系，讲清项目建设的必要性和重要意义，做好受影响群众的思想工作；</w:t>
            </w:r>
          </w:p>
          <w:p>
            <w:pPr>
              <w:adjustRightInd w:val="0"/>
              <w:snapToGrid w:val="0"/>
              <w:spacing w:line="360" w:lineRule="auto"/>
              <w:ind w:firstLine="480" w:firstLineChars="200"/>
              <w:rPr>
                <w:sz w:val="24"/>
              </w:rPr>
            </w:pPr>
            <w:r>
              <w:rPr>
                <w:sz w:val="24"/>
              </w:rPr>
              <w:t>6）施工开始前进行公示，</w:t>
            </w:r>
            <w:r>
              <w:rPr>
                <w:rFonts w:hint="eastAsia"/>
                <w:sz w:val="24"/>
              </w:rPr>
              <w:t>告知</w:t>
            </w:r>
            <w:r>
              <w:rPr>
                <w:sz w:val="24"/>
              </w:rPr>
              <w:t>周围人民，与其进行有效沟通，取得周围人民的理解，同时建设单位应要求施工单位在现场张贴通告和投诉电话，建设单位在接到投诉电话后及时与当地环保部门联系，以便及时处理各种环境纠纷。</w:t>
            </w:r>
          </w:p>
          <w:p>
            <w:pPr>
              <w:adjustRightInd w:val="0"/>
              <w:snapToGrid w:val="0"/>
              <w:spacing w:line="360" w:lineRule="auto"/>
              <w:ind w:firstLine="482" w:firstLineChars="200"/>
              <w:rPr>
                <w:b/>
                <w:bCs/>
                <w:sz w:val="24"/>
              </w:rPr>
            </w:pPr>
            <w:r>
              <w:rPr>
                <w:b/>
                <w:bCs/>
                <w:sz w:val="24"/>
              </w:rPr>
              <w:t>施工应合理安排施工时间，通过文明施工，加强有效管理加以缓解人为因素造成的噪声强度升高。提高工作效率，把施工时间控制在最短范围内，并提前发布公告，最大限度的争取公众的理解和支持，避免因噪声污染而引起纠纷。</w:t>
            </w:r>
          </w:p>
          <w:p>
            <w:pPr>
              <w:adjustRightInd w:val="0"/>
              <w:snapToGrid w:val="0"/>
              <w:spacing w:line="360" w:lineRule="auto"/>
              <w:ind w:firstLine="480" w:firstLineChars="200"/>
              <w:rPr>
                <w:sz w:val="24"/>
              </w:rPr>
            </w:pPr>
            <w:r>
              <w:rPr>
                <w:sz w:val="24"/>
              </w:rPr>
              <w:t>若本项目确需在夜间进行产生环境噪声污染物的施工作业，本次环评建议采取如下噪声防治措施：</w:t>
            </w:r>
          </w:p>
          <w:p>
            <w:pPr>
              <w:adjustRightInd w:val="0"/>
              <w:snapToGrid w:val="0"/>
              <w:spacing w:line="360" w:lineRule="auto"/>
              <w:ind w:firstLine="480" w:firstLineChars="200"/>
              <w:rPr>
                <w:sz w:val="24"/>
              </w:rPr>
            </w:pPr>
            <w:r>
              <w:rPr>
                <w:sz w:val="24"/>
              </w:rPr>
              <w:t>①按照相关规定及要求，施工前必须办理《夜间施工许可证》；</w:t>
            </w:r>
          </w:p>
          <w:p>
            <w:pPr>
              <w:adjustRightInd w:val="0"/>
              <w:snapToGrid w:val="0"/>
              <w:spacing w:line="360" w:lineRule="auto"/>
              <w:ind w:firstLine="480" w:firstLineChars="200"/>
              <w:rPr>
                <w:sz w:val="24"/>
              </w:rPr>
            </w:pPr>
            <w:r>
              <w:rPr>
                <w:sz w:val="24"/>
              </w:rPr>
              <w:t>②严禁在中、高考期间夜间施工；</w:t>
            </w:r>
          </w:p>
          <w:p>
            <w:pPr>
              <w:adjustRightInd w:val="0"/>
              <w:snapToGrid w:val="0"/>
              <w:spacing w:line="360" w:lineRule="auto"/>
              <w:ind w:firstLine="480" w:firstLineChars="200"/>
              <w:rPr>
                <w:sz w:val="24"/>
              </w:rPr>
            </w:pPr>
            <w:r>
              <w:rPr>
                <w:sz w:val="24"/>
              </w:rPr>
              <w:t>③必须严格按照《夜间施工许可证》许可时限和许可范围进行夜间施工；</w:t>
            </w:r>
          </w:p>
          <w:p>
            <w:pPr>
              <w:adjustRightInd w:val="0"/>
              <w:snapToGrid w:val="0"/>
              <w:spacing w:line="360" w:lineRule="auto"/>
              <w:ind w:firstLine="480" w:firstLineChars="200"/>
              <w:rPr>
                <w:sz w:val="24"/>
              </w:rPr>
            </w:pPr>
            <w:r>
              <w:rPr>
                <w:sz w:val="24"/>
              </w:rPr>
              <w:t>④合理安排工期，缩短夜间施工时间，减少夜间施工噪声对项目周边居民的影响；</w:t>
            </w:r>
          </w:p>
          <w:p>
            <w:pPr>
              <w:adjustRightInd w:val="0"/>
              <w:snapToGrid w:val="0"/>
              <w:spacing w:line="360" w:lineRule="auto"/>
              <w:ind w:firstLine="480" w:firstLineChars="200"/>
              <w:rPr>
                <w:sz w:val="24"/>
              </w:rPr>
            </w:pPr>
            <w:r>
              <w:rPr>
                <w:sz w:val="24"/>
              </w:rPr>
              <w:t>⑤合理安排施工工序，尽可能减少夜间施工作业时间，因施工需要确需进行夜间施工的，应尽可能安排在周末时段，并在高噪声点位设置吸音措施；</w:t>
            </w:r>
          </w:p>
          <w:p>
            <w:pPr>
              <w:adjustRightInd w:val="0"/>
              <w:snapToGrid w:val="0"/>
              <w:spacing w:line="360" w:lineRule="auto"/>
              <w:ind w:firstLine="480" w:firstLineChars="200"/>
              <w:rPr>
                <w:sz w:val="24"/>
              </w:rPr>
            </w:pPr>
            <w:r>
              <w:rPr>
                <w:sz w:val="24"/>
              </w:rPr>
              <w:t>⑥夜间施工严禁捶打、敲击和金属切割、装卸钢管钢筋等易产生高噪声的作业。</w:t>
            </w:r>
          </w:p>
          <w:p>
            <w:pPr>
              <w:adjustRightInd w:val="0"/>
              <w:snapToGrid w:val="0"/>
              <w:spacing w:line="360" w:lineRule="auto"/>
              <w:ind w:firstLine="480" w:firstLineChars="200"/>
              <w:rPr>
                <w:sz w:val="24"/>
              </w:rPr>
            </w:pPr>
            <w:r>
              <w:rPr>
                <w:sz w:val="24"/>
              </w:rPr>
              <w:t>⑦应在建设工程项目周边公示夜间施工许可情况，明确施工现场噪声污染防治责任人，畅通反映问题渠道，接受社会、市民的监督；主动采取多种方式提前与周边社区、市民做好沟通解释工作，积极妥善处理夜间施工噪声投诉，争取周边居民对建设工程项目的理解和支持。</w:t>
            </w:r>
          </w:p>
          <w:p>
            <w:pPr>
              <w:adjustRightInd w:val="0"/>
              <w:snapToGrid w:val="0"/>
              <w:spacing w:line="360" w:lineRule="auto"/>
              <w:ind w:firstLine="482" w:firstLineChars="200"/>
              <w:rPr>
                <w:sz w:val="24"/>
              </w:rPr>
            </w:pPr>
            <w:r>
              <w:rPr>
                <w:b/>
                <w:bCs/>
                <w:sz w:val="24"/>
              </w:rPr>
              <w:t>施工期噪声经过采取上述措施治理后，其施工期间的场界噪声可以满足《建筑施工场界环境噪声排放标准》（GB12523-2011）的要求，实现达标排放</w:t>
            </w:r>
            <w:r>
              <w:rPr>
                <w:sz w:val="24"/>
              </w:rPr>
              <w:t>。</w:t>
            </w:r>
          </w:p>
          <w:p>
            <w:pPr>
              <w:adjustRightInd w:val="0"/>
              <w:snapToGrid w:val="0"/>
              <w:spacing w:line="360" w:lineRule="auto"/>
              <w:rPr>
                <w:b/>
                <w:bCs/>
                <w:sz w:val="24"/>
              </w:rPr>
            </w:pPr>
            <w:r>
              <w:rPr>
                <w:b/>
                <w:bCs/>
                <w:sz w:val="24"/>
              </w:rPr>
              <w:t>四、施工固废</w:t>
            </w:r>
          </w:p>
          <w:p>
            <w:pPr>
              <w:adjustRightInd w:val="0"/>
              <w:snapToGrid w:val="0"/>
              <w:spacing w:line="360" w:lineRule="auto"/>
              <w:ind w:firstLine="480" w:firstLineChars="200"/>
              <w:rPr>
                <w:sz w:val="24"/>
              </w:rPr>
            </w:pPr>
            <w:r>
              <w:rPr>
                <w:sz w:val="24"/>
              </w:rPr>
              <w:t>本工程施工期产生的固体废物主要是建筑垃圾、施工人员产生的生活垃圾、弃土石方。</w:t>
            </w:r>
          </w:p>
          <w:p>
            <w:pPr>
              <w:adjustRightInd w:val="0"/>
              <w:snapToGrid w:val="0"/>
              <w:spacing w:line="360" w:lineRule="auto"/>
              <w:ind w:firstLine="480" w:firstLineChars="200"/>
              <w:rPr>
                <w:sz w:val="24"/>
              </w:rPr>
            </w:pPr>
            <w:r>
              <w:rPr>
                <w:sz w:val="24"/>
              </w:rPr>
              <w:t>（1）土石方</w:t>
            </w:r>
          </w:p>
          <w:p>
            <w:pPr>
              <w:adjustRightInd w:val="0"/>
              <w:snapToGrid w:val="0"/>
              <w:spacing w:line="360" w:lineRule="auto"/>
              <w:ind w:firstLine="480" w:firstLineChars="200"/>
              <w:rPr>
                <w:sz w:val="24"/>
              </w:rPr>
            </w:pPr>
            <w:r>
              <w:rPr>
                <w:sz w:val="24"/>
              </w:rPr>
              <w:t>土方临时堆放于项目施工场</w:t>
            </w:r>
            <w:r>
              <w:rPr>
                <w:rFonts w:hint="eastAsia"/>
                <w:sz w:val="24"/>
              </w:rPr>
              <w:t>的</w:t>
            </w:r>
            <w:r>
              <w:rPr>
                <w:sz w:val="24"/>
              </w:rPr>
              <w:t>空地，必须远离河岸。在土方暂存处，须做好土方的暂存工作，设置围挡、周边修建排水沟，并采用防尘网对土方进行遮盖，防止雨天造成水土流失以及有风情况下扬尘污染，同时严禁将土方弃置李馥河等地表水体内。</w:t>
            </w:r>
          </w:p>
          <w:p>
            <w:pPr>
              <w:adjustRightInd w:val="0"/>
              <w:snapToGrid w:val="0"/>
              <w:spacing w:line="360" w:lineRule="auto"/>
              <w:ind w:firstLine="480" w:firstLineChars="200"/>
              <w:rPr>
                <w:sz w:val="24"/>
              </w:rPr>
            </w:pPr>
            <w:r>
              <w:rPr>
                <w:sz w:val="24"/>
              </w:rPr>
              <w:t>（2）拆除、建筑和装修垃圾</w:t>
            </w:r>
          </w:p>
          <w:p>
            <w:pPr>
              <w:adjustRightInd w:val="0"/>
              <w:snapToGrid w:val="0"/>
              <w:spacing w:line="360" w:lineRule="auto"/>
              <w:ind w:firstLine="480" w:firstLineChars="200"/>
              <w:rPr>
                <w:sz w:val="24"/>
              </w:rPr>
            </w:pPr>
            <w:r>
              <w:rPr>
                <w:sz w:val="24"/>
              </w:rPr>
              <w:t>施工场地内应设置建筑废弃物临时堆场（</w:t>
            </w:r>
            <w:r>
              <w:rPr>
                <w:rFonts w:hint="eastAsia"/>
                <w:sz w:val="24"/>
                <w:lang w:eastAsia="zh-CN"/>
              </w:rPr>
              <w:t>竖立</w:t>
            </w:r>
            <w:r>
              <w:rPr>
                <w:sz w:val="24"/>
              </w:rPr>
              <w:t>标示牌）并进行防雨、防泄漏处理。施工产生的废料首先应考虑废料的回收利用，对钢筋、钢板、木材等</w:t>
            </w:r>
            <w:r>
              <w:rPr>
                <w:rFonts w:hint="eastAsia"/>
                <w:sz w:val="24"/>
              </w:rPr>
              <w:t>下脚料</w:t>
            </w:r>
            <w:r>
              <w:rPr>
                <w:sz w:val="24"/>
              </w:rPr>
              <w:t>可分类收集，交废物收购站回收处理；不能回收的建筑垃圾，如混凝土废料、含砖、石、砂的杂土等应集中堆放，定时清运到指定垃圾场，以免影响环境质量。为确保废弃物处置措施落实，建设单位或施工总承包单位在与建筑</w:t>
            </w:r>
          </w:p>
          <w:p>
            <w:pPr>
              <w:adjustRightInd w:val="0"/>
              <w:snapToGrid w:val="0"/>
              <w:spacing w:line="360" w:lineRule="auto"/>
              <w:ind w:firstLine="480" w:firstLineChars="200"/>
              <w:rPr>
                <w:sz w:val="24"/>
              </w:rPr>
            </w:pPr>
            <w:r>
              <w:rPr>
                <w:sz w:val="24"/>
              </w:rPr>
              <w:t>垃圾清运公司签订清运合同时，应要求承包公司提供废弃物去向的证明材料，严禁随意倾倒、填埋，造成二次污染。</w:t>
            </w:r>
          </w:p>
          <w:p>
            <w:pPr>
              <w:adjustRightInd w:val="0"/>
              <w:snapToGrid w:val="0"/>
              <w:spacing w:line="360" w:lineRule="auto"/>
              <w:ind w:firstLine="480" w:firstLineChars="200"/>
              <w:rPr>
                <w:sz w:val="24"/>
              </w:rPr>
            </w:pPr>
            <w:r>
              <w:rPr>
                <w:sz w:val="24"/>
              </w:rPr>
              <w:t>其中污水厂产生装修垃圾一般有废砖头、砂、水泥及木屑等，会产生扬尘，因此不能随意倾倒，而应用编织袋包装后运出屋外，放在指定地点，委托环卫部门统一清运处理至建渣场。在外运以上各种建筑垃圾时，出场前一律清洗轮胎，用毡布覆盖，尽量避免轮胎上的泥土掉落至路面而造成扬尘。禁止将临时堆场设置靠近李馥河、流江河河岸一侧，禁止将建筑垃圾直接倾倒入李馥河。</w:t>
            </w:r>
          </w:p>
          <w:p>
            <w:pPr>
              <w:adjustRightInd w:val="0"/>
              <w:snapToGrid w:val="0"/>
              <w:spacing w:line="360" w:lineRule="auto"/>
              <w:ind w:firstLine="480" w:firstLineChars="200"/>
              <w:rPr>
                <w:sz w:val="24"/>
              </w:rPr>
            </w:pPr>
            <w:r>
              <w:rPr>
                <w:sz w:val="24"/>
              </w:rPr>
              <w:t>（3）生活垃圾</w:t>
            </w:r>
          </w:p>
          <w:p>
            <w:pPr>
              <w:adjustRightInd w:val="0"/>
              <w:snapToGrid w:val="0"/>
              <w:spacing w:line="360" w:lineRule="auto"/>
              <w:ind w:firstLine="480" w:firstLineChars="200"/>
              <w:rPr>
                <w:sz w:val="24"/>
              </w:rPr>
            </w:pPr>
            <w:r>
              <w:rPr>
                <w:sz w:val="24"/>
              </w:rPr>
              <w:t>施工高峰期按施工人员10人计，生活垃圾产生量按0.5kg/人·d计，预计产生总量约为5kg/d。办公生活垃圾经袋装收集后，由当地环卫部门统一运送到</w:t>
            </w:r>
            <w:r>
              <w:rPr>
                <w:rFonts w:hint="eastAsia"/>
                <w:sz w:val="24"/>
                <w:lang w:eastAsia="zh-CN"/>
              </w:rPr>
              <w:t>垃圾处理厂</w:t>
            </w:r>
            <w:r>
              <w:rPr>
                <w:sz w:val="24"/>
              </w:rPr>
              <w:t>集中处理，不可就地填埋或焚烧，以避免对区域环境空气和水环境质量构成潜在的影响因素。</w:t>
            </w:r>
          </w:p>
          <w:p>
            <w:pPr>
              <w:adjustRightInd w:val="0"/>
              <w:snapToGrid w:val="0"/>
              <w:spacing w:line="360" w:lineRule="auto"/>
              <w:ind w:firstLine="480" w:firstLineChars="200"/>
              <w:rPr>
                <w:sz w:val="24"/>
              </w:rPr>
            </w:pPr>
            <w:r>
              <w:rPr>
                <w:sz w:val="24"/>
              </w:rPr>
              <w:t>工程施工期产生的固体废物得到合理有效的处置，不会造成二次污染。</w:t>
            </w:r>
          </w:p>
          <w:p>
            <w:pPr>
              <w:adjustRightInd w:val="0"/>
              <w:snapToGrid w:val="0"/>
              <w:spacing w:line="360" w:lineRule="auto"/>
              <w:ind w:firstLine="482" w:firstLineChars="200"/>
              <w:rPr>
                <w:b/>
                <w:bCs/>
                <w:sz w:val="24"/>
              </w:rPr>
            </w:pPr>
            <w:r>
              <w:rPr>
                <w:b/>
                <w:bCs/>
                <w:sz w:val="24"/>
              </w:rPr>
              <w:t>5、生态环境保护措施</w:t>
            </w:r>
          </w:p>
          <w:p>
            <w:pPr>
              <w:adjustRightInd w:val="0"/>
              <w:snapToGrid w:val="0"/>
              <w:spacing w:line="360" w:lineRule="auto"/>
              <w:ind w:firstLine="480" w:firstLineChars="200"/>
              <w:rPr>
                <w:sz w:val="24"/>
              </w:rPr>
            </w:pPr>
            <w:r>
              <w:rPr>
                <w:sz w:val="24"/>
              </w:rPr>
              <w:t>项目施工生态影响主要表现为破坏沿线植被和土壤结构，造成水土流失。</w:t>
            </w:r>
          </w:p>
          <w:p>
            <w:pPr>
              <w:adjustRightInd w:val="0"/>
              <w:snapToGrid w:val="0"/>
              <w:spacing w:line="360" w:lineRule="auto"/>
              <w:ind w:firstLine="480" w:firstLineChars="200"/>
              <w:rPr>
                <w:sz w:val="24"/>
              </w:rPr>
            </w:pPr>
            <w:r>
              <w:rPr>
                <w:sz w:val="24"/>
              </w:rPr>
              <w:t>本环评要求施工单位应采取以下措施防止生态影响：</w:t>
            </w:r>
          </w:p>
          <w:p>
            <w:pPr>
              <w:adjustRightInd w:val="0"/>
              <w:snapToGrid w:val="0"/>
              <w:spacing w:line="360" w:lineRule="auto"/>
              <w:ind w:firstLine="480" w:firstLineChars="200"/>
              <w:rPr>
                <w:sz w:val="24"/>
              </w:rPr>
            </w:pPr>
            <w:r>
              <w:rPr>
                <w:sz w:val="24"/>
              </w:rPr>
              <w:t>a.避开雨天和大风天气进行地表清理、开挖、运输作业；临时堆场避开地势低洼带，采用防雨布或薄膜进行覆盖，防止雨水冲刷；严格按照《中华人民共和国水土保持法》等有关法律法规以及当地有关部门的要求进行施工。</w:t>
            </w:r>
          </w:p>
          <w:p>
            <w:pPr>
              <w:adjustRightInd w:val="0"/>
              <w:snapToGrid w:val="0"/>
              <w:spacing w:line="360" w:lineRule="auto"/>
              <w:ind w:firstLine="480" w:firstLineChars="200"/>
              <w:rPr>
                <w:sz w:val="24"/>
              </w:rPr>
            </w:pPr>
            <w:r>
              <w:rPr>
                <w:sz w:val="24"/>
              </w:rPr>
              <w:t>b.施工场地设置临时排水沟和沉淀池，使雨水或地下渗水经沉淀池沉清后回用，减少施工期水土流失。</w:t>
            </w:r>
          </w:p>
          <w:p>
            <w:pPr>
              <w:adjustRightInd w:val="0"/>
              <w:snapToGrid w:val="0"/>
              <w:spacing w:line="360" w:lineRule="auto"/>
              <w:ind w:firstLine="480" w:firstLineChars="200"/>
              <w:rPr>
                <w:sz w:val="24"/>
              </w:rPr>
            </w:pPr>
            <w:r>
              <w:rPr>
                <w:sz w:val="24"/>
              </w:rPr>
              <w:t>c.根据对工程建设过程中扰动、破坏原地表面积的预测，工程开挖将对原地表具有水土保持功能的设施构成破坏，应按相关法律法规要求应予补偿。</w:t>
            </w:r>
          </w:p>
          <w:p>
            <w:pPr>
              <w:adjustRightInd w:val="0"/>
              <w:snapToGrid w:val="0"/>
              <w:spacing w:line="360" w:lineRule="auto"/>
              <w:ind w:firstLine="480" w:firstLineChars="200"/>
              <w:rPr>
                <w:sz w:val="24"/>
              </w:rPr>
            </w:pPr>
            <w:r>
              <w:rPr>
                <w:sz w:val="24"/>
              </w:rPr>
              <w:t>d.合理优化施工方案，加快施工进度，严格控制施工作业带范围，减少施工作业的临时占地区域。</w:t>
            </w:r>
          </w:p>
          <w:p>
            <w:pPr>
              <w:adjustRightInd w:val="0"/>
              <w:snapToGrid w:val="0"/>
              <w:spacing w:line="360" w:lineRule="auto"/>
              <w:ind w:firstLine="480" w:firstLineChars="200"/>
              <w:rPr>
                <w:sz w:val="24"/>
              </w:rPr>
            </w:pPr>
            <w:r>
              <w:rPr>
                <w:sz w:val="24"/>
              </w:rPr>
              <w:t>e.建设单位应有专职的环境保护和水土保持管理人员，落实施工过程中的临时环境保护治理措施和土保持措施，及监督管理工作。</w:t>
            </w:r>
          </w:p>
          <w:p>
            <w:pPr>
              <w:adjustRightInd w:val="0"/>
              <w:snapToGrid w:val="0"/>
              <w:spacing w:line="360" w:lineRule="auto"/>
              <w:ind w:firstLine="480" w:firstLineChars="200"/>
              <w:rPr>
                <w:sz w:val="24"/>
              </w:rPr>
            </w:pPr>
            <w:r>
              <w:rPr>
                <w:sz w:val="24"/>
              </w:rPr>
              <w:t>综上所述，施工期间提出相应的治理措施是可行的，项目施工期虽然对环境存在一定影响，只要按相关规定，进行文明施工，就可以将项目施工期对外环境的影响减少</w:t>
            </w:r>
            <w:r>
              <w:rPr>
                <w:rFonts w:hint="eastAsia"/>
                <w:sz w:val="24"/>
              </w:rPr>
              <w:t>到</w:t>
            </w:r>
            <w:r>
              <w:rPr>
                <w:sz w:val="24"/>
              </w:rPr>
              <w:t>最小。施工结束后，以上影响随之消除。</w:t>
            </w:r>
          </w:p>
        </w:tc>
      </w:tr>
    </w:tbl>
    <w:p>
      <w:pPr>
        <w:adjustRightInd w:val="0"/>
        <w:snapToGrid w:val="0"/>
        <w:jc w:val="center"/>
        <w:rPr>
          <w:bCs/>
          <w:sz w:val="24"/>
        </w:rPr>
        <w:sectPr>
          <w:pgSz w:w="11907" w:h="16840"/>
          <w:pgMar w:top="1701" w:right="1531" w:bottom="2127" w:left="1531" w:header="851" w:footer="851" w:gutter="0"/>
          <w:cols w:space="720" w:num="1"/>
          <w:docGrid w:linePitch="312" w:charSpace="0"/>
        </w:sectPr>
      </w:pPr>
    </w:p>
    <w:tbl>
      <w:tblPr>
        <w:tblStyle w:val="3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27"/>
        <w:gridCol w:w="86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trPr>
        <w:tc>
          <w:tcPr>
            <w:tcW w:w="327" w:type="dxa"/>
            <w:noWrap w:val="0"/>
            <w:tcMar>
              <w:left w:w="28" w:type="dxa"/>
              <w:right w:w="28" w:type="dxa"/>
            </w:tcMar>
            <w:vAlign w:val="center"/>
          </w:tcPr>
          <w:p>
            <w:pPr>
              <w:adjustRightInd w:val="0"/>
              <w:snapToGrid w:val="0"/>
              <w:jc w:val="center"/>
              <w:rPr>
                <w:bCs/>
                <w:sz w:val="24"/>
              </w:rPr>
            </w:pPr>
            <w:r>
              <w:rPr>
                <w:bCs/>
                <w:sz w:val="24"/>
              </w:rPr>
              <w:t>运营</w:t>
            </w:r>
          </w:p>
          <w:p>
            <w:pPr>
              <w:adjustRightInd w:val="0"/>
              <w:snapToGrid w:val="0"/>
              <w:jc w:val="center"/>
              <w:rPr>
                <w:bCs/>
                <w:sz w:val="24"/>
              </w:rPr>
            </w:pPr>
            <w:r>
              <w:rPr>
                <w:bCs/>
                <w:sz w:val="24"/>
              </w:rPr>
              <w:t>期环</w:t>
            </w:r>
          </w:p>
          <w:p>
            <w:pPr>
              <w:adjustRightInd w:val="0"/>
              <w:snapToGrid w:val="0"/>
              <w:jc w:val="center"/>
              <w:rPr>
                <w:bCs/>
                <w:sz w:val="24"/>
              </w:rPr>
            </w:pPr>
            <w:r>
              <w:rPr>
                <w:bCs/>
                <w:sz w:val="24"/>
              </w:rPr>
              <w:t>境影</w:t>
            </w:r>
          </w:p>
          <w:p>
            <w:pPr>
              <w:adjustRightInd w:val="0"/>
              <w:snapToGrid w:val="0"/>
              <w:jc w:val="center"/>
              <w:rPr>
                <w:bCs/>
                <w:sz w:val="24"/>
              </w:rPr>
            </w:pPr>
            <w:r>
              <w:rPr>
                <w:bCs/>
                <w:sz w:val="24"/>
              </w:rPr>
              <w:t>响和</w:t>
            </w:r>
          </w:p>
          <w:p>
            <w:pPr>
              <w:adjustRightInd w:val="0"/>
              <w:snapToGrid w:val="0"/>
              <w:jc w:val="center"/>
              <w:rPr>
                <w:bCs/>
                <w:sz w:val="24"/>
              </w:rPr>
            </w:pPr>
            <w:r>
              <w:rPr>
                <w:bCs/>
                <w:sz w:val="24"/>
              </w:rPr>
              <w:t>保护</w:t>
            </w:r>
          </w:p>
          <w:p>
            <w:pPr>
              <w:adjustRightInd w:val="0"/>
              <w:snapToGrid w:val="0"/>
              <w:jc w:val="center"/>
              <w:rPr>
                <w:bCs/>
                <w:sz w:val="24"/>
              </w:rPr>
            </w:pPr>
            <w:r>
              <w:rPr>
                <w:bCs/>
                <w:sz w:val="24"/>
              </w:rPr>
              <w:t>措施</w:t>
            </w:r>
          </w:p>
        </w:tc>
        <w:tc>
          <w:tcPr>
            <w:tcW w:w="8654" w:type="dxa"/>
            <w:noWrap w:val="0"/>
            <w:vAlign w:val="center"/>
          </w:tcPr>
          <w:p>
            <w:pPr>
              <w:spacing w:line="360" w:lineRule="auto"/>
              <w:jc w:val="left"/>
              <w:rPr>
                <w:b/>
                <w:bCs/>
                <w:sz w:val="24"/>
              </w:rPr>
            </w:pPr>
            <w:r>
              <w:rPr>
                <w:b/>
                <w:bCs/>
                <w:sz w:val="24"/>
              </w:rPr>
              <w:t>一、废气环境影响和保护措施</w:t>
            </w:r>
          </w:p>
          <w:p>
            <w:pPr>
              <w:spacing w:line="360" w:lineRule="auto"/>
              <w:ind w:firstLine="482" w:firstLineChars="200"/>
              <w:rPr>
                <w:b/>
                <w:bCs/>
                <w:sz w:val="24"/>
              </w:rPr>
            </w:pPr>
            <w:r>
              <w:rPr>
                <w:b/>
                <w:bCs/>
                <w:sz w:val="24"/>
              </w:rPr>
              <w:t>1、废气污染物源强核算</w:t>
            </w:r>
          </w:p>
          <w:p>
            <w:pPr>
              <w:spacing w:line="360" w:lineRule="auto"/>
              <w:ind w:firstLine="480" w:firstLineChars="200"/>
              <w:rPr>
                <w:sz w:val="24"/>
              </w:rPr>
            </w:pPr>
            <w:r>
              <w:rPr>
                <w:sz w:val="24"/>
              </w:rPr>
              <w:t>本项目营运期主要大气污染物为污水及污泥处理过程在产生的恶臭气体以及员工食堂油烟。</w:t>
            </w:r>
          </w:p>
          <w:p>
            <w:pPr>
              <w:spacing w:line="360" w:lineRule="auto"/>
              <w:ind w:firstLine="482" w:firstLineChars="200"/>
              <w:rPr>
                <w:b/>
                <w:bCs/>
                <w:sz w:val="24"/>
              </w:rPr>
            </w:pPr>
            <w:r>
              <w:rPr>
                <w:b/>
                <w:bCs/>
                <w:sz w:val="24"/>
              </w:rPr>
              <w:t>（1）恶臭</w:t>
            </w:r>
          </w:p>
          <w:p>
            <w:pPr>
              <w:spacing w:line="360" w:lineRule="auto"/>
              <w:ind w:firstLine="480" w:firstLineChars="200"/>
              <w:rPr>
                <w:sz w:val="24"/>
              </w:rPr>
            </w:pPr>
            <w:r>
              <w:rPr>
                <w:sz w:val="24"/>
              </w:rPr>
              <w:t>污水处理厂污水中有机物和无机物在微生物降解时会产生恶臭，根据采用类似工艺的污水厂分析，确定本项目恶臭的位置主要为预处理区（粗格栅、提升池、调节池和污泥池）；生化处理区（一体化设备中）；污泥处理区（污泥浓缩池、污泥脱水间）等3个单元，其</w:t>
            </w:r>
            <w:r>
              <w:rPr>
                <w:rFonts w:hint="eastAsia"/>
                <w:sz w:val="24"/>
              </w:rPr>
              <w:t>成分</w:t>
            </w:r>
            <w:r>
              <w:rPr>
                <w:sz w:val="24"/>
              </w:rPr>
              <w:t>主要是生化分解和反应过程中产生的氨（胺）等含氮化合物及硫化氢、甲烷等混合物，产污单位相对集中，为降低臭气对周围环境的影响，要求建设单位对主要恶臭源进行密闭、加盖等收集后送喷淋塔（碱液）除臭系统进行集中处置，少量未被收集部分属无组织排放源，其产量受水温、pH值、构筑物设计参数等多种因素的影响。</w:t>
            </w:r>
          </w:p>
          <w:p>
            <w:pPr>
              <w:spacing w:line="360" w:lineRule="auto"/>
              <w:ind w:firstLine="480" w:firstLineChars="200"/>
              <w:rPr>
                <w:sz w:val="24"/>
              </w:rPr>
            </w:pPr>
            <w:r>
              <w:rPr>
                <w:sz w:val="24"/>
              </w:rPr>
              <w:t>①产生源强</w:t>
            </w:r>
          </w:p>
          <w:p>
            <w:pPr>
              <w:spacing w:line="360" w:lineRule="auto"/>
              <w:ind w:firstLine="480" w:firstLineChars="200"/>
              <w:rPr>
                <w:sz w:val="24"/>
              </w:rPr>
            </w:pPr>
            <w:r>
              <w:rPr>
                <w:sz w:val="24"/>
              </w:rPr>
              <w:t>根据《城市污水处理厂恶臭影响及对策分析》（王喜红，2011年9月）、《污水处理厂恶臭防治对策及环境影响评价的研究》（薛松、和慧、邓莉蕊、孙晶晶）等相关资料，本项目主要构筑物恶臭污染物单位面积污染因子源强参数见下表。</w:t>
            </w:r>
          </w:p>
          <w:p>
            <w:pPr>
              <w:jc w:val="center"/>
              <w:rPr>
                <w:rFonts w:eastAsia="黑体"/>
                <w:kern w:val="0"/>
                <w:sz w:val="24"/>
              </w:rPr>
            </w:pPr>
            <w:r>
              <w:rPr>
                <w:rFonts w:eastAsia="黑体"/>
                <w:kern w:val="0"/>
                <w:sz w:val="24"/>
              </w:rPr>
              <w:t>表4-4    污水厂主要处理设施NH</w:t>
            </w:r>
            <w:r>
              <w:rPr>
                <w:rFonts w:eastAsia="黑体"/>
                <w:kern w:val="0"/>
                <w:sz w:val="24"/>
                <w:vertAlign w:val="subscript"/>
              </w:rPr>
              <w:t>3</w:t>
            </w:r>
            <w:r>
              <w:rPr>
                <w:rFonts w:eastAsia="黑体"/>
                <w:kern w:val="0"/>
                <w:sz w:val="24"/>
              </w:rPr>
              <w:t>和H</w:t>
            </w:r>
            <w:r>
              <w:rPr>
                <w:rFonts w:eastAsia="黑体"/>
                <w:kern w:val="0"/>
                <w:sz w:val="24"/>
                <w:vertAlign w:val="subscript"/>
              </w:rPr>
              <w:t>2</w:t>
            </w:r>
            <w:r>
              <w:rPr>
                <w:rFonts w:eastAsia="黑体"/>
                <w:kern w:val="0"/>
                <w:sz w:val="24"/>
              </w:rPr>
              <w:t>S产生强度   单位：mg/（s·m</w:t>
            </w:r>
            <w:r>
              <w:rPr>
                <w:rFonts w:eastAsia="黑体"/>
                <w:kern w:val="0"/>
                <w:sz w:val="24"/>
                <w:vertAlign w:val="superscript"/>
              </w:rPr>
              <w:t>2</w:t>
            </w:r>
            <w:r>
              <w:rPr>
                <w:rFonts w:eastAsia="黑体"/>
                <w:kern w:val="0"/>
                <w:sz w:val="24"/>
              </w:rPr>
              <w:t>）</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90"/>
              <w:gridCol w:w="2630"/>
              <w:gridCol w:w="2110"/>
              <w:gridCol w:w="21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2" w:type="pct"/>
                  <w:shd w:val="clear" w:color="auto" w:fill="CCFFFF"/>
                  <w:noWrap w:val="0"/>
                  <w:vAlign w:val="center"/>
                </w:tcPr>
                <w:p>
                  <w:pPr>
                    <w:pStyle w:val="291"/>
                    <w:snapToGrid/>
                    <w:spacing w:line="276" w:lineRule="auto"/>
                    <w:ind w:firstLine="0" w:firstLineChars="0"/>
                    <w:jc w:val="center"/>
                    <w:rPr>
                      <w:b/>
                      <w:bCs/>
                      <w:sz w:val="21"/>
                      <w:szCs w:val="21"/>
                    </w:rPr>
                  </w:pPr>
                  <w:r>
                    <w:rPr>
                      <w:b/>
                      <w:bCs/>
                      <w:sz w:val="21"/>
                      <w:szCs w:val="21"/>
                    </w:rPr>
                    <w:t>序号</w:t>
                  </w:r>
                </w:p>
              </w:tc>
              <w:tc>
                <w:tcPr>
                  <w:tcW w:w="1558" w:type="pct"/>
                  <w:shd w:val="clear" w:color="auto" w:fill="CCFFFF"/>
                  <w:noWrap w:val="0"/>
                  <w:vAlign w:val="center"/>
                </w:tcPr>
                <w:p>
                  <w:pPr>
                    <w:pStyle w:val="291"/>
                    <w:snapToGrid/>
                    <w:spacing w:line="276" w:lineRule="auto"/>
                    <w:ind w:firstLine="0" w:firstLineChars="0"/>
                    <w:jc w:val="center"/>
                    <w:rPr>
                      <w:b/>
                      <w:bCs/>
                      <w:sz w:val="21"/>
                      <w:szCs w:val="21"/>
                    </w:rPr>
                  </w:pPr>
                  <w:r>
                    <w:rPr>
                      <w:b/>
                      <w:bCs/>
                      <w:sz w:val="21"/>
                      <w:szCs w:val="21"/>
                    </w:rPr>
                    <w:t>构筑物名称</w:t>
                  </w:r>
                </w:p>
              </w:tc>
              <w:tc>
                <w:tcPr>
                  <w:tcW w:w="1250" w:type="pct"/>
                  <w:shd w:val="clear" w:color="auto" w:fill="CCFFFF"/>
                  <w:noWrap w:val="0"/>
                  <w:vAlign w:val="center"/>
                </w:tcPr>
                <w:p>
                  <w:pPr>
                    <w:pStyle w:val="291"/>
                    <w:snapToGrid/>
                    <w:spacing w:line="276" w:lineRule="auto"/>
                    <w:ind w:firstLine="0" w:firstLineChars="0"/>
                    <w:jc w:val="center"/>
                    <w:rPr>
                      <w:b/>
                      <w:bCs/>
                      <w:sz w:val="21"/>
                      <w:szCs w:val="21"/>
                    </w:rPr>
                  </w:pPr>
                  <w:r>
                    <w:rPr>
                      <w:b/>
                      <w:bCs/>
                      <w:sz w:val="21"/>
                      <w:szCs w:val="21"/>
                    </w:rPr>
                    <w:t>NH</w:t>
                  </w:r>
                  <w:r>
                    <w:rPr>
                      <w:b/>
                      <w:bCs/>
                      <w:sz w:val="21"/>
                      <w:szCs w:val="21"/>
                      <w:vertAlign w:val="subscript"/>
                    </w:rPr>
                    <w:t>3</w:t>
                  </w:r>
                  <w:r>
                    <w:rPr>
                      <w:b/>
                      <w:bCs/>
                      <w:sz w:val="21"/>
                      <w:szCs w:val="21"/>
                    </w:rPr>
                    <w:t>产生强度</w:t>
                  </w:r>
                </w:p>
              </w:tc>
              <w:tc>
                <w:tcPr>
                  <w:tcW w:w="1249" w:type="pct"/>
                  <w:shd w:val="clear" w:color="auto" w:fill="CCFFFF"/>
                  <w:noWrap w:val="0"/>
                  <w:vAlign w:val="center"/>
                </w:tcPr>
                <w:p>
                  <w:pPr>
                    <w:pStyle w:val="291"/>
                    <w:snapToGrid/>
                    <w:spacing w:line="276" w:lineRule="auto"/>
                    <w:ind w:firstLine="0" w:firstLineChars="0"/>
                    <w:jc w:val="center"/>
                    <w:rPr>
                      <w:b/>
                      <w:bCs/>
                      <w:sz w:val="21"/>
                      <w:szCs w:val="21"/>
                    </w:rPr>
                  </w:pPr>
                  <w:r>
                    <w:rPr>
                      <w:b/>
                      <w:bCs/>
                      <w:sz w:val="21"/>
                      <w:szCs w:val="21"/>
                    </w:rPr>
                    <w:t>H</w:t>
                  </w:r>
                  <w:r>
                    <w:rPr>
                      <w:b/>
                      <w:bCs/>
                      <w:sz w:val="21"/>
                      <w:szCs w:val="21"/>
                      <w:vertAlign w:val="subscript"/>
                    </w:rPr>
                    <w:t>2</w:t>
                  </w:r>
                  <w:r>
                    <w:rPr>
                      <w:b/>
                      <w:bCs/>
                      <w:sz w:val="21"/>
                      <w:szCs w:val="21"/>
                    </w:rPr>
                    <w:t>S产生强度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2" w:type="pct"/>
                  <w:noWrap w:val="0"/>
                  <w:vAlign w:val="center"/>
                </w:tcPr>
                <w:p>
                  <w:pPr>
                    <w:pStyle w:val="291"/>
                    <w:snapToGrid/>
                    <w:spacing w:line="276" w:lineRule="auto"/>
                    <w:ind w:firstLine="0" w:firstLineChars="0"/>
                    <w:jc w:val="center"/>
                    <w:rPr>
                      <w:sz w:val="21"/>
                      <w:szCs w:val="21"/>
                    </w:rPr>
                  </w:pPr>
                  <w:r>
                    <w:rPr>
                      <w:sz w:val="21"/>
                      <w:szCs w:val="21"/>
                    </w:rPr>
                    <w:t>1</w:t>
                  </w:r>
                </w:p>
              </w:tc>
              <w:tc>
                <w:tcPr>
                  <w:tcW w:w="1558" w:type="pct"/>
                  <w:noWrap w:val="0"/>
                  <w:vAlign w:val="center"/>
                </w:tcPr>
                <w:p>
                  <w:pPr>
                    <w:pStyle w:val="291"/>
                    <w:snapToGrid/>
                    <w:spacing w:line="276" w:lineRule="auto"/>
                    <w:ind w:firstLine="0" w:firstLineChars="0"/>
                    <w:jc w:val="center"/>
                    <w:rPr>
                      <w:sz w:val="21"/>
                      <w:szCs w:val="21"/>
                    </w:rPr>
                  </w:pPr>
                  <w:r>
                    <w:rPr>
                      <w:sz w:val="21"/>
                      <w:szCs w:val="21"/>
                    </w:rPr>
                    <w:t>粗格栅及进水泵房</w:t>
                  </w:r>
                </w:p>
              </w:tc>
              <w:tc>
                <w:tcPr>
                  <w:tcW w:w="1250" w:type="pct"/>
                  <w:noWrap w:val="0"/>
                  <w:vAlign w:val="center"/>
                </w:tcPr>
                <w:p>
                  <w:pPr>
                    <w:pStyle w:val="291"/>
                    <w:snapToGrid/>
                    <w:spacing w:line="276" w:lineRule="auto"/>
                    <w:ind w:firstLine="0" w:firstLineChars="0"/>
                    <w:jc w:val="center"/>
                    <w:rPr>
                      <w:sz w:val="21"/>
                      <w:szCs w:val="21"/>
                    </w:rPr>
                  </w:pPr>
                  <w:r>
                    <w:rPr>
                      <w:sz w:val="21"/>
                      <w:szCs w:val="21"/>
                    </w:rPr>
                    <w:t>0.610</w:t>
                  </w:r>
                </w:p>
              </w:tc>
              <w:tc>
                <w:tcPr>
                  <w:tcW w:w="1249" w:type="pct"/>
                  <w:noWrap w:val="0"/>
                  <w:vAlign w:val="center"/>
                </w:tcPr>
                <w:p>
                  <w:pPr>
                    <w:pStyle w:val="291"/>
                    <w:snapToGrid/>
                    <w:spacing w:line="276" w:lineRule="auto"/>
                    <w:ind w:firstLine="0" w:firstLineChars="0"/>
                    <w:jc w:val="center"/>
                    <w:rPr>
                      <w:sz w:val="21"/>
                      <w:szCs w:val="21"/>
                    </w:rPr>
                  </w:pPr>
                  <w:r>
                    <w:rPr>
                      <w:sz w:val="21"/>
                      <w:szCs w:val="21"/>
                    </w:rPr>
                    <w:t>1.068×10</w:t>
                  </w:r>
                  <w:r>
                    <w:rPr>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2" w:type="pct"/>
                  <w:noWrap w:val="0"/>
                  <w:vAlign w:val="center"/>
                </w:tcPr>
                <w:p>
                  <w:pPr>
                    <w:pStyle w:val="291"/>
                    <w:snapToGrid/>
                    <w:spacing w:line="276" w:lineRule="auto"/>
                    <w:ind w:firstLine="0" w:firstLineChars="0"/>
                    <w:jc w:val="center"/>
                    <w:rPr>
                      <w:sz w:val="21"/>
                      <w:szCs w:val="21"/>
                    </w:rPr>
                  </w:pPr>
                  <w:r>
                    <w:rPr>
                      <w:sz w:val="21"/>
                      <w:szCs w:val="21"/>
                    </w:rPr>
                    <w:t>2</w:t>
                  </w:r>
                </w:p>
              </w:tc>
              <w:tc>
                <w:tcPr>
                  <w:tcW w:w="1558" w:type="pct"/>
                  <w:noWrap w:val="0"/>
                  <w:vAlign w:val="center"/>
                </w:tcPr>
                <w:p>
                  <w:pPr>
                    <w:pStyle w:val="291"/>
                    <w:snapToGrid/>
                    <w:spacing w:line="276" w:lineRule="auto"/>
                    <w:ind w:firstLine="0" w:firstLineChars="0"/>
                    <w:jc w:val="center"/>
                    <w:rPr>
                      <w:sz w:val="21"/>
                      <w:szCs w:val="21"/>
                    </w:rPr>
                  </w:pPr>
                  <w:r>
                    <w:rPr>
                      <w:sz w:val="21"/>
                      <w:szCs w:val="21"/>
                    </w:rPr>
                    <w:t>调节池</w:t>
                  </w:r>
                </w:p>
              </w:tc>
              <w:tc>
                <w:tcPr>
                  <w:tcW w:w="1250" w:type="pct"/>
                  <w:noWrap w:val="0"/>
                  <w:vAlign w:val="center"/>
                </w:tcPr>
                <w:p>
                  <w:pPr>
                    <w:pStyle w:val="291"/>
                    <w:snapToGrid/>
                    <w:spacing w:line="276" w:lineRule="auto"/>
                    <w:ind w:firstLine="0" w:firstLineChars="0"/>
                    <w:jc w:val="center"/>
                    <w:rPr>
                      <w:sz w:val="21"/>
                      <w:szCs w:val="21"/>
                    </w:rPr>
                  </w:pPr>
                  <w:r>
                    <w:rPr>
                      <w:sz w:val="21"/>
                      <w:szCs w:val="21"/>
                    </w:rPr>
                    <w:t>0.092</w:t>
                  </w:r>
                </w:p>
              </w:tc>
              <w:tc>
                <w:tcPr>
                  <w:tcW w:w="1249" w:type="pct"/>
                  <w:noWrap w:val="0"/>
                  <w:vAlign w:val="center"/>
                </w:tcPr>
                <w:p>
                  <w:pPr>
                    <w:pStyle w:val="291"/>
                    <w:snapToGrid/>
                    <w:spacing w:line="276" w:lineRule="auto"/>
                    <w:ind w:firstLine="0" w:firstLineChars="0"/>
                    <w:jc w:val="center"/>
                    <w:rPr>
                      <w:sz w:val="21"/>
                      <w:szCs w:val="21"/>
                    </w:rPr>
                  </w:pPr>
                  <w:r>
                    <w:rPr>
                      <w:sz w:val="21"/>
                      <w:szCs w:val="21"/>
                    </w:rPr>
                    <w:t>9.3×10</w:t>
                  </w:r>
                  <w:r>
                    <w:rPr>
                      <w:sz w:val="21"/>
                      <w:szCs w:val="21"/>
                      <w:vertAlign w:val="superscript"/>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2" w:type="pct"/>
                  <w:noWrap w:val="0"/>
                  <w:vAlign w:val="center"/>
                </w:tcPr>
                <w:p>
                  <w:pPr>
                    <w:pStyle w:val="291"/>
                    <w:snapToGrid/>
                    <w:spacing w:line="276" w:lineRule="auto"/>
                    <w:ind w:firstLine="0" w:firstLineChars="0"/>
                    <w:jc w:val="center"/>
                    <w:rPr>
                      <w:sz w:val="21"/>
                      <w:szCs w:val="21"/>
                    </w:rPr>
                  </w:pPr>
                  <w:r>
                    <w:rPr>
                      <w:sz w:val="21"/>
                      <w:szCs w:val="21"/>
                    </w:rPr>
                    <w:t>3</w:t>
                  </w:r>
                </w:p>
              </w:tc>
              <w:tc>
                <w:tcPr>
                  <w:tcW w:w="1558" w:type="pct"/>
                  <w:noWrap w:val="0"/>
                  <w:vAlign w:val="center"/>
                </w:tcPr>
                <w:p>
                  <w:pPr>
                    <w:pStyle w:val="291"/>
                    <w:snapToGrid/>
                    <w:spacing w:line="276" w:lineRule="auto"/>
                    <w:ind w:firstLine="0" w:firstLineChars="0"/>
                    <w:jc w:val="center"/>
                    <w:rPr>
                      <w:sz w:val="21"/>
                      <w:szCs w:val="21"/>
                    </w:rPr>
                  </w:pPr>
                  <w:r>
                    <w:rPr>
                      <w:sz w:val="21"/>
                      <w:szCs w:val="21"/>
                    </w:rPr>
                    <w:t>细格栅及沉砂池</w:t>
                  </w:r>
                </w:p>
              </w:tc>
              <w:tc>
                <w:tcPr>
                  <w:tcW w:w="1250" w:type="pct"/>
                  <w:noWrap w:val="0"/>
                  <w:vAlign w:val="center"/>
                </w:tcPr>
                <w:p>
                  <w:pPr>
                    <w:pStyle w:val="291"/>
                    <w:snapToGrid/>
                    <w:spacing w:line="276" w:lineRule="auto"/>
                    <w:ind w:firstLine="0" w:firstLineChars="0"/>
                    <w:jc w:val="center"/>
                    <w:rPr>
                      <w:sz w:val="21"/>
                      <w:szCs w:val="21"/>
                    </w:rPr>
                  </w:pPr>
                  <w:r>
                    <w:rPr>
                      <w:sz w:val="21"/>
                      <w:szCs w:val="21"/>
                    </w:rPr>
                    <w:t>0.520</w:t>
                  </w:r>
                </w:p>
              </w:tc>
              <w:tc>
                <w:tcPr>
                  <w:tcW w:w="1249" w:type="pct"/>
                  <w:noWrap w:val="0"/>
                  <w:vAlign w:val="center"/>
                </w:tcPr>
                <w:p>
                  <w:pPr>
                    <w:pStyle w:val="291"/>
                    <w:snapToGrid/>
                    <w:spacing w:line="276" w:lineRule="auto"/>
                    <w:ind w:firstLine="0" w:firstLineChars="0"/>
                    <w:jc w:val="center"/>
                    <w:rPr>
                      <w:sz w:val="21"/>
                      <w:szCs w:val="21"/>
                    </w:rPr>
                  </w:pPr>
                  <w:r>
                    <w:rPr>
                      <w:sz w:val="21"/>
                      <w:szCs w:val="21"/>
                    </w:rPr>
                    <w:t>1.091×10</w:t>
                  </w:r>
                  <w:r>
                    <w:rPr>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2" w:type="pct"/>
                  <w:noWrap w:val="0"/>
                  <w:vAlign w:val="center"/>
                </w:tcPr>
                <w:p>
                  <w:pPr>
                    <w:pStyle w:val="291"/>
                    <w:snapToGrid/>
                    <w:spacing w:line="276" w:lineRule="auto"/>
                    <w:ind w:firstLine="0" w:firstLineChars="0"/>
                    <w:jc w:val="center"/>
                    <w:rPr>
                      <w:sz w:val="21"/>
                      <w:szCs w:val="21"/>
                    </w:rPr>
                  </w:pPr>
                  <w:r>
                    <w:rPr>
                      <w:sz w:val="21"/>
                      <w:szCs w:val="21"/>
                    </w:rPr>
                    <w:t>4</w:t>
                  </w:r>
                </w:p>
              </w:tc>
              <w:tc>
                <w:tcPr>
                  <w:tcW w:w="1558" w:type="pct"/>
                  <w:noWrap w:val="0"/>
                  <w:vAlign w:val="center"/>
                </w:tcPr>
                <w:p>
                  <w:pPr>
                    <w:pStyle w:val="291"/>
                    <w:snapToGrid/>
                    <w:spacing w:line="276" w:lineRule="auto"/>
                    <w:ind w:firstLine="0" w:firstLineChars="0"/>
                    <w:jc w:val="center"/>
                    <w:rPr>
                      <w:sz w:val="21"/>
                      <w:szCs w:val="21"/>
                    </w:rPr>
                  </w:pPr>
                  <w:r>
                    <w:rPr>
                      <w:sz w:val="21"/>
                      <w:szCs w:val="21"/>
                    </w:rPr>
                    <w:t>生化池</w:t>
                  </w:r>
                </w:p>
              </w:tc>
              <w:tc>
                <w:tcPr>
                  <w:tcW w:w="1250" w:type="pct"/>
                  <w:noWrap w:val="0"/>
                  <w:vAlign w:val="center"/>
                </w:tcPr>
                <w:p>
                  <w:pPr>
                    <w:pStyle w:val="291"/>
                    <w:snapToGrid/>
                    <w:spacing w:line="276" w:lineRule="auto"/>
                    <w:ind w:firstLine="0" w:firstLineChars="0"/>
                    <w:jc w:val="center"/>
                    <w:rPr>
                      <w:sz w:val="21"/>
                      <w:szCs w:val="21"/>
                    </w:rPr>
                  </w:pPr>
                  <w:r>
                    <w:rPr>
                      <w:sz w:val="21"/>
                      <w:szCs w:val="21"/>
                    </w:rPr>
                    <w:t>0.0049</w:t>
                  </w:r>
                </w:p>
              </w:tc>
              <w:tc>
                <w:tcPr>
                  <w:tcW w:w="1249" w:type="pct"/>
                  <w:noWrap w:val="0"/>
                  <w:vAlign w:val="center"/>
                </w:tcPr>
                <w:p>
                  <w:pPr>
                    <w:pStyle w:val="291"/>
                    <w:snapToGrid/>
                    <w:spacing w:line="276" w:lineRule="auto"/>
                    <w:ind w:firstLine="0" w:firstLineChars="0"/>
                    <w:jc w:val="center"/>
                    <w:rPr>
                      <w:sz w:val="21"/>
                      <w:szCs w:val="21"/>
                    </w:rPr>
                  </w:pPr>
                  <w:r>
                    <w:rPr>
                      <w:sz w:val="21"/>
                      <w:szCs w:val="21"/>
                    </w:rPr>
                    <w:t>0.26×10</w:t>
                  </w:r>
                  <w:r>
                    <w:rPr>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2" w:type="pct"/>
                  <w:noWrap w:val="0"/>
                  <w:vAlign w:val="center"/>
                </w:tcPr>
                <w:p>
                  <w:pPr>
                    <w:pStyle w:val="291"/>
                    <w:snapToGrid/>
                    <w:spacing w:line="276" w:lineRule="auto"/>
                    <w:ind w:firstLine="0" w:firstLineChars="0"/>
                    <w:jc w:val="center"/>
                    <w:rPr>
                      <w:sz w:val="21"/>
                      <w:szCs w:val="21"/>
                    </w:rPr>
                  </w:pPr>
                  <w:r>
                    <w:rPr>
                      <w:sz w:val="21"/>
                      <w:szCs w:val="21"/>
                    </w:rPr>
                    <w:t>5</w:t>
                  </w:r>
                </w:p>
              </w:tc>
              <w:tc>
                <w:tcPr>
                  <w:tcW w:w="1558" w:type="pct"/>
                  <w:noWrap w:val="0"/>
                  <w:vAlign w:val="center"/>
                </w:tcPr>
                <w:p>
                  <w:pPr>
                    <w:pStyle w:val="291"/>
                    <w:snapToGrid/>
                    <w:spacing w:line="276" w:lineRule="auto"/>
                    <w:ind w:firstLine="0" w:firstLineChars="0"/>
                    <w:jc w:val="center"/>
                    <w:rPr>
                      <w:sz w:val="21"/>
                      <w:szCs w:val="21"/>
                    </w:rPr>
                  </w:pPr>
                  <w:r>
                    <w:rPr>
                      <w:sz w:val="21"/>
                      <w:szCs w:val="21"/>
                    </w:rPr>
                    <w:t>贮泥池/污泥脱水间</w:t>
                  </w:r>
                </w:p>
              </w:tc>
              <w:tc>
                <w:tcPr>
                  <w:tcW w:w="1250" w:type="pct"/>
                  <w:noWrap w:val="0"/>
                  <w:vAlign w:val="center"/>
                </w:tcPr>
                <w:p>
                  <w:pPr>
                    <w:pStyle w:val="291"/>
                    <w:snapToGrid/>
                    <w:spacing w:line="276" w:lineRule="auto"/>
                    <w:ind w:firstLine="0" w:firstLineChars="0"/>
                    <w:jc w:val="center"/>
                    <w:rPr>
                      <w:sz w:val="21"/>
                      <w:szCs w:val="21"/>
                    </w:rPr>
                  </w:pPr>
                  <w:r>
                    <w:rPr>
                      <w:sz w:val="21"/>
                      <w:szCs w:val="21"/>
                    </w:rPr>
                    <w:t>0.103</w:t>
                  </w:r>
                </w:p>
              </w:tc>
              <w:tc>
                <w:tcPr>
                  <w:tcW w:w="1249" w:type="pct"/>
                  <w:noWrap w:val="0"/>
                  <w:vAlign w:val="center"/>
                </w:tcPr>
                <w:p>
                  <w:pPr>
                    <w:pStyle w:val="291"/>
                    <w:snapToGrid/>
                    <w:spacing w:line="276" w:lineRule="auto"/>
                    <w:ind w:firstLine="0" w:firstLineChars="0"/>
                    <w:jc w:val="center"/>
                    <w:rPr>
                      <w:sz w:val="21"/>
                      <w:szCs w:val="21"/>
                    </w:rPr>
                  </w:pPr>
                  <w:r>
                    <w:rPr>
                      <w:sz w:val="21"/>
                      <w:szCs w:val="21"/>
                    </w:rPr>
                    <w:t>0.03×10</w:t>
                  </w:r>
                  <w:r>
                    <w:rPr>
                      <w:sz w:val="21"/>
                      <w:szCs w:val="21"/>
                      <w:vertAlign w:val="superscript"/>
                    </w:rPr>
                    <w:t>-3</w:t>
                  </w:r>
                </w:p>
              </w:tc>
            </w:tr>
          </w:tbl>
          <w:p>
            <w:pPr>
              <w:spacing w:before="120" w:beforeLines="50" w:line="360" w:lineRule="auto"/>
              <w:jc w:val="center"/>
              <w:rPr>
                <w:sz w:val="24"/>
              </w:rPr>
            </w:pPr>
            <w:r>
              <w:rPr>
                <w:sz w:val="24"/>
              </w:rPr>
              <w:t>结合建设内容，本项目各污水处理构筑物恶臭污染物产生情况如下所示。</w:t>
            </w:r>
          </w:p>
          <w:p>
            <w:pPr>
              <w:widowControl/>
              <w:jc w:val="center"/>
              <w:rPr>
                <w:rFonts w:eastAsia="黑体"/>
                <w:sz w:val="24"/>
              </w:rPr>
            </w:pPr>
            <w:r>
              <w:rPr>
                <w:rFonts w:eastAsia="黑体"/>
                <w:sz w:val="24"/>
              </w:rPr>
              <w:t>表4-5  项目污水处理厂恶臭废气产生量一览表</w:t>
            </w:r>
          </w:p>
          <w:tbl>
            <w:tblPr>
              <w:tblStyle w:val="32"/>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77"/>
              <w:gridCol w:w="2394"/>
              <w:gridCol w:w="732"/>
              <w:gridCol w:w="986"/>
              <w:gridCol w:w="1313"/>
              <w:gridCol w:w="1271"/>
              <w:gridCol w:w="11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2" w:type="pct"/>
                  <w:vMerge w:val="restart"/>
                  <w:shd w:val="clear" w:color="auto" w:fill="CCFFFF"/>
                  <w:noWrap w:val="0"/>
                  <w:vAlign w:val="center"/>
                </w:tcPr>
                <w:p>
                  <w:pPr>
                    <w:widowControl/>
                    <w:jc w:val="center"/>
                    <w:rPr>
                      <w:rFonts w:eastAsia="等线"/>
                      <w:b/>
                      <w:bCs/>
                      <w:szCs w:val="21"/>
                    </w:rPr>
                  </w:pPr>
                  <w:r>
                    <w:rPr>
                      <w:b/>
                      <w:bCs/>
                      <w:szCs w:val="21"/>
                    </w:rPr>
                    <w:t>序号</w:t>
                  </w:r>
                </w:p>
              </w:tc>
              <w:tc>
                <w:tcPr>
                  <w:tcW w:w="1420" w:type="pct"/>
                  <w:vMerge w:val="restart"/>
                  <w:shd w:val="clear" w:color="auto" w:fill="CCFFFF"/>
                  <w:noWrap w:val="0"/>
                  <w:vAlign w:val="center"/>
                </w:tcPr>
                <w:p>
                  <w:pPr>
                    <w:widowControl/>
                    <w:jc w:val="center"/>
                    <w:rPr>
                      <w:rFonts w:eastAsia="等线"/>
                      <w:b/>
                      <w:bCs/>
                      <w:szCs w:val="21"/>
                    </w:rPr>
                  </w:pPr>
                  <w:r>
                    <w:rPr>
                      <w:b/>
                      <w:bCs/>
                      <w:szCs w:val="21"/>
                    </w:rPr>
                    <w:t>构建筑物名称</w:t>
                  </w:r>
                </w:p>
              </w:tc>
              <w:tc>
                <w:tcPr>
                  <w:tcW w:w="434" w:type="pct"/>
                  <w:vMerge w:val="restart"/>
                  <w:shd w:val="clear" w:color="auto" w:fill="CCFFFF"/>
                  <w:noWrap w:val="0"/>
                  <w:vAlign w:val="center"/>
                </w:tcPr>
                <w:p>
                  <w:pPr>
                    <w:widowControl/>
                    <w:jc w:val="center"/>
                    <w:rPr>
                      <w:rFonts w:eastAsia="等线"/>
                      <w:b/>
                      <w:bCs/>
                      <w:szCs w:val="21"/>
                    </w:rPr>
                  </w:pPr>
                  <w:r>
                    <w:rPr>
                      <w:b/>
                      <w:bCs/>
                      <w:szCs w:val="21"/>
                    </w:rPr>
                    <w:t>建筑面积m</w:t>
                  </w:r>
                  <w:r>
                    <w:rPr>
                      <w:b/>
                      <w:bCs/>
                      <w:szCs w:val="21"/>
                      <w:vertAlign w:val="superscript"/>
                    </w:rPr>
                    <w:t>2</w:t>
                  </w:r>
                </w:p>
              </w:tc>
              <w:tc>
                <w:tcPr>
                  <w:tcW w:w="1364" w:type="pct"/>
                  <w:gridSpan w:val="2"/>
                  <w:shd w:val="clear" w:color="auto" w:fill="CCFFFF"/>
                  <w:noWrap w:val="0"/>
                  <w:vAlign w:val="center"/>
                </w:tcPr>
                <w:p>
                  <w:pPr>
                    <w:pStyle w:val="291"/>
                    <w:snapToGrid/>
                    <w:spacing w:line="240" w:lineRule="auto"/>
                    <w:ind w:firstLine="0" w:firstLineChars="0"/>
                    <w:jc w:val="center"/>
                    <w:rPr>
                      <w:rFonts w:eastAsia="等线"/>
                      <w:b/>
                      <w:bCs/>
                      <w:sz w:val="21"/>
                      <w:szCs w:val="21"/>
                    </w:rPr>
                  </w:pPr>
                  <w:r>
                    <w:rPr>
                      <w:b/>
                      <w:bCs/>
                      <w:sz w:val="21"/>
                      <w:szCs w:val="21"/>
                    </w:rPr>
                    <w:t>NH</w:t>
                  </w:r>
                  <w:r>
                    <w:rPr>
                      <w:b/>
                      <w:bCs/>
                      <w:sz w:val="21"/>
                      <w:szCs w:val="21"/>
                      <w:vertAlign w:val="subscript"/>
                    </w:rPr>
                    <w:t>3</w:t>
                  </w:r>
                </w:p>
              </w:tc>
              <w:tc>
                <w:tcPr>
                  <w:tcW w:w="1440" w:type="pct"/>
                  <w:gridSpan w:val="2"/>
                  <w:shd w:val="clear" w:color="auto" w:fill="CCFFFF"/>
                  <w:noWrap w:val="0"/>
                  <w:vAlign w:val="center"/>
                </w:tcPr>
                <w:p>
                  <w:pPr>
                    <w:pStyle w:val="291"/>
                    <w:snapToGrid/>
                    <w:spacing w:line="240" w:lineRule="auto"/>
                    <w:ind w:firstLine="0" w:firstLineChars="0"/>
                    <w:jc w:val="center"/>
                    <w:rPr>
                      <w:rFonts w:eastAsia="等线"/>
                      <w:b/>
                      <w:bCs/>
                      <w:sz w:val="21"/>
                      <w:szCs w:val="21"/>
                    </w:rPr>
                  </w:pPr>
                  <w:r>
                    <w:rPr>
                      <w:b/>
                      <w:bCs/>
                      <w:sz w:val="21"/>
                      <w:szCs w:val="21"/>
                    </w:rPr>
                    <w:t>H</w:t>
                  </w:r>
                  <w:r>
                    <w:rPr>
                      <w:b/>
                      <w:bCs/>
                      <w:sz w:val="21"/>
                      <w:szCs w:val="21"/>
                      <w:vertAlign w:val="subscript"/>
                    </w:rPr>
                    <w:t>2</w:t>
                  </w:r>
                  <w:r>
                    <w:rPr>
                      <w:b/>
                      <w:bCs/>
                      <w:sz w:val="21"/>
                      <w:szCs w:val="21"/>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2" w:type="pct"/>
                  <w:vMerge w:val="continue"/>
                  <w:shd w:val="clear" w:color="auto" w:fill="CCFFFF"/>
                  <w:noWrap w:val="0"/>
                  <w:vAlign w:val="center"/>
                </w:tcPr>
                <w:p>
                  <w:pPr>
                    <w:widowControl/>
                    <w:jc w:val="center"/>
                    <w:rPr>
                      <w:rFonts w:eastAsia="等线"/>
                      <w:b/>
                      <w:bCs/>
                      <w:szCs w:val="21"/>
                    </w:rPr>
                  </w:pPr>
                </w:p>
              </w:tc>
              <w:tc>
                <w:tcPr>
                  <w:tcW w:w="1420" w:type="pct"/>
                  <w:vMerge w:val="continue"/>
                  <w:shd w:val="clear" w:color="auto" w:fill="CCFFFF"/>
                  <w:noWrap w:val="0"/>
                  <w:vAlign w:val="center"/>
                </w:tcPr>
                <w:p>
                  <w:pPr>
                    <w:widowControl/>
                    <w:jc w:val="center"/>
                    <w:rPr>
                      <w:rFonts w:eastAsia="等线"/>
                      <w:b/>
                      <w:bCs/>
                      <w:szCs w:val="21"/>
                    </w:rPr>
                  </w:pPr>
                </w:p>
              </w:tc>
              <w:tc>
                <w:tcPr>
                  <w:tcW w:w="434" w:type="pct"/>
                  <w:vMerge w:val="continue"/>
                  <w:shd w:val="clear" w:color="auto" w:fill="CCFFFF"/>
                  <w:noWrap w:val="0"/>
                  <w:vAlign w:val="center"/>
                </w:tcPr>
                <w:p>
                  <w:pPr>
                    <w:widowControl/>
                    <w:jc w:val="center"/>
                    <w:rPr>
                      <w:rFonts w:eastAsia="等线"/>
                      <w:b/>
                      <w:bCs/>
                      <w:szCs w:val="21"/>
                    </w:rPr>
                  </w:pPr>
                </w:p>
              </w:tc>
              <w:tc>
                <w:tcPr>
                  <w:tcW w:w="585" w:type="pct"/>
                  <w:shd w:val="clear" w:color="auto" w:fill="CCFFFF"/>
                  <w:noWrap w:val="0"/>
                  <w:vAlign w:val="center"/>
                </w:tcPr>
                <w:p>
                  <w:pPr>
                    <w:widowControl/>
                    <w:jc w:val="center"/>
                    <w:rPr>
                      <w:rFonts w:eastAsia="等线"/>
                      <w:b/>
                      <w:bCs/>
                      <w:szCs w:val="21"/>
                    </w:rPr>
                  </w:pPr>
                  <w:r>
                    <w:rPr>
                      <w:b/>
                      <w:bCs/>
                      <w:szCs w:val="21"/>
                    </w:rPr>
                    <w:t>产生速率</w:t>
                  </w:r>
                </w:p>
                <w:p>
                  <w:pPr>
                    <w:widowControl/>
                    <w:jc w:val="center"/>
                    <w:rPr>
                      <w:rFonts w:eastAsia="等线"/>
                      <w:b/>
                      <w:bCs/>
                      <w:szCs w:val="21"/>
                    </w:rPr>
                  </w:pPr>
                  <w:r>
                    <w:rPr>
                      <w:b/>
                      <w:bCs/>
                      <w:szCs w:val="21"/>
                    </w:rPr>
                    <w:t>kg/h</w:t>
                  </w:r>
                </w:p>
              </w:tc>
              <w:tc>
                <w:tcPr>
                  <w:tcW w:w="779" w:type="pct"/>
                  <w:shd w:val="clear" w:color="auto" w:fill="CCFFFF"/>
                  <w:noWrap w:val="0"/>
                  <w:vAlign w:val="center"/>
                </w:tcPr>
                <w:p>
                  <w:pPr>
                    <w:widowControl/>
                    <w:jc w:val="center"/>
                    <w:rPr>
                      <w:rFonts w:eastAsia="等线"/>
                      <w:b/>
                      <w:bCs/>
                      <w:szCs w:val="21"/>
                    </w:rPr>
                  </w:pPr>
                  <w:r>
                    <w:rPr>
                      <w:b/>
                      <w:bCs/>
                      <w:szCs w:val="21"/>
                    </w:rPr>
                    <w:t>产生量</w:t>
                  </w:r>
                </w:p>
                <w:p>
                  <w:pPr>
                    <w:widowControl/>
                    <w:jc w:val="center"/>
                    <w:rPr>
                      <w:rFonts w:eastAsia="等线"/>
                      <w:b/>
                      <w:bCs/>
                      <w:szCs w:val="21"/>
                    </w:rPr>
                  </w:pPr>
                  <w:r>
                    <w:rPr>
                      <w:b/>
                      <w:bCs/>
                      <w:szCs w:val="21"/>
                    </w:rPr>
                    <w:t>t/a</w:t>
                  </w:r>
                </w:p>
              </w:tc>
              <w:tc>
                <w:tcPr>
                  <w:tcW w:w="754" w:type="pct"/>
                  <w:shd w:val="clear" w:color="auto" w:fill="CCFFFF"/>
                  <w:noWrap w:val="0"/>
                  <w:vAlign w:val="center"/>
                </w:tcPr>
                <w:p>
                  <w:pPr>
                    <w:widowControl/>
                    <w:jc w:val="center"/>
                    <w:rPr>
                      <w:rFonts w:eastAsia="等线"/>
                      <w:b/>
                      <w:bCs/>
                      <w:szCs w:val="21"/>
                    </w:rPr>
                  </w:pPr>
                  <w:r>
                    <w:rPr>
                      <w:b/>
                      <w:bCs/>
                      <w:szCs w:val="21"/>
                    </w:rPr>
                    <w:t>产生速率</w:t>
                  </w:r>
                </w:p>
                <w:p>
                  <w:pPr>
                    <w:widowControl/>
                    <w:jc w:val="center"/>
                    <w:rPr>
                      <w:rFonts w:eastAsia="等线"/>
                      <w:b/>
                      <w:bCs/>
                      <w:szCs w:val="21"/>
                    </w:rPr>
                  </w:pPr>
                  <w:r>
                    <w:rPr>
                      <w:b/>
                      <w:bCs/>
                      <w:szCs w:val="21"/>
                    </w:rPr>
                    <w:t>kg/h</w:t>
                  </w:r>
                </w:p>
              </w:tc>
              <w:tc>
                <w:tcPr>
                  <w:tcW w:w="686" w:type="pct"/>
                  <w:shd w:val="clear" w:color="auto" w:fill="CCFFFF"/>
                  <w:noWrap w:val="0"/>
                  <w:vAlign w:val="center"/>
                </w:tcPr>
                <w:p>
                  <w:pPr>
                    <w:widowControl/>
                    <w:jc w:val="center"/>
                    <w:rPr>
                      <w:rFonts w:eastAsia="等线"/>
                      <w:b/>
                      <w:bCs/>
                      <w:szCs w:val="21"/>
                    </w:rPr>
                  </w:pPr>
                  <w:r>
                    <w:rPr>
                      <w:b/>
                      <w:bCs/>
                      <w:szCs w:val="21"/>
                    </w:rPr>
                    <w:t>产生量</w:t>
                  </w:r>
                </w:p>
                <w:p>
                  <w:pPr>
                    <w:widowControl/>
                    <w:jc w:val="center"/>
                    <w:rPr>
                      <w:rFonts w:eastAsia="等线"/>
                      <w:b/>
                      <w:bCs/>
                      <w:szCs w:val="21"/>
                    </w:rPr>
                  </w:pPr>
                  <w:r>
                    <w:rPr>
                      <w:b/>
                      <w:bCs/>
                      <w:szCs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2" w:type="pct"/>
                  <w:noWrap w:val="0"/>
                  <w:vAlign w:val="center"/>
                </w:tcPr>
                <w:p>
                  <w:pPr>
                    <w:widowControl/>
                    <w:jc w:val="center"/>
                    <w:rPr>
                      <w:rFonts w:eastAsia="等线"/>
                      <w:szCs w:val="21"/>
                    </w:rPr>
                  </w:pPr>
                  <w:r>
                    <w:rPr>
                      <w:szCs w:val="21"/>
                    </w:rPr>
                    <w:t>1</w:t>
                  </w:r>
                </w:p>
              </w:tc>
              <w:tc>
                <w:tcPr>
                  <w:tcW w:w="1420" w:type="pct"/>
                  <w:noWrap w:val="0"/>
                  <w:vAlign w:val="center"/>
                </w:tcPr>
                <w:p>
                  <w:pPr>
                    <w:widowControl/>
                    <w:jc w:val="center"/>
                    <w:rPr>
                      <w:szCs w:val="21"/>
                    </w:rPr>
                  </w:pPr>
                  <w:r>
                    <w:rPr>
                      <w:szCs w:val="21"/>
                    </w:rPr>
                    <w:t>提升池</w:t>
                  </w:r>
                </w:p>
              </w:tc>
              <w:tc>
                <w:tcPr>
                  <w:tcW w:w="434" w:type="pct"/>
                  <w:noWrap w:val="0"/>
                  <w:vAlign w:val="center"/>
                </w:tcPr>
                <w:p>
                  <w:pPr>
                    <w:widowControl/>
                    <w:jc w:val="center"/>
                    <w:rPr>
                      <w:rFonts w:eastAsia="等线"/>
                      <w:szCs w:val="21"/>
                    </w:rPr>
                  </w:pPr>
                  <w:r>
                    <w:rPr>
                      <w:rFonts w:eastAsia="等线"/>
                      <w:szCs w:val="21"/>
                    </w:rPr>
                    <w:t>10.5</w:t>
                  </w:r>
                </w:p>
              </w:tc>
              <w:tc>
                <w:tcPr>
                  <w:tcW w:w="585" w:type="pct"/>
                  <w:noWrap w:val="0"/>
                  <w:vAlign w:val="bottom"/>
                </w:tcPr>
                <w:p>
                  <w:pPr>
                    <w:widowControl/>
                    <w:jc w:val="center"/>
                    <w:rPr>
                      <w:rFonts w:eastAsia="等线"/>
                      <w:szCs w:val="21"/>
                    </w:rPr>
                  </w:pPr>
                  <w:r>
                    <w:t xml:space="preserve">0.0231 </w:t>
                  </w:r>
                </w:p>
              </w:tc>
              <w:tc>
                <w:tcPr>
                  <w:tcW w:w="779" w:type="pct"/>
                  <w:noWrap w:val="0"/>
                  <w:vAlign w:val="center"/>
                </w:tcPr>
                <w:p>
                  <w:pPr>
                    <w:widowControl/>
                    <w:jc w:val="center"/>
                    <w:textAlignment w:val="center"/>
                    <w:rPr>
                      <w:rFonts w:eastAsia="等线"/>
                      <w:szCs w:val="21"/>
                    </w:rPr>
                  </w:pPr>
                  <w:r>
                    <w:rPr>
                      <w:rFonts w:eastAsia="等线"/>
                      <w:szCs w:val="21"/>
                    </w:rPr>
                    <w:t>4.04</w:t>
                  </w:r>
                  <w:r>
                    <w:rPr>
                      <w:szCs w:val="21"/>
                    </w:rPr>
                    <w:t>×10</w:t>
                  </w:r>
                  <w:r>
                    <w:rPr>
                      <w:szCs w:val="21"/>
                      <w:vertAlign w:val="superscript"/>
                    </w:rPr>
                    <w:t>-5</w:t>
                  </w:r>
                </w:p>
              </w:tc>
              <w:tc>
                <w:tcPr>
                  <w:tcW w:w="754" w:type="pct"/>
                  <w:noWrap w:val="0"/>
                  <w:vAlign w:val="bottom"/>
                </w:tcPr>
                <w:p>
                  <w:pPr>
                    <w:widowControl/>
                    <w:jc w:val="center"/>
                    <w:rPr>
                      <w:rFonts w:eastAsia="等线"/>
                      <w:szCs w:val="21"/>
                    </w:rPr>
                  </w:pPr>
                  <w:r>
                    <w:t xml:space="preserve">0.2020 </w:t>
                  </w:r>
                </w:p>
              </w:tc>
              <w:tc>
                <w:tcPr>
                  <w:tcW w:w="686" w:type="pct"/>
                  <w:noWrap w:val="0"/>
                  <w:vAlign w:val="center"/>
                </w:tcPr>
                <w:p>
                  <w:pPr>
                    <w:widowControl/>
                    <w:jc w:val="center"/>
                    <w:textAlignment w:val="center"/>
                    <w:rPr>
                      <w:rFonts w:eastAsia="等线"/>
                      <w:szCs w:val="21"/>
                    </w:rPr>
                  </w:pPr>
                  <w:r>
                    <w:rPr>
                      <w:rFonts w:eastAsia="等线"/>
                      <w:szCs w:val="21"/>
                    </w:rPr>
                    <w:t>0.0004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2" w:type="pct"/>
                  <w:noWrap w:val="0"/>
                  <w:vAlign w:val="center"/>
                </w:tcPr>
                <w:p>
                  <w:pPr>
                    <w:widowControl/>
                    <w:jc w:val="center"/>
                    <w:rPr>
                      <w:szCs w:val="21"/>
                    </w:rPr>
                  </w:pPr>
                  <w:r>
                    <w:rPr>
                      <w:szCs w:val="21"/>
                    </w:rPr>
                    <w:t>2</w:t>
                  </w:r>
                </w:p>
              </w:tc>
              <w:tc>
                <w:tcPr>
                  <w:tcW w:w="1420" w:type="pct"/>
                  <w:noWrap w:val="0"/>
                  <w:vAlign w:val="center"/>
                </w:tcPr>
                <w:p>
                  <w:pPr>
                    <w:widowControl/>
                    <w:jc w:val="center"/>
                    <w:rPr>
                      <w:szCs w:val="21"/>
                    </w:rPr>
                  </w:pPr>
                  <w:r>
                    <w:rPr>
                      <w:szCs w:val="21"/>
                    </w:rPr>
                    <w:t>格栅渠</w:t>
                  </w:r>
                </w:p>
              </w:tc>
              <w:tc>
                <w:tcPr>
                  <w:tcW w:w="434" w:type="pct"/>
                  <w:noWrap w:val="0"/>
                  <w:vAlign w:val="center"/>
                </w:tcPr>
                <w:p>
                  <w:pPr>
                    <w:widowControl/>
                    <w:jc w:val="center"/>
                    <w:rPr>
                      <w:rFonts w:eastAsia="等线"/>
                      <w:szCs w:val="21"/>
                    </w:rPr>
                  </w:pPr>
                  <w:r>
                    <w:rPr>
                      <w:rFonts w:eastAsia="等线"/>
                      <w:szCs w:val="21"/>
                    </w:rPr>
                    <w:t>2.5</w:t>
                  </w:r>
                </w:p>
              </w:tc>
              <w:tc>
                <w:tcPr>
                  <w:tcW w:w="585" w:type="pct"/>
                  <w:noWrap w:val="0"/>
                  <w:vAlign w:val="bottom"/>
                </w:tcPr>
                <w:p>
                  <w:pPr>
                    <w:widowControl/>
                    <w:jc w:val="center"/>
                    <w:rPr>
                      <w:rFonts w:eastAsia="等线"/>
                      <w:sz w:val="22"/>
                      <w:szCs w:val="22"/>
                    </w:rPr>
                  </w:pPr>
                  <w:r>
                    <w:t xml:space="preserve">0.0055 </w:t>
                  </w:r>
                </w:p>
              </w:tc>
              <w:tc>
                <w:tcPr>
                  <w:tcW w:w="779" w:type="pct"/>
                  <w:noWrap w:val="0"/>
                  <w:vAlign w:val="center"/>
                </w:tcPr>
                <w:p>
                  <w:pPr>
                    <w:widowControl/>
                    <w:jc w:val="center"/>
                    <w:textAlignment w:val="center"/>
                    <w:rPr>
                      <w:rFonts w:eastAsia="等线"/>
                      <w:sz w:val="22"/>
                      <w:szCs w:val="22"/>
                    </w:rPr>
                  </w:pPr>
                  <w:r>
                    <w:rPr>
                      <w:rFonts w:eastAsia="等线"/>
                      <w:sz w:val="22"/>
                      <w:szCs w:val="22"/>
                    </w:rPr>
                    <w:t>9.61</w:t>
                  </w:r>
                  <w:r>
                    <w:rPr>
                      <w:szCs w:val="21"/>
                    </w:rPr>
                    <w:t>×10</w:t>
                  </w:r>
                  <w:r>
                    <w:rPr>
                      <w:szCs w:val="21"/>
                      <w:vertAlign w:val="superscript"/>
                    </w:rPr>
                    <w:t>-6</w:t>
                  </w:r>
                </w:p>
              </w:tc>
              <w:tc>
                <w:tcPr>
                  <w:tcW w:w="754" w:type="pct"/>
                  <w:noWrap w:val="0"/>
                  <w:vAlign w:val="bottom"/>
                </w:tcPr>
                <w:p>
                  <w:pPr>
                    <w:widowControl/>
                    <w:jc w:val="center"/>
                    <w:rPr>
                      <w:rFonts w:eastAsia="等线"/>
                      <w:szCs w:val="21"/>
                    </w:rPr>
                  </w:pPr>
                  <w:r>
                    <w:t xml:space="preserve">0.0481 </w:t>
                  </w:r>
                </w:p>
              </w:tc>
              <w:tc>
                <w:tcPr>
                  <w:tcW w:w="686" w:type="pct"/>
                  <w:noWrap w:val="0"/>
                  <w:vAlign w:val="center"/>
                </w:tcPr>
                <w:p>
                  <w:pPr>
                    <w:widowControl/>
                    <w:jc w:val="center"/>
                    <w:textAlignment w:val="center"/>
                    <w:rPr>
                      <w:rFonts w:eastAsia="等线"/>
                      <w:szCs w:val="21"/>
                    </w:rPr>
                  </w:pPr>
                  <w:r>
                    <w:rPr>
                      <w:rFonts w:eastAsia="等线"/>
                      <w:szCs w:val="21"/>
                    </w:rPr>
                    <w:t>8.42</w:t>
                  </w:r>
                  <w:r>
                    <w:rPr>
                      <w:szCs w:val="21"/>
                    </w:rPr>
                    <w:t>×10</w:t>
                  </w:r>
                  <w:r>
                    <w:rPr>
                      <w:szCs w:val="21"/>
                      <w:vertAlign w:val="superscript"/>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2" w:type="pct"/>
                  <w:noWrap w:val="0"/>
                  <w:vAlign w:val="center"/>
                </w:tcPr>
                <w:p>
                  <w:pPr>
                    <w:widowControl/>
                    <w:jc w:val="center"/>
                    <w:rPr>
                      <w:szCs w:val="21"/>
                    </w:rPr>
                  </w:pPr>
                  <w:r>
                    <w:rPr>
                      <w:szCs w:val="21"/>
                    </w:rPr>
                    <w:t>3</w:t>
                  </w:r>
                </w:p>
              </w:tc>
              <w:tc>
                <w:tcPr>
                  <w:tcW w:w="1420" w:type="pct"/>
                  <w:noWrap w:val="0"/>
                  <w:vAlign w:val="center"/>
                </w:tcPr>
                <w:p>
                  <w:pPr>
                    <w:widowControl/>
                    <w:jc w:val="center"/>
                    <w:rPr>
                      <w:szCs w:val="21"/>
                    </w:rPr>
                  </w:pPr>
                  <w:r>
                    <w:rPr>
                      <w:szCs w:val="21"/>
                    </w:rPr>
                    <w:t>隔渣池</w:t>
                  </w:r>
                </w:p>
              </w:tc>
              <w:tc>
                <w:tcPr>
                  <w:tcW w:w="434" w:type="pct"/>
                  <w:noWrap w:val="0"/>
                  <w:vAlign w:val="center"/>
                </w:tcPr>
                <w:p>
                  <w:pPr>
                    <w:widowControl/>
                    <w:jc w:val="center"/>
                    <w:rPr>
                      <w:rFonts w:eastAsia="等线"/>
                      <w:szCs w:val="21"/>
                    </w:rPr>
                  </w:pPr>
                  <w:r>
                    <w:rPr>
                      <w:rFonts w:eastAsia="等线"/>
                      <w:szCs w:val="21"/>
                    </w:rPr>
                    <w:t>9.0</w:t>
                  </w:r>
                </w:p>
              </w:tc>
              <w:tc>
                <w:tcPr>
                  <w:tcW w:w="585" w:type="pct"/>
                  <w:noWrap w:val="0"/>
                  <w:vAlign w:val="bottom"/>
                </w:tcPr>
                <w:p>
                  <w:pPr>
                    <w:widowControl/>
                    <w:jc w:val="center"/>
                    <w:rPr>
                      <w:rFonts w:eastAsia="等线"/>
                      <w:sz w:val="22"/>
                      <w:szCs w:val="22"/>
                    </w:rPr>
                  </w:pPr>
                  <w:r>
                    <w:t xml:space="preserve">0.0198 </w:t>
                  </w:r>
                </w:p>
              </w:tc>
              <w:tc>
                <w:tcPr>
                  <w:tcW w:w="779" w:type="pct"/>
                  <w:noWrap w:val="0"/>
                  <w:vAlign w:val="center"/>
                </w:tcPr>
                <w:p>
                  <w:pPr>
                    <w:widowControl/>
                    <w:jc w:val="center"/>
                    <w:textAlignment w:val="center"/>
                    <w:rPr>
                      <w:rFonts w:eastAsia="等线"/>
                      <w:sz w:val="22"/>
                      <w:szCs w:val="22"/>
                    </w:rPr>
                  </w:pPr>
                  <w:r>
                    <w:rPr>
                      <w:rFonts w:eastAsia="等线"/>
                      <w:sz w:val="22"/>
                      <w:szCs w:val="22"/>
                    </w:rPr>
                    <w:t>3.46</w:t>
                  </w:r>
                  <w:r>
                    <w:rPr>
                      <w:szCs w:val="21"/>
                    </w:rPr>
                    <w:t>×10</w:t>
                  </w:r>
                  <w:r>
                    <w:rPr>
                      <w:szCs w:val="21"/>
                      <w:vertAlign w:val="superscript"/>
                    </w:rPr>
                    <w:t>-5</w:t>
                  </w:r>
                </w:p>
              </w:tc>
              <w:tc>
                <w:tcPr>
                  <w:tcW w:w="754" w:type="pct"/>
                  <w:noWrap w:val="0"/>
                  <w:vAlign w:val="bottom"/>
                </w:tcPr>
                <w:p>
                  <w:pPr>
                    <w:widowControl/>
                    <w:jc w:val="center"/>
                    <w:rPr>
                      <w:rFonts w:eastAsia="等线"/>
                      <w:szCs w:val="21"/>
                    </w:rPr>
                  </w:pPr>
                  <w:r>
                    <w:t xml:space="preserve">0.1731 </w:t>
                  </w:r>
                </w:p>
              </w:tc>
              <w:tc>
                <w:tcPr>
                  <w:tcW w:w="686" w:type="pct"/>
                  <w:noWrap w:val="0"/>
                  <w:vAlign w:val="center"/>
                </w:tcPr>
                <w:p>
                  <w:pPr>
                    <w:widowControl/>
                    <w:jc w:val="center"/>
                    <w:textAlignment w:val="center"/>
                    <w:rPr>
                      <w:rFonts w:eastAsia="等线"/>
                      <w:szCs w:val="21"/>
                    </w:rPr>
                  </w:pPr>
                  <w:r>
                    <w:rPr>
                      <w:rFonts w:eastAsia="等线"/>
                      <w:szCs w:val="21"/>
                    </w:rPr>
                    <w:t>0.0003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2" w:type="pct"/>
                  <w:noWrap w:val="0"/>
                  <w:vAlign w:val="center"/>
                </w:tcPr>
                <w:p>
                  <w:pPr>
                    <w:widowControl/>
                    <w:jc w:val="center"/>
                    <w:rPr>
                      <w:szCs w:val="21"/>
                    </w:rPr>
                  </w:pPr>
                  <w:r>
                    <w:rPr>
                      <w:szCs w:val="21"/>
                    </w:rPr>
                    <w:t>4</w:t>
                  </w:r>
                </w:p>
              </w:tc>
              <w:tc>
                <w:tcPr>
                  <w:tcW w:w="1420" w:type="pct"/>
                  <w:noWrap w:val="0"/>
                  <w:vAlign w:val="center"/>
                </w:tcPr>
                <w:p>
                  <w:pPr>
                    <w:widowControl/>
                    <w:jc w:val="center"/>
                    <w:rPr>
                      <w:szCs w:val="21"/>
                    </w:rPr>
                  </w:pPr>
                  <w:r>
                    <w:rPr>
                      <w:szCs w:val="21"/>
                    </w:rPr>
                    <w:t>新增调节池</w:t>
                  </w:r>
                </w:p>
              </w:tc>
              <w:tc>
                <w:tcPr>
                  <w:tcW w:w="434" w:type="pct"/>
                  <w:noWrap w:val="0"/>
                  <w:vAlign w:val="center"/>
                </w:tcPr>
                <w:p>
                  <w:pPr>
                    <w:widowControl/>
                    <w:jc w:val="center"/>
                    <w:rPr>
                      <w:rFonts w:eastAsia="等线"/>
                      <w:szCs w:val="21"/>
                    </w:rPr>
                  </w:pPr>
                  <w:r>
                    <w:rPr>
                      <w:rFonts w:eastAsia="等线"/>
                      <w:szCs w:val="21"/>
                    </w:rPr>
                    <w:t>59.81</w:t>
                  </w:r>
                </w:p>
              </w:tc>
              <w:tc>
                <w:tcPr>
                  <w:tcW w:w="585" w:type="pct"/>
                  <w:noWrap w:val="0"/>
                  <w:vAlign w:val="bottom"/>
                </w:tcPr>
                <w:p>
                  <w:pPr>
                    <w:widowControl/>
                    <w:jc w:val="center"/>
                    <w:rPr>
                      <w:rFonts w:eastAsia="等线"/>
                      <w:sz w:val="22"/>
                      <w:szCs w:val="22"/>
                    </w:rPr>
                  </w:pPr>
                  <w:r>
                    <w:t xml:space="preserve">0.0198 </w:t>
                  </w:r>
                </w:p>
              </w:tc>
              <w:tc>
                <w:tcPr>
                  <w:tcW w:w="779" w:type="pct"/>
                  <w:noWrap w:val="0"/>
                  <w:vAlign w:val="center"/>
                </w:tcPr>
                <w:p>
                  <w:pPr>
                    <w:widowControl/>
                    <w:jc w:val="center"/>
                    <w:textAlignment w:val="center"/>
                    <w:rPr>
                      <w:rFonts w:eastAsia="等线"/>
                      <w:sz w:val="22"/>
                      <w:szCs w:val="22"/>
                    </w:rPr>
                  </w:pPr>
                  <w:r>
                    <w:rPr>
                      <w:rFonts w:eastAsia="等线"/>
                      <w:sz w:val="22"/>
                      <w:szCs w:val="22"/>
                    </w:rPr>
                    <w:t>0.0002</w:t>
                  </w:r>
                </w:p>
              </w:tc>
              <w:tc>
                <w:tcPr>
                  <w:tcW w:w="754" w:type="pct"/>
                  <w:noWrap w:val="0"/>
                  <w:vAlign w:val="bottom"/>
                </w:tcPr>
                <w:p>
                  <w:pPr>
                    <w:widowControl/>
                    <w:jc w:val="center"/>
                    <w:rPr>
                      <w:rFonts w:eastAsia="等线"/>
                      <w:szCs w:val="21"/>
                    </w:rPr>
                  </w:pPr>
                  <w:r>
                    <w:t xml:space="preserve">0.1735 </w:t>
                  </w:r>
                </w:p>
              </w:tc>
              <w:tc>
                <w:tcPr>
                  <w:tcW w:w="686" w:type="pct"/>
                  <w:noWrap w:val="0"/>
                  <w:vAlign w:val="center"/>
                </w:tcPr>
                <w:p>
                  <w:pPr>
                    <w:widowControl/>
                    <w:jc w:val="center"/>
                    <w:textAlignment w:val="center"/>
                    <w:rPr>
                      <w:rFonts w:eastAsia="等线"/>
                      <w:szCs w:val="21"/>
                    </w:rPr>
                  </w:pPr>
                  <w:r>
                    <w:rPr>
                      <w:rFonts w:eastAsia="等线"/>
                      <w:szCs w:val="21"/>
                    </w:rPr>
                    <w:t>0.0018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2" w:type="pct"/>
                  <w:noWrap w:val="0"/>
                  <w:vAlign w:val="center"/>
                </w:tcPr>
                <w:p>
                  <w:pPr>
                    <w:widowControl/>
                    <w:jc w:val="center"/>
                    <w:rPr>
                      <w:szCs w:val="21"/>
                    </w:rPr>
                  </w:pPr>
                  <w:r>
                    <w:rPr>
                      <w:szCs w:val="21"/>
                    </w:rPr>
                    <w:t>5</w:t>
                  </w:r>
                </w:p>
              </w:tc>
              <w:tc>
                <w:tcPr>
                  <w:tcW w:w="1420" w:type="pct"/>
                  <w:noWrap w:val="0"/>
                  <w:vAlign w:val="center"/>
                </w:tcPr>
                <w:p>
                  <w:pPr>
                    <w:widowControl/>
                    <w:jc w:val="center"/>
                    <w:rPr>
                      <w:szCs w:val="21"/>
                    </w:rPr>
                  </w:pPr>
                  <w:r>
                    <w:rPr>
                      <w:szCs w:val="21"/>
                    </w:rPr>
                    <w:t>初沉池</w:t>
                  </w:r>
                </w:p>
              </w:tc>
              <w:tc>
                <w:tcPr>
                  <w:tcW w:w="434" w:type="pct"/>
                  <w:noWrap w:val="0"/>
                  <w:vAlign w:val="center"/>
                </w:tcPr>
                <w:p>
                  <w:pPr>
                    <w:widowControl/>
                    <w:jc w:val="center"/>
                    <w:rPr>
                      <w:rFonts w:eastAsia="等线"/>
                      <w:szCs w:val="21"/>
                    </w:rPr>
                  </w:pPr>
                  <w:r>
                    <w:rPr>
                      <w:rFonts w:eastAsia="等线"/>
                      <w:szCs w:val="21"/>
                    </w:rPr>
                    <w:t>10.76</w:t>
                  </w:r>
                </w:p>
              </w:tc>
              <w:tc>
                <w:tcPr>
                  <w:tcW w:w="585" w:type="pct"/>
                  <w:noWrap w:val="0"/>
                  <w:vAlign w:val="bottom"/>
                </w:tcPr>
                <w:p>
                  <w:pPr>
                    <w:widowControl/>
                    <w:jc w:val="center"/>
                    <w:rPr>
                      <w:rFonts w:eastAsia="等线"/>
                      <w:sz w:val="22"/>
                      <w:szCs w:val="22"/>
                    </w:rPr>
                  </w:pPr>
                  <w:r>
                    <w:t xml:space="preserve">0.0201 </w:t>
                  </w:r>
                </w:p>
              </w:tc>
              <w:tc>
                <w:tcPr>
                  <w:tcW w:w="779" w:type="pct"/>
                  <w:noWrap w:val="0"/>
                  <w:vAlign w:val="center"/>
                </w:tcPr>
                <w:p>
                  <w:pPr>
                    <w:widowControl/>
                    <w:jc w:val="center"/>
                    <w:textAlignment w:val="center"/>
                    <w:rPr>
                      <w:rFonts w:eastAsia="等线"/>
                      <w:sz w:val="22"/>
                      <w:szCs w:val="22"/>
                    </w:rPr>
                  </w:pPr>
                  <w:r>
                    <w:rPr>
                      <w:rFonts w:eastAsia="等线"/>
                      <w:sz w:val="22"/>
                      <w:szCs w:val="22"/>
                    </w:rPr>
                    <w:t>4.23</w:t>
                  </w:r>
                  <w:r>
                    <w:rPr>
                      <w:szCs w:val="21"/>
                    </w:rPr>
                    <w:t>×10</w:t>
                  </w:r>
                  <w:r>
                    <w:rPr>
                      <w:szCs w:val="21"/>
                      <w:vertAlign w:val="superscript"/>
                    </w:rPr>
                    <w:t>-5</w:t>
                  </w:r>
                </w:p>
              </w:tc>
              <w:tc>
                <w:tcPr>
                  <w:tcW w:w="754" w:type="pct"/>
                  <w:noWrap w:val="0"/>
                  <w:vAlign w:val="bottom"/>
                </w:tcPr>
                <w:p>
                  <w:pPr>
                    <w:widowControl/>
                    <w:jc w:val="center"/>
                    <w:rPr>
                      <w:rFonts w:eastAsia="等线"/>
                      <w:szCs w:val="21"/>
                    </w:rPr>
                  </w:pPr>
                  <w:r>
                    <w:t xml:space="preserve">0.1765 </w:t>
                  </w:r>
                </w:p>
              </w:tc>
              <w:tc>
                <w:tcPr>
                  <w:tcW w:w="686" w:type="pct"/>
                  <w:noWrap w:val="0"/>
                  <w:vAlign w:val="center"/>
                </w:tcPr>
                <w:p>
                  <w:pPr>
                    <w:widowControl/>
                    <w:jc w:val="center"/>
                    <w:textAlignment w:val="center"/>
                    <w:rPr>
                      <w:rFonts w:eastAsia="等线"/>
                      <w:szCs w:val="21"/>
                    </w:rPr>
                  </w:pPr>
                  <w:r>
                    <w:rPr>
                      <w:rFonts w:eastAsia="等线"/>
                      <w:szCs w:val="21"/>
                    </w:rPr>
                    <w:t>0.0004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2" w:type="pct"/>
                  <w:noWrap w:val="0"/>
                  <w:vAlign w:val="center"/>
                </w:tcPr>
                <w:p>
                  <w:pPr>
                    <w:widowControl/>
                    <w:jc w:val="center"/>
                    <w:rPr>
                      <w:szCs w:val="21"/>
                    </w:rPr>
                  </w:pPr>
                  <w:r>
                    <w:rPr>
                      <w:szCs w:val="21"/>
                    </w:rPr>
                    <w:t>6</w:t>
                  </w:r>
                </w:p>
              </w:tc>
              <w:tc>
                <w:tcPr>
                  <w:tcW w:w="1420" w:type="pct"/>
                  <w:noWrap w:val="0"/>
                  <w:vAlign w:val="center"/>
                </w:tcPr>
                <w:p>
                  <w:pPr>
                    <w:widowControl/>
                    <w:jc w:val="center"/>
                    <w:rPr>
                      <w:szCs w:val="21"/>
                    </w:rPr>
                  </w:pPr>
                  <w:r>
                    <w:rPr>
                      <w:szCs w:val="21"/>
                    </w:rPr>
                    <w:t>厌氧池</w:t>
                  </w:r>
                </w:p>
              </w:tc>
              <w:tc>
                <w:tcPr>
                  <w:tcW w:w="434" w:type="pct"/>
                  <w:noWrap w:val="0"/>
                  <w:vAlign w:val="center"/>
                </w:tcPr>
                <w:p>
                  <w:pPr>
                    <w:widowControl/>
                    <w:jc w:val="center"/>
                    <w:rPr>
                      <w:rFonts w:eastAsia="等线"/>
                      <w:szCs w:val="21"/>
                    </w:rPr>
                  </w:pPr>
                  <w:r>
                    <w:rPr>
                      <w:rFonts w:eastAsia="等线"/>
                      <w:szCs w:val="21"/>
                    </w:rPr>
                    <w:t>241.66</w:t>
                  </w:r>
                </w:p>
              </w:tc>
              <w:tc>
                <w:tcPr>
                  <w:tcW w:w="585" w:type="pct"/>
                  <w:noWrap w:val="0"/>
                  <w:vAlign w:val="bottom"/>
                </w:tcPr>
                <w:p>
                  <w:pPr>
                    <w:widowControl/>
                    <w:jc w:val="center"/>
                    <w:rPr>
                      <w:rFonts w:eastAsia="等线"/>
                      <w:sz w:val="22"/>
                      <w:szCs w:val="22"/>
                    </w:rPr>
                  </w:pPr>
                  <w:r>
                    <w:t xml:space="preserve">0.0043 </w:t>
                  </w:r>
                </w:p>
              </w:tc>
              <w:tc>
                <w:tcPr>
                  <w:tcW w:w="779" w:type="pct"/>
                  <w:noWrap w:val="0"/>
                  <w:vAlign w:val="center"/>
                </w:tcPr>
                <w:p>
                  <w:pPr>
                    <w:widowControl/>
                    <w:jc w:val="center"/>
                    <w:textAlignment w:val="center"/>
                    <w:rPr>
                      <w:rFonts w:eastAsia="等线"/>
                      <w:sz w:val="22"/>
                      <w:szCs w:val="22"/>
                    </w:rPr>
                  </w:pPr>
                  <w:r>
                    <w:rPr>
                      <w:rFonts w:eastAsia="等线"/>
                      <w:sz w:val="22"/>
                      <w:szCs w:val="22"/>
                    </w:rPr>
                    <w:t>0.0002</w:t>
                  </w:r>
                </w:p>
              </w:tc>
              <w:tc>
                <w:tcPr>
                  <w:tcW w:w="754" w:type="pct"/>
                  <w:noWrap w:val="0"/>
                  <w:vAlign w:val="bottom"/>
                </w:tcPr>
                <w:p>
                  <w:pPr>
                    <w:widowControl/>
                    <w:jc w:val="center"/>
                    <w:rPr>
                      <w:rFonts w:eastAsia="等线"/>
                      <w:szCs w:val="21"/>
                    </w:rPr>
                  </w:pPr>
                  <w:r>
                    <w:t xml:space="preserve">0.0373 </w:t>
                  </w:r>
                </w:p>
              </w:tc>
              <w:tc>
                <w:tcPr>
                  <w:tcW w:w="686" w:type="pct"/>
                  <w:noWrap w:val="0"/>
                  <w:vAlign w:val="center"/>
                </w:tcPr>
                <w:p>
                  <w:pPr>
                    <w:widowControl/>
                    <w:jc w:val="center"/>
                    <w:textAlignment w:val="center"/>
                    <w:rPr>
                      <w:rFonts w:eastAsia="等线"/>
                      <w:szCs w:val="21"/>
                    </w:rPr>
                  </w:pPr>
                  <w:r>
                    <w:rPr>
                      <w:rFonts w:eastAsia="等线"/>
                      <w:szCs w:val="21"/>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2" w:type="pct"/>
                  <w:noWrap w:val="0"/>
                  <w:vAlign w:val="center"/>
                </w:tcPr>
                <w:p>
                  <w:pPr>
                    <w:widowControl/>
                    <w:jc w:val="center"/>
                    <w:rPr>
                      <w:szCs w:val="21"/>
                    </w:rPr>
                  </w:pPr>
                  <w:r>
                    <w:rPr>
                      <w:szCs w:val="21"/>
                    </w:rPr>
                    <w:t>7</w:t>
                  </w:r>
                </w:p>
              </w:tc>
              <w:tc>
                <w:tcPr>
                  <w:tcW w:w="1420" w:type="pct"/>
                  <w:noWrap w:val="0"/>
                  <w:vAlign w:val="center"/>
                </w:tcPr>
                <w:p>
                  <w:pPr>
                    <w:widowControl/>
                    <w:jc w:val="center"/>
                    <w:rPr>
                      <w:szCs w:val="21"/>
                    </w:rPr>
                  </w:pPr>
                  <w:r>
                    <w:rPr>
                      <w:szCs w:val="21"/>
                    </w:rPr>
                    <w:t>综合生化池</w:t>
                  </w:r>
                </w:p>
              </w:tc>
              <w:tc>
                <w:tcPr>
                  <w:tcW w:w="434" w:type="pct"/>
                  <w:noWrap w:val="0"/>
                  <w:vAlign w:val="center"/>
                </w:tcPr>
                <w:p>
                  <w:pPr>
                    <w:widowControl/>
                    <w:jc w:val="center"/>
                    <w:rPr>
                      <w:rFonts w:eastAsia="等线"/>
                      <w:szCs w:val="21"/>
                    </w:rPr>
                  </w:pPr>
                  <w:r>
                    <w:rPr>
                      <w:rFonts w:eastAsia="等线"/>
                      <w:szCs w:val="21"/>
                    </w:rPr>
                    <w:t>600</w:t>
                  </w:r>
                </w:p>
              </w:tc>
              <w:tc>
                <w:tcPr>
                  <w:tcW w:w="585" w:type="pct"/>
                  <w:noWrap w:val="0"/>
                  <w:vAlign w:val="bottom"/>
                </w:tcPr>
                <w:p>
                  <w:pPr>
                    <w:widowControl/>
                    <w:jc w:val="center"/>
                    <w:rPr>
                      <w:rFonts w:eastAsia="等线"/>
                      <w:sz w:val="22"/>
                      <w:szCs w:val="22"/>
                    </w:rPr>
                  </w:pPr>
                  <w:r>
                    <w:t xml:space="preserve">0.0106 </w:t>
                  </w:r>
                </w:p>
              </w:tc>
              <w:tc>
                <w:tcPr>
                  <w:tcW w:w="779" w:type="pct"/>
                  <w:noWrap w:val="0"/>
                  <w:vAlign w:val="center"/>
                </w:tcPr>
                <w:p>
                  <w:pPr>
                    <w:widowControl/>
                    <w:jc w:val="center"/>
                    <w:textAlignment w:val="center"/>
                    <w:rPr>
                      <w:rFonts w:eastAsia="等线"/>
                      <w:sz w:val="22"/>
                      <w:szCs w:val="22"/>
                    </w:rPr>
                  </w:pPr>
                  <w:r>
                    <w:rPr>
                      <w:rFonts w:eastAsia="等线"/>
                      <w:sz w:val="22"/>
                      <w:szCs w:val="22"/>
                    </w:rPr>
                    <w:t>0.0006</w:t>
                  </w:r>
                </w:p>
              </w:tc>
              <w:tc>
                <w:tcPr>
                  <w:tcW w:w="754" w:type="pct"/>
                  <w:noWrap w:val="0"/>
                  <w:vAlign w:val="bottom"/>
                </w:tcPr>
                <w:p>
                  <w:pPr>
                    <w:widowControl/>
                    <w:jc w:val="center"/>
                    <w:rPr>
                      <w:rFonts w:eastAsia="等线"/>
                      <w:szCs w:val="21"/>
                    </w:rPr>
                  </w:pPr>
                  <w:r>
                    <w:t xml:space="preserve">0.0927 </w:t>
                  </w:r>
                </w:p>
              </w:tc>
              <w:tc>
                <w:tcPr>
                  <w:tcW w:w="686" w:type="pct"/>
                  <w:noWrap w:val="0"/>
                  <w:vAlign w:val="center"/>
                </w:tcPr>
                <w:p>
                  <w:pPr>
                    <w:widowControl/>
                    <w:jc w:val="center"/>
                    <w:textAlignment w:val="center"/>
                    <w:rPr>
                      <w:rFonts w:eastAsia="等线"/>
                      <w:szCs w:val="21"/>
                    </w:rPr>
                  </w:pPr>
                  <w:r>
                    <w:rPr>
                      <w:rFonts w:eastAsia="等线"/>
                      <w:szCs w:val="21"/>
                    </w:rPr>
                    <w:t>0.0049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2" w:type="pct"/>
                  <w:noWrap w:val="0"/>
                  <w:vAlign w:val="center"/>
                </w:tcPr>
                <w:p>
                  <w:pPr>
                    <w:widowControl/>
                    <w:jc w:val="center"/>
                    <w:rPr>
                      <w:szCs w:val="21"/>
                    </w:rPr>
                  </w:pPr>
                  <w:r>
                    <w:rPr>
                      <w:szCs w:val="21"/>
                    </w:rPr>
                    <w:t>8</w:t>
                  </w:r>
                </w:p>
              </w:tc>
              <w:tc>
                <w:tcPr>
                  <w:tcW w:w="1420" w:type="pct"/>
                  <w:noWrap w:val="0"/>
                  <w:vAlign w:val="center"/>
                </w:tcPr>
                <w:p>
                  <w:pPr>
                    <w:widowControl/>
                    <w:jc w:val="center"/>
                    <w:rPr>
                      <w:szCs w:val="21"/>
                    </w:rPr>
                  </w:pPr>
                  <w:r>
                    <w:rPr>
                      <w:szCs w:val="21"/>
                    </w:rPr>
                    <w:t>新增一体化设备（AAO）</w:t>
                  </w:r>
                </w:p>
              </w:tc>
              <w:tc>
                <w:tcPr>
                  <w:tcW w:w="434" w:type="pct"/>
                  <w:noWrap w:val="0"/>
                  <w:vAlign w:val="center"/>
                </w:tcPr>
                <w:p>
                  <w:pPr>
                    <w:widowControl/>
                    <w:jc w:val="center"/>
                    <w:rPr>
                      <w:rFonts w:eastAsia="等线"/>
                      <w:szCs w:val="21"/>
                    </w:rPr>
                  </w:pPr>
                  <w:r>
                    <w:rPr>
                      <w:rFonts w:eastAsia="等线"/>
                      <w:szCs w:val="21"/>
                    </w:rPr>
                    <w:t>176.4</w:t>
                  </w:r>
                </w:p>
              </w:tc>
              <w:tc>
                <w:tcPr>
                  <w:tcW w:w="585" w:type="pct"/>
                  <w:noWrap w:val="0"/>
                  <w:vAlign w:val="bottom"/>
                </w:tcPr>
                <w:p>
                  <w:pPr>
                    <w:widowControl/>
                    <w:jc w:val="center"/>
                    <w:rPr>
                      <w:rFonts w:eastAsia="等线"/>
                      <w:sz w:val="22"/>
                      <w:szCs w:val="22"/>
                    </w:rPr>
                  </w:pPr>
                  <w:r>
                    <w:t xml:space="preserve">0.0031 </w:t>
                  </w:r>
                </w:p>
              </w:tc>
              <w:tc>
                <w:tcPr>
                  <w:tcW w:w="779" w:type="pct"/>
                  <w:noWrap w:val="0"/>
                  <w:vAlign w:val="center"/>
                </w:tcPr>
                <w:p>
                  <w:pPr>
                    <w:widowControl/>
                    <w:jc w:val="center"/>
                    <w:textAlignment w:val="center"/>
                    <w:rPr>
                      <w:rFonts w:eastAsia="等线"/>
                      <w:sz w:val="22"/>
                      <w:szCs w:val="22"/>
                    </w:rPr>
                  </w:pPr>
                  <w:r>
                    <w:rPr>
                      <w:rFonts w:eastAsia="等线"/>
                      <w:sz w:val="22"/>
                      <w:szCs w:val="22"/>
                    </w:rPr>
                    <w:t>0.0002</w:t>
                  </w:r>
                </w:p>
              </w:tc>
              <w:tc>
                <w:tcPr>
                  <w:tcW w:w="754" w:type="pct"/>
                  <w:noWrap w:val="0"/>
                  <w:vAlign w:val="bottom"/>
                </w:tcPr>
                <w:p>
                  <w:pPr>
                    <w:widowControl/>
                    <w:jc w:val="center"/>
                    <w:rPr>
                      <w:rFonts w:eastAsia="等线"/>
                      <w:szCs w:val="21"/>
                    </w:rPr>
                  </w:pPr>
                  <w:r>
                    <w:t xml:space="preserve">0.0273 </w:t>
                  </w:r>
                </w:p>
              </w:tc>
              <w:tc>
                <w:tcPr>
                  <w:tcW w:w="686" w:type="pct"/>
                  <w:noWrap w:val="0"/>
                  <w:vAlign w:val="center"/>
                </w:tcPr>
                <w:p>
                  <w:pPr>
                    <w:widowControl/>
                    <w:jc w:val="center"/>
                    <w:textAlignment w:val="center"/>
                    <w:rPr>
                      <w:rFonts w:eastAsia="等线"/>
                      <w:szCs w:val="21"/>
                    </w:rPr>
                  </w:pPr>
                  <w:r>
                    <w:rPr>
                      <w:rFonts w:eastAsia="等线"/>
                      <w:szCs w:val="21"/>
                    </w:rPr>
                    <w:t>0.0014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2" w:type="pct"/>
                  <w:noWrap w:val="0"/>
                  <w:vAlign w:val="center"/>
                </w:tcPr>
                <w:p>
                  <w:pPr>
                    <w:widowControl/>
                    <w:jc w:val="center"/>
                    <w:rPr>
                      <w:szCs w:val="21"/>
                    </w:rPr>
                  </w:pPr>
                  <w:r>
                    <w:rPr>
                      <w:szCs w:val="21"/>
                    </w:rPr>
                    <w:t>9</w:t>
                  </w:r>
                </w:p>
              </w:tc>
              <w:tc>
                <w:tcPr>
                  <w:tcW w:w="1420" w:type="pct"/>
                  <w:noWrap w:val="0"/>
                  <w:vAlign w:val="center"/>
                </w:tcPr>
                <w:p>
                  <w:pPr>
                    <w:widowControl/>
                    <w:jc w:val="center"/>
                    <w:rPr>
                      <w:szCs w:val="21"/>
                    </w:rPr>
                  </w:pPr>
                  <w:r>
                    <w:rPr>
                      <w:szCs w:val="21"/>
                    </w:rPr>
                    <w:t>脱水机房</w:t>
                  </w:r>
                </w:p>
              </w:tc>
              <w:tc>
                <w:tcPr>
                  <w:tcW w:w="434" w:type="pct"/>
                  <w:noWrap w:val="0"/>
                  <w:vAlign w:val="center"/>
                </w:tcPr>
                <w:p>
                  <w:pPr>
                    <w:widowControl/>
                    <w:jc w:val="center"/>
                    <w:rPr>
                      <w:rFonts w:eastAsia="等线"/>
                      <w:szCs w:val="21"/>
                    </w:rPr>
                  </w:pPr>
                  <w:r>
                    <w:rPr>
                      <w:rFonts w:eastAsia="等线"/>
                      <w:szCs w:val="21"/>
                    </w:rPr>
                    <w:t>31.8</w:t>
                  </w:r>
                </w:p>
              </w:tc>
              <w:tc>
                <w:tcPr>
                  <w:tcW w:w="585" w:type="pct"/>
                  <w:noWrap w:val="0"/>
                  <w:vAlign w:val="bottom"/>
                </w:tcPr>
                <w:p>
                  <w:pPr>
                    <w:widowControl/>
                    <w:jc w:val="center"/>
                    <w:rPr>
                      <w:rFonts w:eastAsia="等线"/>
                      <w:sz w:val="22"/>
                      <w:szCs w:val="22"/>
                    </w:rPr>
                  </w:pPr>
                  <w:r>
                    <w:t xml:space="preserve">0.0118 </w:t>
                  </w:r>
                </w:p>
              </w:tc>
              <w:tc>
                <w:tcPr>
                  <w:tcW w:w="779" w:type="pct"/>
                  <w:noWrap w:val="0"/>
                  <w:vAlign w:val="center"/>
                </w:tcPr>
                <w:p>
                  <w:pPr>
                    <w:widowControl/>
                    <w:jc w:val="center"/>
                    <w:textAlignment w:val="center"/>
                    <w:rPr>
                      <w:rFonts w:eastAsia="等线"/>
                      <w:sz w:val="22"/>
                      <w:szCs w:val="22"/>
                    </w:rPr>
                  </w:pPr>
                  <w:r>
                    <w:rPr>
                      <w:rFonts w:eastAsia="等线"/>
                      <w:sz w:val="22"/>
                      <w:szCs w:val="22"/>
                    </w:rPr>
                    <w:t>3.43</w:t>
                  </w:r>
                  <w:r>
                    <w:rPr>
                      <w:szCs w:val="21"/>
                    </w:rPr>
                    <w:t>×10</w:t>
                  </w:r>
                  <w:r>
                    <w:rPr>
                      <w:szCs w:val="21"/>
                      <w:vertAlign w:val="superscript"/>
                    </w:rPr>
                    <w:t>-6</w:t>
                  </w:r>
                </w:p>
              </w:tc>
              <w:tc>
                <w:tcPr>
                  <w:tcW w:w="754" w:type="pct"/>
                  <w:noWrap w:val="0"/>
                  <w:vAlign w:val="bottom"/>
                </w:tcPr>
                <w:p>
                  <w:pPr>
                    <w:widowControl/>
                    <w:jc w:val="center"/>
                    <w:rPr>
                      <w:rFonts w:eastAsia="等线"/>
                      <w:szCs w:val="21"/>
                    </w:rPr>
                  </w:pPr>
                  <w:r>
                    <w:t xml:space="preserve">0.1033 </w:t>
                  </w:r>
                </w:p>
              </w:tc>
              <w:tc>
                <w:tcPr>
                  <w:tcW w:w="686" w:type="pct"/>
                  <w:noWrap w:val="0"/>
                  <w:vAlign w:val="center"/>
                </w:tcPr>
                <w:p>
                  <w:pPr>
                    <w:widowControl/>
                    <w:jc w:val="center"/>
                    <w:textAlignment w:val="center"/>
                    <w:rPr>
                      <w:rFonts w:eastAsia="等线"/>
                      <w:szCs w:val="21"/>
                    </w:rPr>
                  </w:pPr>
                  <w:r>
                    <w:rPr>
                      <w:rFonts w:eastAsia="等线"/>
                      <w:szCs w:val="21"/>
                    </w:rPr>
                    <w:t>3.01</w:t>
                  </w:r>
                  <w:r>
                    <w:rPr>
                      <w:szCs w:val="21"/>
                    </w:rPr>
                    <w:t>×10</w:t>
                  </w:r>
                  <w:r>
                    <w:rPr>
                      <w:szCs w:val="21"/>
                      <w:vertAlign w:val="superscript"/>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2" w:type="pct"/>
                  <w:noWrap w:val="0"/>
                  <w:vAlign w:val="center"/>
                </w:tcPr>
                <w:p>
                  <w:pPr>
                    <w:widowControl/>
                    <w:jc w:val="center"/>
                    <w:rPr>
                      <w:szCs w:val="21"/>
                    </w:rPr>
                  </w:pPr>
                  <w:r>
                    <w:rPr>
                      <w:szCs w:val="21"/>
                    </w:rPr>
                    <w:t>10</w:t>
                  </w:r>
                </w:p>
              </w:tc>
              <w:tc>
                <w:tcPr>
                  <w:tcW w:w="1420" w:type="pct"/>
                  <w:noWrap w:val="0"/>
                  <w:vAlign w:val="center"/>
                </w:tcPr>
                <w:p>
                  <w:pPr>
                    <w:widowControl/>
                    <w:jc w:val="center"/>
                    <w:rPr>
                      <w:szCs w:val="21"/>
                    </w:rPr>
                  </w:pPr>
                  <w:r>
                    <w:rPr>
                      <w:szCs w:val="21"/>
                    </w:rPr>
                    <w:t>新增污泥池</w:t>
                  </w:r>
                </w:p>
              </w:tc>
              <w:tc>
                <w:tcPr>
                  <w:tcW w:w="434" w:type="pct"/>
                  <w:noWrap w:val="0"/>
                  <w:vAlign w:val="center"/>
                </w:tcPr>
                <w:p>
                  <w:pPr>
                    <w:widowControl/>
                    <w:jc w:val="center"/>
                    <w:rPr>
                      <w:rFonts w:eastAsia="等线"/>
                      <w:szCs w:val="21"/>
                    </w:rPr>
                  </w:pPr>
                  <w:r>
                    <w:rPr>
                      <w:rFonts w:eastAsia="等线"/>
                      <w:szCs w:val="21"/>
                    </w:rPr>
                    <w:t>6.25</w:t>
                  </w:r>
                </w:p>
              </w:tc>
              <w:tc>
                <w:tcPr>
                  <w:tcW w:w="585" w:type="pct"/>
                  <w:noWrap w:val="0"/>
                  <w:vAlign w:val="bottom"/>
                </w:tcPr>
                <w:p>
                  <w:pPr>
                    <w:widowControl/>
                    <w:jc w:val="center"/>
                    <w:rPr>
                      <w:rFonts w:eastAsia="等线"/>
                      <w:sz w:val="22"/>
                      <w:szCs w:val="22"/>
                    </w:rPr>
                  </w:pPr>
                  <w:r>
                    <w:t xml:space="preserve">0.0023 </w:t>
                  </w:r>
                </w:p>
              </w:tc>
              <w:tc>
                <w:tcPr>
                  <w:tcW w:w="779" w:type="pct"/>
                  <w:noWrap w:val="0"/>
                  <w:vAlign w:val="center"/>
                </w:tcPr>
                <w:p>
                  <w:pPr>
                    <w:widowControl/>
                    <w:jc w:val="center"/>
                    <w:textAlignment w:val="center"/>
                    <w:rPr>
                      <w:rFonts w:eastAsia="等线"/>
                      <w:sz w:val="22"/>
                      <w:szCs w:val="22"/>
                    </w:rPr>
                  </w:pPr>
                  <w:r>
                    <w:rPr>
                      <w:rFonts w:eastAsia="等线"/>
                      <w:sz w:val="22"/>
                      <w:szCs w:val="22"/>
                    </w:rPr>
                    <w:t>6.75</w:t>
                  </w:r>
                  <w:r>
                    <w:rPr>
                      <w:szCs w:val="21"/>
                    </w:rPr>
                    <w:t>×10</w:t>
                  </w:r>
                  <w:r>
                    <w:rPr>
                      <w:szCs w:val="21"/>
                      <w:vertAlign w:val="superscript"/>
                    </w:rPr>
                    <w:t>-7</w:t>
                  </w:r>
                </w:p>
              </w:tc>
              <w:tc>
                <w:tcPr>
                  <w:tcW w:w="754" w:type="pct"/>
                  <w:noWrap w:val="0"/>
                  <w:vAlign w:val="bottom"/>
                </w:tcPr>
                <w:p>
                  <w:pPr>
                    <w:widowControl/>
                    <w:jc w:val="center"/>
                    <w:rPr>
                      <w:rFonts w:eastAsia="等线"/>
                      <w:szCs w:val="21"/>
                    </w:rPr>
                  </w:pPr>
                  <w:r>
                    <w:t xml:space="preserve">0.0203 </w:t>
                  </w:r>
                </w:p>
              </w:tc>
              <w:tc>
                <w:tcPr>
                  <w:tcW w:w="686" w:type="pct"/>
                  <w:noWrap w:val="0"/>
                  <w:vAlign w:val="center"/>
                </w:tcPr>
                <w:p>
                  <w:pPr>
                    <w:widowControl/>
                    <w:jc w:val="center"/>
                    <w:textAlignment w:val="center"/>
                    <w:rPr>
                      <w:rFonts w:eastAsia="等线"/>
                      <w:szCs w:val="21"/>
                    </w:rPr>
                  </w:pPr>
                  <w:r>
                    <w:rPr>
                      <w:rFonts w:eastAsia="等线"/>
                      <w:szCs w:val="21"/>
                    </w:rPr>
                    <w:t>5.91</w:t>
                  </w:r>
                  <w:r>
                    <w:rPr>
                      <w:szCs w:val="21"/>
                    </w:rPr>
                    <w:t>×10</w:t>
                  </w:r>
                  <w:r>
                    <w:rPr>
                      <w:szCs w:val="21"/>
                      <w:vertAlign w:val="superscript"/>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2" w:type="pct"/>
                  <w:noWrap w:val="0"/>
                  <w:vAlign w:val="center"/>
                </w:tcPr>
                <w:p>
                  <w:pPr>
                    <w:widowControl/>
                    <w:jc w:val="center"/>
                    <w:rPr>
                      <w:szCs w:val="21"/>
                    </w:rPr>
                  </w:pPr>
                  <w:r>
                    <w:rPr>
                      <w:szCs w:val="21"/>
                    </w:rPr>
                    <w:t>11</w:t>
                  </w:r>
                </w:p>
              </w:tc>
              <w:tc>
                <w:tcPr>
                  <w:tcW w:w="1420" w:type="pct"/>
                  <w:noWrap w:val="0"/>
                  <w:vAlign w:val="center"/>
                </w:tcPr>
                <w:p>
                  <w:pPr>
                    <w:widowControl/>
                    <w:jc w:val="center"/>
                    <w:rPr>
                      <w:szCs w:val="21"/>
                    </w:rPr>
                  </w:pPr>
                  <w:r>
                    <w:rPr>
                      <w:szCs w:val="21"/>
                    </w:rPr>
                    <w:t>储泥池</w:t>
                  </w:r>
                </w:p>
              </w:tc>
              <w:tc>
                <w:tcPr>
                  <w:tcW w:w="434" w:type="pct"/>
                  <w:noWrap w:val="0"/>
                  <w:vAlign w:val="center"/>
                </w:tcPr>
                <w:p>
                  <w:pPr>
                    <w:widowControl/>
                    <w:jc w:val="center"/>
                    <w:rPr>
                      <w:rFonts w:eastAsia="等线"/>
                      <w:szCs w:val="21"/>
                    </w:rPr>
                  </w:pPr>
                  <w:r>
                    <w:rPr>
                      <w:rFonts w:eastAsia="等线"/>
                      <w:szCs w:val="21"/>
                    </w:rPr>
                    <w:t>4.0</w:t>
                  </w:r>
                </w:p>
              </w:tc>
              <w:tc>
                <w:tcPr>
                  <w:tcW w:w="585" w:type="pct"/>
                  <w:noWrap w:val="0"/>
                  <w:vAlign w:val="bottom"/>
                </w:tcPr>
                <w:p>
                  <w:pPr>
                    <w:widowControl/>
                    <w:jc w:val="center"/>
                    <w:rPr>
                      <w:rFonts w:eastAsia="等线"/>
                      <w:sz w:val="22"/>
                      <w:szCs w:val="22"/>
                    </w:rPr>
                  </w:pPr>
                  <w:r>
                    <w:t xml:space="preserve">0.0015 </w:t>
                  </w:r>
                </w:p>
              </w:tc>
              <w:tc>
                <w:tcPr>
                  <w:tcW w:w="779" w:type="pct"/>
                  <w:noWrap w:val="0"/>
                  <w:vAlign w:val="center"/>
                </w:tcPr>
                <w:p>
                  <w:pPr>
                    <w:widowControl/>
                    <w:jc w:val="center"/>
                    <w:textAlignment w:val="center"/>
                    <w:rPr>
                      <w:rFonts w:eastAsia="等线"/>
                      <w:sz w:val="22"/>
                      <w:szCs w:val="22"/>
                    </w:rPr>
                  </w:pPr>
                  <w:r>
                    <w:rPr>
                      <w:rFonts w:eastAsia="等线"/>
                      <w:sz w:val="22"/>
                      <w:szCs w:val="22"/>
                    </w:rPr>
                    <w:t>4.32</w:t>
                  </w:r>
                  <w:r>
                    <w:rPr>
                      <w:szCs w:val="21"/>
                    </w:rPr>
                    <w:t>×10</w:t>
                  </w:r>
                  <w:r>
                    <w:rPr>
                      <w:szCs w:val="21"/>
                      <w:vertAlign w:val="superscript"/>
                    </w:rPr>
                    <w:t>-7</w:t>
                  </w:r>
                </w:p>
              </w:tc>
              <w:tc>
                <w:tcPr>
                  <w:tcW w:w="754" w:type="pct"/>
                  <w:noWrap w:val="0"/>
                  <w:vAlign w:val="bottom"/>
                </w:tcPr>
                <w:p>
                  <w:pPr>
                    <w:widowControl/>
                    <w:jc w:val="center"/>
                    <w:rPr>
                      <w:rFonts w:eastAsia="等线"/>
                      <w:szCs w:val="21"/>
                    </w:rPr>
                  </w:pPr>
                  <w:r>
                    <w:t xml:space="preserve">0.0130 </w:t>
                  </w:r>
                </w:p>
              </w:tc>
              <w:tc>
                <w:tcPr>
                  <w:tcW w:w="686" w:type="pct"/>
                  <w:noWrap w:val="0"/>
                  <w:vAlign w:val="center"/>
                </w:tcPr>
                <w:p>
                  <w:pPr>
                    <w:widowControl/>
                    <w:jc w:val="center"/>
                    <w:textAlignment w:val="center"/>
                    <w:rPr>
                      <w:rFonts w:eastAsia="等线"/>
                      <w:szCs w:val="21"/>
                    </w:rPr>
                  </w:pPr>
                  <w:r>
                    <w:rPr>
                      <w:rFonts w:eastAsia="等线"/>
                      <w:szCs w:val="21"/>
                    </w:rPr>
                    <w:t>3.78</w:t>
                  </w:r>
                  <w:r>
                    <w:rPr>
                      <w:szCs w:val="21"/>
                    </w:rPr>
                    <w:t>×10</w:t>
                  </w:r>
                  <w:r>
                    <w:rPr>
                      <w:szCs w:val="21"/>
                      <w:vertAlign w:val="superscript"/>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2" w:type="pct"/>
                  <w:noWrap w:val="0"/>
                  <w:vAlign w:val="center"/>
                </w:tcPr>
                <w:p>
                  <w:pPr>
                    <w:widowControl/>
                    <w:jc w:val="center"/>
                    <w:rPr>
                      <w:szCs w:val="21"/>
                    </w:rPr>
                  </w:pPr>
                  <w:r>
                    <w:rPr>
                      <w:szCs w:val="21"/>
                    </w:rPr>
                    <w:t>12</w:t>
                  </w:r>
                </w:p>
              </w:tc>
              <w:tc>
                <w:tcPr>
                  <w:tcW w:w="1420" w:type="pct"/>
                  <w:noWrap w:val="0"/>
                  <w:vAlign w:val="center"/>
                </w:tcPr>
                <w:p>
                  <w:pPr>
                    <w:widowControl/>
                    <w:jc w:val="center"/>
                    <w:rPr>
                      <w:szCs w:val="21"/>
                    </w:rPr>
                  </w:pPr>
                  <w:r>
                    <w:rPr>
                      <w:szCs w:val="21"/>
                    </w:rPr>
                    <w:t>新增污泥料仓</w:t>
                  </w:r>
                </w:p>
              </w:tc>
              <w:tc>
                <w:tcPr>
                  <w:tcW w:w="434" w:type="pct"/>
                  <w:noWrap w:val="0"/>
                  <w:vAlign w:val="center"/>
                </w:tcPr>
                <w:p>
                  <w:pPr>
                    <w:widowControl/>
                    <w:jc w:val="center"/>
                    <w:rPr>
                      <w:rFonts w:eastAsia="等线"/>
                      <w:szCs w:val="21"/>
                    </w:rPr>
                  </w:pPr>
                  <w:r>
                    <w:rPr>
                      <w:rFonts w:eastAsia="等线"/>
                      <w:szCs w:val="21"/>
                    </w:rPr>
                    <w:t>14.4</w:t>
                  </w:r>
                </w:p>
              </w:tc>
              <w:tc>
                <w:tcPr>
                  <w:tcW w:w="585" w:type="pct"/>
                  <w:noWrap w:val="0"/>
                  <w:vAlign w:val="bottom"/>
                </w:tcPr>
                <w:p>
                  <w:pPr>
                    <w:widowControl/>
                    <w:jc w:val="center"/>
                    <w:rPr>
                      <w:rFonts w:eastAsia="等线"/>
                      <w:sz w:val="22"/>
                      <w:szCs w:val="22"/>
                    </w:rPr>
                  </w:pPr>
                  <w:r>
                    <w:t xml:space="preserve">0.0053 </w:t>
                  </w:r>
                </w:p>
              </w:tc>
              <w:tc>
                <w:tcPr>
                  <w:tcW w:w="779" w:type="pct"/>
                  <w:noWrap w:val="0"/>
                  <w:vAlign w:val="center"/>
                </w:tcPr>
                <w:p>
                  <w:pPr>
                    <w:widowControl/>
                    <w:jc w:val="center"/>
                    <w:textAlignment w:val="center"/>
                    <w:rPr>
                      <w:rFonts w:eastAsia="等线"/>
                      <w:sz w:val="22"/>
                      <w:szCs w:val="22"/>
                    </w:rPr>
                  </w:pPr>
                  <w:r>
                    <w:rPr>
                      <w:rFonts w:eastAsia="等线"/>
                      <w:sz w:val="22"/>
                      <w:szCs w:val="22"/>
                    </w:rPr>
                    <w:t>1.56</w:t>
                  </w:r>
                  <w:r>
                    <w:rPr>
                      <w:szCs w:val="21"/>
                    </w:rPr>
                    <w:t>×10</w:t>
                  </w:r>
                  <w:r>
                    <w:rPr>
                      <w:szCs w:val="21"/>
                      <w:vertAlign w:val="superscript"/>
                    </w:rPr>
                    <w:t>-6</w:t>
                  </w:r>
                </w:p>
              </w:tc>
              <w:tc>
                <w:tcPr>
                  <w:tcW w:w="754" w:type="pct"/>
                  <w:noWrap w:val="0"/>
                  <w:vAlign w:val="bottom"/>
                </w:tcPr>
                <w:p>
                  <w:pPr>
                    <w:widowControl/>
                    <w:jc w:val="center"/>
                    <w:rPr>
                      <w:rFonts w:eastAsia="等线"/>
                      <w:szCs w:val="21"/>
                    </w:rPr>
                  </w:pPr>
                  <w:r>
                    <w:t xml:space="preserve">0.0468 </w:t>
                  </w:r>
                </w:p>
              </w:tc>
              <w:tc>
                <w:tcPr>
                  <w:tcW w:w="686" w:type="pct"/>
                  <w:noWrap w:val="0"/>
                  <w:vAlign w:val="center"/>
                </w:tcPr>
                <w:p>
                  <w:pPr>
                    <w:widowControl/>
                    <w:jc w:val="center"/>
                    <w:textAlignment w:val="center"/>
                    <w:rPr>
                      <w:rFonts w:eastAsia="等线"/>
                      <w:szCs w:val="21"/>
                    </w:rPr>
                  </w:pPr>
                  <w:r>
                    <w:rPr>
                      <w:rFonts w:eastAsia="等线"/>
                      <w:szCs w:val="21"/>
                    </w:rPr>
                    <w:t>1.36</w:t>
                  </w:r>
                  <w:r>
                    <w:rPr>
                      <w:szCs w:val="21"/>
                    </w:rPr>
                    <w:t>×10</w:t>
                  </w:r>
                  <w:r>
                    <w:rPr>
                      <w:szCs w:val="21"/>
                      <w:vertAlign w:val="superscript"/>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196" w:type="pct"/>
                  <w:gridSpan w:val="3"/>
                  <w:noWrap w:val="0"/>
                  <w:vAlign w:val="center"/>
                </w:tcPr>
                <w:p>
                  <w:pPr>
                    <w:widowControl/>
                    <w:jc w:val="center"/>
                    <w:rPr>
                      <w:rFonts w:eastAsia="等线"/>
                      <w:szCs w:val="21"/>
                    </w:rPr>
                  </w:pPr>
                  <w:r>
                    <w:rPr>
                      <w:szCs w:val="21"/>
                    </w:rPr>
                    <w:t>合计</w:t>
                  </w:r>
                </w:p>
              </w:tc>
              <w:tc>
                <w:tcPr>
                  <w:tcW w:w="585" w:type="pct"/>
                  <w:noWrap w:val="0"/>
                  <w:vAlign w:val="center"/>
                </w:tcPr>
                <w:p>
                  <w:pPr>
                    <w:widowControl/>
                    <w:jc w:val="center"/>
                    <w:rPr>
                      <w:rFonts w:eastAsia="等线"/>
                      <w:kern w:val="0"/>
                      <w:szCs w:val="21"/>
                    </w:rPr>
                  </w:pPr>
                  <w:r>
                    <w:rPr>
                      <w:rFonts w:eastAsia="等线"/>
                      <w:kern w:val="0"/>
                      <w:szCs w:val="21"/>
                    </w:rPr>
                    <w:t>0.1272</w:t>
                  </w:r>
                </w:p>
              </w:tc>
              <w:tc>
                <w:tcPr>
                  <w:tcW w:w="779" w:type="pct"/>
                  <w:noWrap w:val="0"/>
                  <w:vAlign w:val="center"/>
                </w:tcPr>
                <w:p>
                  <w:pPr>
                    <w:jc w:val="center"/>
                    <w:rPr>
                      <w:rFonts w:eastAsia="等线"/>
                      <w:szCs w:val="21"/>
                    </w:rPr>
                  </w:pPr>
                  <w:r>
                    <w:rPr>
                      <w:rFonts w:eastAsia="等线"/>
                      <w:szCs w:val="21"/>
                    </w:rPr>
                    <w:t>0.0013</w:t>
                  </w:r>
                </w:p>
              </w:tc>
              <w:tc>
                <w:tcPr>
                  <w:tcW w:w="754" w:type="pct"/>
                  <w:noWrap w:val="0"/>
                  <w:vAlign w:val="center"/>
                </w:tcPr>
                <w:p>
                  <w:pPr>
                    <w:jc w:val="center"/>
                    <w:rPr>
                      <w:rFonts w:eastAsia="等线"/>
                      <w:szCs w:val="21"/>
                    </w:rPr>
                  </w:pPr>
                  <w:r>
                    <w:rPr>
                      <w:rFonts w:eastAsia="等线"/>
                      <w:szCs w:val="21"/>
                    </w:rPr>
                    <w:t>1.1139</w:t>
                  </w:r>
                </w:p>
              </w:tc>
              <w:tc>
                <w:tcPr>
                  <w:tcW w:w="686" w:type="pct"/>
                  <w:noWrap w:val="0"/>
                  <w:vAlign w:val="center"/>
                </w:tcPr>
                <w:p>
                  <w:pPr>
                    <w:jc w:val="center"/>
                    <w:rPr>
                      <w:rFonts w:eastAsia="等线"/>
                      <w:szCs w:val="21"/>
                    </w:rPr>
                  </w:pPr>
                  <w:r>
                    <w:rPr>
                      <w:rFonts w:eastAsia="等线"/>
                      <w:szCs w:val="21"/>
                    </w:rPr>
                    <w:t>0.0113</w:t>
                  </w:r>
                </w:p>
              </w:tc>
            </w:tr>
          </w:tbl>
          <w:p>
            <w:pPr>
              <w:spacing w:before="120" w:beforeLines="50" w:line="360" w:lineRule="auto"/>
              <w:ind w:firstLine="480" w:firstLineChars="200"/>
              <w:rPr>
                <w:sz w:val="24"/>
              </w:rPr>
            </w:pPr>
            <w:r>
              <w:rPr>
                <w:sz w:val="24"/>
              </w:rPr>
              <w:t>②除臭措施</w:t>
            </w:r>
          </w:p>
          <w:p>
            <w:pPr>
              <w:spacing w:line="360" w:lineRule="auto"/>
              <w:ind w:firstLine="480" w:firstLineChars="200"/>
              <w:rPr>
                <w:sz w:val="24"/>
              </w:rPr>
            </w:pPr>
            <w:r>
              <w:rPr>
                <w:sz w:val="24"/>
              </w:rPr>
              <w:t>本项目采用喷淋塔除臭法，其工艺流程为臭气收集→臭气输送风管→喷淋塔→风机→排放大气。</w:t>
            </w:r>
          </w:p>
          <w:p>
            <w:pPr>
              <w:spacing w:line="360" w:lineRule="auto"/>
              <w:ind w:firstLine="482" w:firstLineChars="200"/>
              <w:rPr>
                <w:sz w:val="24"/>
              </w:rPr>
            </w:pPr>
            <w:r>
              <w:rPr>
                <w:b/>
                <w:bCs/>
                <w:sz w:val="24"/>
              </w:rPr>
              <w:t>除臭单元：</w:t>
            </w:r>
            <w:r>
              <w:rPr>
                <w:sz w:val="24"/>
              </w:rPr>
              <w:t>厂内产生臭气浓度较大的地方设定为本次除臭单元，包括污水预处理区域（提升池、格栅渠、调节池）、和污泥处理区域（脱水机房、污泥池、污泥料仓），共2个除臭单元。</w:t>
            </w:r>
          </w:p>
          <w:p>
            <w:pPr>
              <w:spacing w:line="360" w:lineRule="auto"/>
              <w:ind w:firstLine="482" w:firstLineChars="200"/>
              <w:rPr>
                <w:sz w:val="24"/>
              </w:rPr>
            </w:pPr>
            <w:r>
              <w:rPr>
                <w:b/>
                <w:bCs/>
                <w:sz w:val="24"/>
              </w:rPr>
              <w:t>臭气收集系统：</w:t>
            </w:r>
            <w:r>
              <w:rPr>
                <w:sz w:val="24"/>
              </w:rPr>
              <w:t>根据项目设计，格栅渠新增除臭间和除臭盖板，提升池新增除臭盖板，调节池和污泥池采用混凝土加盖，污泥料仓采取封闭，污泥脱水间采用框架密闭结构；避免臭气逸散，方便收集。密闭收集是做好气体治理的前提，并确保在运行过程中，除臭空间处于微负压状态。</w:t>
            </w:r>
          </w:p>
          <w:p>
            <w:pPr>
              <w:tabs>
                <w:tab w:val="left" w:pos="5403"/>
              </w:tabs>
              <w:spacing w:line="360" w:lineRule="auto"/>
              <w:ind w:firstLine="480" w:firstLineChars="200"/>
              <w:rPr>
                <w:sz w:val="24"/>
              </w:rPr>
            </w:pPr>
            <w:r>
              <w:rPr>
                <w:sz w:val="24"/>
              </w:rPr>
              <w:t>提升池、格栅渠、调节池、脱水机房、污泥池和污泥料仓内均设置臭气收集风管，将臭气送至喷淋塔（碱液）除臭系统进行处理。风管采用有机玻璃钢风管，架空敷设，风管整个系统采取负压收集方式。</w:t>
            </w:r>
          </w:p>
          <w:p>
            <w:pPr>
              <w:spacing w:line="360" w:lineRule="auto"/>
              <w:ind w:firstLine="482" w:firstLineChars="200"/>
              <w:rPr>
                <w:sz w:val="24"/>
              </w:rPr>
            </w:pPr>
            <w:r>
              <w:rPr>
                <w:b/>
                <w:bCs/>
                <w:sz w:val="24"/>
              </w:rPr>
              <w:t>除臭设备：</w:t>
            </w:r>
            <w:r>
              <w:rPr>
                <w:sz w:val="24"/>
              </w:rPr>
              <w:t>本项目污水厂拟布置1套喷淋塔除臭装置：处理提升池、格栅渠、调节池、脱水机房、污泥池和污泥料仓的臭气。</w:t>
            </w:r>
          </w:p>
          <w:p>
            <w:pPr>
              <w:spacing w:line="360" w:lineRule="auto"/>
              <w:ind w:firstLine="482" w:firstLineChars="200"/>
              <w:rPr>
                <w:b/>
                <w:bCs/>
                <w:sz w:val="24"/>
              </w:rPr>
            </w:pPr>
            <w:r>
              <w:rPr>
                <w:b/>
                <w:bCs/>
                <w:sz w:val="24"/>
              </w:rPr>
              <w:t>喷淋塔（碱液）除臭原理：</w:t>
            </w:r>
            <w:r>
              <w:rPr>
                <w:sz w:val="24"/>
              </w:rPr>
              <w:t>是利用臭气中的某些物质和药液产生中和反应的特性，去除臭气中硫化氢等酸性物质。</w:t>
            </w:r>
          </w:p>
          <w:p>
            <w:pPr>
              <w:spacing w:line="360" w:lineRule="auto"/>
              <w:ind w:firstLine="480" w:firstLineChars="200"/>
              <w:rPr>
                <w:sz w:val="24"/>
              </w:rPr>
            </w:pPr>
            <w:r>
              <w:rPr>
                <w:sz w:val="24"/>
              </w:rPr>
              <w:t>采取上述不同方式封闭、加盖后臭气收集效率可达到90%，剩余10%无组织排放；上述3个除臭单元产生的臭气经各自收集管道负压收集后，引入1套喷淋塔（碱液）除臭系统处理，其处理效率约75%，处理后的尾气引至1根15m高排气筒排放。</w:t>
            </w:r>
            <w:r>
              <w:rPr>
                <w:b/>
                <w:bCs/>
                <w:sz w:val="24"/>
              </w:rPr>
              <w:t>参考《排污许可证申请与核发技术规范 水处理（试行）》（HJ978-2018）中表5 废气可行技术参照表，本项目喷淋塔（碱液）除臭处理工艺为推荐可行技术。</w:t>
            </w:r>
          </w:p>
          <w:p>
            <w:pPr>
              <w:spacing w:line="360" w:lineRule="auto"/>
              <w:ind w:firstLine="480" w:firstLineChars="200"/>
              <w:rPr>
                <w:sz w:val="24"/>
              </w:rPr>
            </w:pPr>
            <w:r>
              <w:rPr>
                <w:sz w:val="24"/>
              </w:rPr>
              <w:t>③恶臭产排情况</w:t>
            </w:r>
          </w:p>
          <w:p>
            <w:pPr>
              <w:spacing w:line="360" w:lineRule="auto"/>
              <w:ind w:firstLine="480" w:firstLineChars="200"/>
              <w:rPr>
                <w:sz w:val="24"/>
              </w:rPr>
            </w:pPr>
            <w:r>
              <w:rPr>
                <w:sz w:val="24"/>
              </w:rPr>
              <w:t>本项目恶臭气体产排情况见下表。</w:t>
            </w:r>
          </w:p>
          <w:p>
            <w:pPr>
              <w:jc w:val="center"/>
              <w:rPr>
                <w:rFonts w:eastAsia="黑体"/>
                <w:sz w:val="24"/>
              </w:rPr>
            </w:pPr>
            <w:r>
              <w:rPr>
                <w:rFonts w:eastAsia="黑体"/>
                <w:sz w:val="24"/>
              </w:rPr>
              <w:t>表4-6  恶臭气体产生和排放情况一览表  单位：t/a</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9"/>
              <w:gridCol w:w="878"/>
              <w:gridCol w:w="1171"/>
              <w:gridCol w:w="2660"/>
              <w:gridCol w:w="1406"/>
              <w:gridCol w:w="14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CCFFFF"/>
                  <w:noWrap w:val="0"/>
                  <w:vAlign w:val="center"/>
                </w:tcPr>
                <w:p>
                  <w:pPr>
                    <w:pStyle w:val="2"/>
                    <w:spacing w:before="0" w:after="0" w:line="240" w:lineRule="auto"/>
                    <w:ind w:right="0"/>
                    <w:jc w:val="center"/>
                    <w:rPr>
                      <w:b/>
                      <w:bCs/>
                      <w:sz w:val="21"/>
                      <w:szCs w:val="21"/>
                    </w:rPr>
                  </w:pPr>
                  <w:r>
                    <w:rPr>
                      <w:b/>
                      <w:bCs/>
                      <w:sz w:val="21"/>
                      <w:szCs w:val="21"/>
                    </w:rPr>
                    <w:t>分区</w:t>
                  </w:r>
                </w:p>
              </w:tc>
              <w:tc>
                <w:tcPr>
                  <w:tcW w:w="520" w:type="pct"/>
                  <w:shd w:val="clear" w:color="auto" w:fill="CCFFFF"/>
                  <w:noWrap w:val="0"/>
                  <w:vAlign w:val="center"/>
                </w:tcPr>
                <w:p>
                  <w:pPr>
                    <w:pStyle w:val="2"/>
                    <w:spacing w:before="0" w:after="0" w:line="240" w:lineRule="auto"/>
                    <w:ind w:right="0"/>
                    <w:jc w:val="center"/>
                    <w:rPr>
                      <w:b/>
                      <w:bCs/>
                      <w:sz w:val="21"/>
                      <w:szCs w:val="21"/>
                    </w:rPr>
                  </w:pPr>
                  <w:r>
                    <w:rPr>
                      <w:b/>
                      <w:bCs/>
                      <w:sz w:val="21"/>
                      <w:szCs w:val="21"/>
                    </w:rPr>
                    <w:t>污染物</w:t>
                  </w:r>
                </w:p>
              </w:tc>
              <w:tc>
                <w:tcPr>
                  <w:tcW w:w="694" w:type="pct"/>
                  <w:shd w:val="clear" w:color="auto" w:fill="CCFFFF"/>
                  <w:noWrap w:val="0"/>
                  <w:vAlign w:val="center"/>
                </w:tcPr>
                <w:p>
                  <w:pPr>
                    <w:pStyle w:val="2"/>
                    <w:spacing w:before="0" w:after="0" w:line="240" w:lineRule="auto"/>
                    <w:ind w:right="0"/>
                    <w:jc w:val="center"/>
                    <w:rPr>
                      <w:b/>
                      <w:bCs/>
                      <w:sz w:val="21"/>
                      <w:szCs w:val="21"/>
                    </w:rPr>
                  </w:pPr>
                  <w:r>
                    <w:rPr>
                      <w:b/>
                      <w:bCs/>
                      <w:sz w:val="21"/>
                      <w:szCs w:val="21"/>
                    </w:rPr>
                    <w:t>产生情况</w:t>
                  </w:r>
                </w:p>
              </w:tc>
              <w:tc>
                <w:tcPr>
                  <w:tcW w:w="1576" w:type="pct"/>
                  <w:shd w:val="clear" w:color="auto" w:fill="CCFFFF"/>
                  <w:noWrap w:val="0"/>
                  <w:vAlign w:val="center"/>
                </w:tcPr>
                <w:p>
                  <w:pPr>
                    <w:pStyle w:val="2"/>
                    <w:spacing w:before="0" w:after="0" w:line="240" w:lineRule="auto"/>
                    <w:ind w:right="0"/>
                    <w:jc w:val="center"/>
                    <w:rPr>
                      <w:b/>
                      <w:bCs/>
                      <w:sz w:val="21"/>
                      <w:szCs w:val="21"/>
                    </w:rPr>
                  </w:pPr>
                  <w:r>
                    <w:rPr>
                      <w:b/>
                      <w:bCs/>
                      <w:sz w:val="21"/>
                      <w:szCs w:val="21"/>
                    </w:rPr>
                    <w:t>治理措施</w:t>
                  </w:r>
                </w:p>
              </w:tc>
              <w:tc>
                <w:tcPr>
                  <w:tcW w:w="833" w:type="pct"/>
                  <w:shd w:val="clear" w:color="auto" w:fill="CCFFFF"/>
                  <w:noWrap w:val="0"/>
                  <w:vAlign w:val="center"/>
                </w:tcPr>
                <w:p>
                  <w:pPr>
                    <w:pStyle w:val="2"/>
                    <w:spacing w:before="0" w:after="0"/>
                    <w:ind w:right="0"/>
                    <w:jc w:val="center"/>
                    <w:rPr>
                      <w:b/>
                      <w:bCs/>
                      <w:sz w:val="21"/>
                      <w:szCs w:val="21"/>
                    </w:rPr>
                  </w:pPr>
                  <w:r>
                    <w:rPr>
                      <w:b/>
                      <w:bCs/>
                      <w:sz w:val="21"/>
                      <w:szCs w:val="21"/>
                    </w:rPr>
                    <w:t>无组织排放量</w:t>
                  </w:r>
                </w:p>
              </w:tc>
              <w:tc>
                <w:tcPr>
                  <w:tcW w:w="832" w:type="pct"/>
                  <w:shd w:val="clear" w:color="auto" w:fill="CCFFFF"/>
                  <w:noWrap w:val="0"/>
                  <w:vAlign w:val="center"/>
                </w:tcPr>
                <w:p>
                  <w:pPr>
                    <w:pStyle w:val="2"/>
                    <w:spacing w:before="0" w:after="0"/>
                    <w:ind w:right="0"/>
                    <w:jc w:val="center"/>
                    <w:rPr>
                      <w:b/>
                      <w:bCs/>
                      <w:sz w:val="21"/>
                      <w:szCs w:val="21"/>
                    </w:rPr>
                  </w:pPr>
                  <w:r>
                    <w:rPr>
                      <w:b/>
                      <w:bCs/>
                      <w:sz w:val="21"/>
                      <w:szCs w:val="21"/>
                    </w:rPr>
                    <w:t>有组织排放量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5" w:type="pct"/>
                  <w:vMerge w:val="restart"/>
                  <w:noWrap w:val="0"/>
                  <w:vAlign w:val="center"/>
                </w:tcPr>
                <w:p>
                  <w:pPr>
                    <w:pStyle w:val="2"/>
                    <w:spacing w:before="0" w:after="0" w:line="240" w:lineRule="auto"/>
                    <w:ind w:right="0"/>
                    <w:jc w:val="center"/>
                    <w:rPr>
                      <w:sz w:val="21"/>
                      <w:szCs w:val="21"/>
                    </w:rPr>
                  </w:pPr>
                  <w:r>
                    <w:rPr>
                      <w:sz w:val="21"/>
                      <w:szCs w:val="21"/>
                    </w:rPr>
                    <w:t>预处理区域</w:t>
                  </w:r>
                </w:p>
              </w:tc>
              <w:tc>
                <w:tcPr>
                  <w:tcW w:w="520" w:type="pct"/>
                  <w:noWrap w:val="0"/>
                  <w:vAlign w:val="center"/>
                </w:tcPr>
                <w:p>
                  <w:pPr>
                    <w:pStyle w:val="2"/>
                    <w:spacing w:before="0" w:after="0" w:line="240" w:lineRule="auto"/>
                    <w:ind w:right="0"/>
                    <w:jc w:val="center"/>
                    <w:rPr>
                      <w:sz w:val="21"/>
                      <w:szCs w:val="21"/>
                      <w:vertAlign w:val="subscript"/>
                    </w:rPr>
                  </w:pPr>
                  <w:r>
                    <w:rPr>
                      <w:sz w:val="21"/>
                      <w:szCs w:val="21"/>
                    </w:rPr>
                    <w:t>NH</w:t>
                  </w:r>
                  <w:r>
                    <w:rPr>
                      <w:sz w:val="21"/>
                      <w:szCs w:val="21"/>
                      <w:vertAlign w:val="subscript"/>
                    </w:rPr>
                    <w:t>3</w:t>
                  </w:r>
                </w:p>
              </w:tc>
              <w:tc>
                <w:tcPr>
                  <w:tcW w:w="694" w:type="pct"/>
                  <w:noWrap w:val="0"/>
                  <w:vAlign w:val="center"/>
                </w:tcPr>
                <w:p>
                  <w:pPr>
                    <w:pStyle w:val="2"/>
                    <w:spacing w:before="0" w:after="0" w:line="240" w:lineRule="auto"/>
                    <w:ind w:right="0"/>
                    <w:jc w:val="center"/>
                    <w:rPr>
                      <w:sz w:val="21"/>
                      <w:szCs w:val="21"/>
                    </w:rPr>
                  </w:pPr>
                  <w:r>
                    <w:rPr>
                      <w:sz w:val="21"/>
                      <w:szCs w:val="21"/>
                    </w:rPr>
                    <w:t>0.0003</w:t>
                  </w:r>
                </w:p>
              </w:tc>
              <w:tc>
                <w:tcPr>
                  <w:tcW w:w="1576" w:type="pct"/>
                  <w:vMerge w:val="restart"/>
                  <w:noWrap w:val="0"/>
                  <w:vAlign w:val="center"/>
                </w:tcPr>
                <w:p>
                  <w:pPr>
                    <w:pStyle w:val="2"/>
                    <w:spacing w:before="0" w:after="0" w:line="240" w:lineRule="auto"/>
                    <w:ind w:right="0"/>
                    <w:jc w:val="center"/>
                    <w:rPr>
                      <w:sz w:val="21"/>
                      <w:szCs w:val="21"/>
                    </w:rPr>
                  </w:pPr>
                  <w:r>
                    <w:rPr>
                      <w:sz w:val="21"/>
                      <w:szCs w:val="21"/>
                    </w:rPr>
                    <w:t>格栅渠新增除臭间和除臭盖板，提升池新增除臭盖板，调节池和污泥池采用混凝土加盖，污泥料仓采取封闭，污泥脱水间采用框架密闭结构；设置臭气收集风管，将臭气送至喷淋塔（碱液）除臭系统进行处理，引至1根15m高排气筒排放。</w:t>
                  </w:r>
                </w:p>
              </w:tc>
              <w:tc>
                <w:tcPr>
                  <w:tcW w:w="833" w:type="pct"/>
                  <w:noWrap w:val="0"/>
                  <w:vAlign w:val="center"/>
                </w:tcPr>
                <w:p>
                  <w:pPr>
                    <w:pStyle w:val="2"/>
                    <w:spacing w:before="0" w:after="0" w:line="240" w:lineRule="auto"/>
                    <w:ind w:right="0"/>
                    <w:jc w:val="center"/>
                    <w:rPr>
                      <w:sz w:val="21"/>
                      <w:szCs w:val="21"/>
                    </w:rPr>
                  </w:pPr>
                  <w:r>
                    <w:rPr>
                      <w:sz w:val="21"/>
                      <w:szCs w:val="21"/>
                    </w:rPr>
                    <w:t>0.0001</w:t>
                  </w:r>
                </w:p>
              </w:tc>
              <w:tc>
                <w:tcPr>
                  <w:tcW w:w="832" w:type="pct"/>
                  <w:noWrap w:val="0"/>
                  <w:vAlign w:val="center"/>
                </w:tcPr>
                <w:p>
                  <w:pPr>
                    <w:pStyle w:val="2"/>
                    <w:spacing w:before="0" w:after="0" w:line="240" w:lineRule="auto"/>
                    <w:ind w:right="0"/>
                    <w:jc w:val="center"/>
                    <w:rPr>
                      <w:sz w:val="21"/>
                      <w:szCs w:val="21"/>
                    </w:rPr>
                  </w:pPr>
                  <w:r>
                    <w:rPr>
                      <w:sz w:val="21"/>
                      <w:szCs w:val="21"/>
                    </w:rPr>
                    <w:t>5.6×10</w:t>
                  </w:r>
                  <w:r>
                    <w:rPr>
                      <w:sz w:val="21"/>
                      <w:szCs w:val="21"/>
                      <w:vertAlign w:val="superscript"/>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5" w:type="pct"/>
                  <w:vMerge w:val="continue"/>
                  <w:noWrap w:val="0"/>
                  <w:vAlign w:val="center"/>
                </w:tcPr>
                <w:p>
                  <w:pPr>
                    <w:pStyle w:val="2"/>
                    <w:spacing w:before="0" w:after="0" w:line="240" w:lineRule="auto"/>
                    <w:ind w:right="0"/>
                    <w:jc w:val="center"/>
                    <w:rPr>
                      <w:sz w:val="21"/>
                      <w:szCs w:val="21"/>
                    </w:rPr>
                  </w:pPr>
                </w:p>
              </w:tc>
              <w:tc>
                <w:tcPr>
                  <w:tcW w:w="520" w:type="pct"/>
                  <w:noWrap w:val="0"/>
                  <w:vAlign w:val="center"/>
                </w:tcPr>
                <w:p>
                  <w:pPr>
                    <w:pStyle w:val="2"/>
                    <w:spacing w:before="0" w:after="0" w:line="240" w:lineRule="auto"/>
                    <w:ind w:right="0"/>
                    <w:jc w:val="center"/>
                    <w:rPr>
                      <w:sz w:val="21"/>
                      <w:szCs w:val="21"/>
                    </w:rPr>
                  </w:pPr>
                  <w:r>
                    <w:rPr>
                      <w:sz w:val="21"/>
                      <w:szCs w:val="21"/>
                    </w:rPr>
                    <w:t>H</w:t>
                  </w:r>
                  <w:r>
                    <w:rPr>
                      <w:sz w:val="21"/>
                      <w:szCs w:val="21"/>
                      <w:vertAlign w:val="subscript"/>
                    </w:rPr>
                    <w:t>2</w:t>
                  </w:r>
                  <w:r>
                    <w:rPr>
                      <w:sz w:val="21"/>
                      <w:szCs w:val="21"/>
                    </w:rPr>
                    <w:t>S</w:t>
                  </w:r>
                </w:p>
              </w:tc>
              <w:tc>
                <w:tcPr>
                  <w:tcW w:w="694" w:type="pct"/>
                  <w:noWrap w:val="0"/>
                  <w:vAlign w:val="center"/>
                </w:tcPr>
                <w:p>
                  <w:pPr>
                    <w:pStyle w:val="2"/>
                    <w:spacing w:before="0" w:after="0" w:line="240" w:lineRule="auto"/>
                    <w:ind w:right="0"/>
                    <w:jc w:val="center"/>
                    <w:rPr>
                      <w:sz w:val="21"/>
                      <w:szCs w:val="21"/>
                    </w:rPr>
                  </w:pPr>
                  <w:r>
                    <w:rPr>
                      <w:sz w:val="21"/>
                      <w:szCs w:val="21"/>
                    </w:rPr>
                    <w:t>0.003</w:t>
                  </w:r>
                </w:p>
              </w:tc>
              <w:tc>
                <w:tcPr>
                  <w:tcW w:w="1576" w:type="pct"/>
                  <w:vMerge w:val="continue"/>
                  <w:noWrap w:val="0"/>
                  <w:vAlign w:val="center"/>
                </w:tcPr>
                <w:p>
                  <w:pPr>
                    <w:pStyle w:val="2"/>
                    <w:spacing w:before="0" w:after="0" w:line="240" w:lineRule="auto"/>
                    <w:ind w:right="0"/>
                    <w:jc w:val="center"/>
                    <w:rPr>
                      <w:sz w:val="21"/>
                      <w:szCs w:val="21"/>
                    </w:rPr>
                  </w:pPr>
                </w:p>
              </w:tc>
              <w:tc>
                <w:tcPr>
                  <w:tcW w:w="833" w:type="pct"/>
                  <w:noWrap w:val="0"/>
                  <w:vAlign w:val="center"/>
                </w:tcPr>
                <w:p>
                  <w:pPr>
                    <w:pStyle w:val="2"/>
                    <w:spacing w:before="0" w:after="0" w:line="240" w:lineRule="auto"/>
                    <w:ind w:right="0"/>
                    <w:jc w:val="center"/>
                    <w:rPr>
                      <w:sz w:val="21"/>
                      <w:szCs w:val="21"/>
                    </w:rPr>
                  </w:pPr>
                  <w:r>
                    <w:rPr>
                      <w:sz w:val="21"/>
                      <w:szCs w:val="21"/>
                    </w:rPr>
                    <w:t>0.0007</w:t>
                  </w:r>
                </w:p>
              </w:tc>
              <w:tc>
                <w:tcPr>
                  <w:tcW w:w="832" w:type="pct"/>
                  <w:noWrap w:val="0"/>
                  <w:vAlign w:val="center"/>
                </w:tcPr>
                <w:p>
                  <w:pPr>
                    <w:pStyle w:val="2"/>
                    <w:spacing w:before="0" w:after="0" w:line="240" w:lineRule="auto"/>
                    <w:ind w:right="0"/>
                    <w:jc w:val="center"/>
                    <w:rPr>
                      <w:sz w:val="21"/>
                      <w:szCs w:val="21"/>
                    </w:rPr>
                  </w:pPr>
                  <w:r>
                    <w:rPr>
                      <w:sz w:val="21"/>
                      <w:szCs w:val="21"/>
                    </w:rPr>
                    <w:t>0.0005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5" w:type="pct"/>
                  <w:vMerge w:val="restart"/>
                  <w:noWrap w:val="0"/>
                  <w:vAlign w:val="center"/>
                </w:tcPr>
                <w:p>
                  <w:pPr>
                    <w:pStyle w:val="2"/>
                    <w:spacing w:before="0" w:after="0" w:line="240" w:lineRule="auto"/>
                    <w:ind w:right="0"/>
                    <w:jc w:val="center"/>
                    <w:rPr>
                      <w:sz w:val="21"/>
                      <w:szCs w:val="21"/>
                    </w:rPr>
                  </w:pPr>
                  <w:r>
                    <w:rPr>
                      <w:sz w:val="21"/>
                      <w:szCs w:val="21"/>
                    </w:rPr>
                    <w:t>生化处理区域</w:t>
                  </w:r>
                </w:p>
              </w:tc>
              <w:tc>
                <w:tcPr>
                  <w:tcW w:w="520" w:type="pct"/>
                  <w:noWrap w:val="0"/>
                  <w:vAlign w:val="center"/>
                </w:tcPr>
                <w:p>
                  <w:pPr>
                    <w:pStyle w:val="2"/>
                    <w:spacing w:before="0" w:after="0" w:line="240" w:lineRule="auto"/>
                    <w:ind w:right="0"/>
                    <w:jc w:val="center"/>
                    <w:rPr>
                      <w:sz w:val="21"/>
                      <w:szCs w:val="21"/>
                    </w:rPr>
                  </w:pPr>
                  <w:r>
                    <w:rPr>
                      <w:sz w:val="21"/>
                      <w:szCs w:val="21"/>
                    </w:rPr>
                    <w:t>NH</w:t>
                  </w:r>
                  <w:r>
                    <w:rPr>
                      <w:sz w:val="21"/>
                      <w:szCs w:val="21"/>
                      <w:vertAlign w:val="subscript"/>
                    </w:rPr>
                    <w:t>3</w:t>
                  </w:r>
                </w:p>
              </w:tc>
              <w:tc>
                <w:tcPr>
                  <w:tcW w:w="694" w:type="pct"/>
                  <w:noWrap w:val="0"/>
                  <w:vAlign w:val="center"/>
                </w:tcPr>
                <w:p>
                  <w:pPr>
                    <w:pStyle w:val="2"/>
                    <w:spacing w:before="0" w:after="0" w:line="240" w:lineRule="auto"/>
                    <w:ind w:right="0"/>
                    <w:jc w:val="center"/>
                    <w:rPr>
                      <w:sz w:val="21"/>
                      <w:szCs w:val="21"/>
                    </w:rPr>
                  </w:pPr>
                  <w:r>
                    <w:rPr>
                      <w:sz w:val="21"/>
                      <w:szCs w:val="21"/>
                    </w:rPr>
                    <w:t>0.001</w:t>
                  </w:r>
                </w:p>
              </w:tc>
              <w:tc>
                <w:tcPr>
                  <w:tcW w:w="1576" w:type="pct"/>
                  <w:vMerge w:val="continue"/>
                  <w:noWrap w:val="0"/>
                  <w:vAlign w:val="center"/>
                </w:tcPr>
                <w:p>
                  <w:pPr>
                    <w:pStyle w:val="2"/>
                    <w:spacing w:before="0" w:after="0" w:line="240" w:lineRule="auto"/>
                    <w:ind w:right="0"/>
                    <w:jc w:val="center"/>
                    <w:rPr>
                      <w:sz w:val="21"/>
                      <w:szCs w:val="21"/>
                    </w:rPr>
                  </w:pPr>
                </w:p>
              </w:tc>
              <w:tc>
                <w:tcPr>
                  <w:tcW w:w="833" w:type="pct"/>
                  <w:noWrap w:val="0"/>
                  <w:vAlign w:val="center"/>
                </w:tcPr>
                <w:p>
                  <w:pPr>
                    <w:pStyle w:val="2"/>
                    <w:spacing w:before="0" w:after="0" w:line="240" w:lineRule="auto"/>
                    <w:ind w:right="0"/>
                    <w:jc w:val="center"/>
                    <w:rPr>
                      <w:sz w:val="21"/>
                      <w:szCs w:val="21"/>
                    </w:rPr>
                  </w:pPr>
                  <w:r>
                    <w:rPr>
                      <w:sz w:val="21"/>
                      <w:szCs w:val="21"/>
                    </w:rPr>
                    <w:t>0.001</w:t>
                  </w:r>
                </w:p>
              </w:tc>
              <w:tc>
                <w:tcPr>
                  <w:tcW w:w="832" w:type="pct"/>
                  <w:noWrap w:val="0"/>
                  <w:vAlign w:val="center"/>
                </w:tcPr>
                <w:p>
                  <w:pPr>
                    <w:pStyle w:val="2"/>
                    <w:spacing w:before="0" w:after="0" w:line="240" w:lineRule="auto"/>
                    <w:ind w:right="0"/>
                    <w:jc w:val="center"/>
                    <w:rPr>
                      <w:sz w:val="21"/>
                      <w:szCs w:val="21"/>
                    </w:rPr>
                  </w:pPr>
                  <w:r>
                    <w:rPr>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5" w:type="pct"/>
                  <w:vMerge w:val="continue"/>
                  <w:noWrap w:val="0"/>
                  <w:vAlign w:val="center"/>
                </w:tcPr>
                <w:p>
                  <w:pPr>
                    <w:pStyle w:val="2"/>
                    <w:spacing w:before="0" w:after="0" w:line="240" w:lineRule="auto"/>
                    <w:ind w:right="0"/>
                    <w:jc w:val="center"/>
                    <w:rPr>
                      <w:sz w:val="21"/>
                      <w:szCs w:val="21"/>
                    </w:rPr>
                  </w:pPr>
                </w:p>
              </w:tc>
              <w:tc>
                <w:tcPr>
                  <w:tcW w:w="520" w:type="pct"/>
                  <w:noWrap w:val="0"/>
                  <w:vAlign w:val="center"/>
                </w:tcPr>
                <w:p>
                  <w:pPr>
                    <w:pStyle w:val="2"/>
                    <w:spacing w:before="0" w:after="0" w:line="240" w:lineRule="auto"/>
                    <w:ind w:right="0"/>
                    <w:jc w:val="center"/>
                    <w:rPr>
                      <w:sz w:val="21"/>
                      <w:szCs w:val="21"/>
                    </w:rPr>
                  </w:pPr>
                  <w:r>
                    <w:rPr>
                      <w:sz w:val="21"/>
                      <w:szCs w:val="21"/>
                    </w:rPr>
                    <w:t>H</w:t>
                  </w:r>
                  <w:r>
                    <w:rPr>
                      <w:sz w:val="21"/>
                      <w:szCs w:val="21"/>
                      <w:vertAlign w:val="subscript"/>
                    </w:rPr>
                    <w:t>2</w:t>
                  </w:r>
                  <w:r>
                    <w:rPr>
                      <w:sz w:val="21"/>
                      <w:szCs w:val="21"/>
                    </w:rPr>
                    <w:t>S</w:t>
                  </w:r>
                </w:p>
              </w:tc>
              <w:tc>
                <w:tcPr>
                  <w:tcW w:w="694" w:type="pct"/>
                  <w:noWrap w:val="0"/>
                  <w:vAlign w:val="center"/>
                </w:tcPr>
                <w:p>
                  <w:pPr>
                    <w:pStyle w:val="2"/>
                    <w:spacing w:before="0" w:after="0" w:line="240" w:lineRule="auto"/>
                    <w:ind w:right="0"/>
                    <w:jc w:val="center"/>
                    <w:rPr>
                      <w:sz w:val="21"/>
                      <w:szCs w:val="21"/>
                    </w:rPr>
                  </w:pPr>
                  <w:r>
                    <w:rPr>
                      <w:sz w:val="21"/>
                      <w:szCs w:val="21"/>
                    </w:rPr>
                    <w:t>0.0083</w:t>
                  </w:r>
                </w:p>
              </w:tc>
              <w:tc>
                <w:tcPr>
                  <w:tcW w:w="1576" w:type="pct"/>
                  <w:vMerge w:val="continue"/>
                  <w:noWrap w:val="0"/>
                  <w:vAlign w:val="center"/>
                </w:tcPr>
                <w:p>
                  <w:pPr>
                    <w:pStyle w:val="2"/>
                    <w:spacing w:before="0" w:after="0" w:line="240" w:lineRule="auto"/>
                    <w:ind w:right="0"/>
                    <w:jc w:val="center"/>
                    <w:rPr>
                      <w:sz w:val="21"/>
                      <w:szCs w:val="21"/>
                    </w:rPr>
                  </w:pPr>
                </w:p>
              </w:tc>
              <w:tc>
                <w:tcPr>
                  <w:tcW w:w="833" w:type="pct"/>
                  <w:noWrap w:val="0"/>
                  <w:vAlign w:val="center"/>
                </w:tcPr>
                <w:p>
                  <w:pPr>
                    <w:pStyle w:val="2"/>
                    <w:spacing w:before="0" w:after="0" w:line="240" w:lineRule="auto"/>
                    <w:ind w:right="0"/>
                    <w:jc w:val="center"/>
                    <w:rPr>
                      <w:sz w:val="21"/>
                      <w:szCs w:val="21"/>
                    </w:rPr>
                  </w:pPr>
                  <w:r>
                    <w:rPr>
                      <w:sz w:val="21"/>
                      <w:szCs w:val="21"/>
                    </w:rPr>
                    <w:t>0.0083</w:t>
                  </w:r>
                </w:p>
              </w:tc>
              <w:tc>
                <w:tcPr>
                  <w:tcW w:w="832" w:type="pct"/>
                  <w:noWrap w:val="0"/>
                  <w:vAlign w:val="center"/>
                </w:tcPr>
                <w:p>
                  <w:pPr>
                    <w:pStyle w:val="2"/>
                    <w:spacing w:before="0" w:after="0" w:line="240" w:lineRule="auto"/>
                    <w:ind w:right="0"/>
                    <w:jc w:val="center"/>
                    <w:rPr>
                      <w:sz w:val="21"/>
                      <w:szCs w:val="21"/>
                    </w:rPr>
                  </w:pPr>
                  <w:r>
                    <w:rPr>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5" w:type="pct"/>
                  <w:vMerge w:val="restart"/>
                  <w:noWrap w:val="0"/>
                  <w:vAlign w:val="center"/>
                </w:tcPr>
                <w:p>
                  <w:pPr>
                    <w:pStyle w:val="2"/>
                    <w:spacing w:before="0" w:after="0" w:line="240" w:lineRule="auto"/>
                    <w:ind w:right="0"/>
                    <w:jc w:val="center"/>
                    <w:rPr>
                      <w:sz w:val="21"/>
                      <w:szCs w:val="21"/>
                    </w:rPr>
                  </w:pPr>
                  <w:r>
                    <w:rPr>
                      <w:sz w:val="21"/>
                      <w:szCs w:val="21"/>
                    </w:rPr>
                    <w:t>污泥处理区域</w:t>
                  </w:r>
                </w:p>
              </w:tc>
              <w:tc>
                <w:tcPr>
                  <w:tcW w:w="520" w:type="pct"/>
                  <w:noWrap w:val="0"/>
                  <w:vAlign w:val="center"/>
                </w:tcPr>
                <w:p>
                  <w:pPr>
                    <w:pStyle w:val="2"/>
                    <w:spacing w:before="0" w:after="0" w:line="240" w:lineRule="auto"/>
                    <w:ind w:right="0"/>
                    <w:jc w:val="center"/>
                    <w:rPr>
                      <w:sz w:val="21"/>
                      <w:szCs w:val="21"/>
                    </w:rPr>
                  </w:pPr>
                  <w:r>
                    <w:rPr>
                      <w:sz w:val="21"/>
                      <w:szCs w:val="21"/>
                    </w:rPr>
                    <w:t>NH</w:t>
                  </w:r>
                  <w:r>
                    <w:rPr>
                      <w:sz w:val="21"/>
                      <w:szCs w:val="21"/>
                      <w:vertAlign w:val="subscript"/>
                    </w:rPr>
                    <w:t>3</w:t>
                  </w:r>
                </w:p>
              </w:tc>
              <w:tc>
                <w:tcPr>
                  <w:tcW w:w="694" w:type="pct"/>
                  <w:noWrap w:val="0"/>
                  <w:vAlign w:val="center"/>
                </w:tcPr>
                <w:p>
                  <w:pPr>
                    <w:pStyle w:val="2"/>
                    <w:spacing w:before="0" w:after="0" w:line="240" w:lineRule="auto"/>
                    <w:ind w:right="0"/>
                    <w:jc w:val="center"/>
                    <w:rPr>
                      <w:sz w:val="21"/>
                      <w:szCs w:val="21"/>
                    </w:rPr>
                  </w:pPr>
                  <w:r>
                    <w:rPr>
                      <w:sz w:val="21"/>
                      <w:szCs w:val="21"/>
                    </w:rPr>
                    <w:t>6.1×10</w:t>
                  </w:r>
                  <w:r>
                    <w:rPr>
                      <w:sz w:val="21"/>
                      <w:szCs w:val="21"/>
                      <w:vertAlign w:val="superscript"/>
                    </w:rPr>
                    <w:t>-</w:t>
                  </w:r>
                  <w:r>
                    <w:rPr>
                      <w:szCs w:val="21"/>
                      <w:vertAlign w:val="superscript"/>
                    </w:rPr>
                    <w:t>6</w:t>
                  </w:r>
                </w:p>
              </w:tc>
              <w:tc>
                <w:tcPr>
                  <w:tcW w:w="1576" w:type="pct"/>
                  <w:vMerge w:val="continue"/>
                  <w:noWrap w:val="0"/>
                  <w:vAlign w:val="center"/>
                </w:tcPr>
                <w:p>
                  <w:pPr>
                    <w:pStyle w:val="2"/>
                    <w:spacing w:before="0" w:after="0" w:line="240" w:lineRule="auto"/>
                    <w:ind w:right="0"/>
                    <w:jc w:val="center"/>
                    <w:rPr>
                      <w:sz w:val="21"/>
                      <w:szCs w:val="21"/>
                    </w:rPr>
                  </w:pPr>
                </w:p>
              </w:tc>
              <w:tc>
                <w:tcPr>
                  <w:tcW w:w="833" w:type="pct"/>
                  <w:noWrap w:val="0"/>
                  <w:vAlign w:val="center"/>
                </w:tcPr>
                <w:p>
                  <w:pPr>
                    <w:pStyle w:val="2"/>
                    <w:spacing w:before="0" w:after="0" w:line="240" w:lineRule="auto"/>
                    <w:ind w:right="0"/>
                    <w:jc w:val="center"/>
                    <w:rPr>
                      <w:sz w:val="21"/>
                      <w:szCs w:val="21"/>
                    </w:rPr>
                  </w:pPr>
                  <w:r>
                    <w:rPr>
                      <w:sz w:val="21"/>
                      <w:szCs w:val="21"/>
                    </w:rPr>
                    <w:t>6.1×10</w:t>
                  </w:r>
                  <w:r>
                    <w:rPr>
                      <w:sz w:val="21"/>
                      <w:szCs w:val="21"/>
                      <w:vertAlign w:val="superscript"/>
                    </w:rPr>
                    <w:t>-</w:t>
                  </w:r>
                  <w:r>
                    <w:rPr>
                      <w:szCs w:val="21"/>
                      <w:vertAlign w:val="superscript"/>
                    </w:rPr>
                    <w:t>7</w:t>
                  </w:r>
                </w:p>
              </w:tc>
              <w:tc>
                <w:tcPr>
                  <w:tcW w:w="832" w:type="pct"/>
                  <w:noWrap w:val="0"/>
                  <w:vAlign w:val="center"/>
                </w:tcPr>
                <w:p>
                  <w:pPr>
                    <w:pStyle w:val="2"/>
                    <w:spacing w:before="0" w:after="0" w:line="240" w:lineRule="auto"/>
                    <w:ind w:right="0"/>
                    <w:jc w:val="center"/>
                    <w:rPr>
                      <w:sz w:val="21"/>
                      <w:szCs w:val="21"/>
                    </w:rPr>
                  </w:pPr>
                  <w:r>
                    <w:rPr>
                      <w:sz w:val="21"/>
                      <w:szCs w:val="21"/>
                    </w:rPr>
                    <w:t>1.37×10</w:t>
                  </w:r>
                  <w:r>
                    <w:rPr>
                      <w:sz w:val="21"/>
                      <w:szCs w:val="21"/>
                      <w:vertAlign w:val="superscript"/>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5" w:type="pct"/>
                  <w:vMerge w:val="continue"/>
                  <w:noWrap w:val="0"/>
                  <w:vAlign w:val="center"/>
                </w:tcPr>
                <w:p>
                  <w:pPr>
                    <w:pStyle w:val="2"/>
                    <w:spacing w:before="0" w:after="0" w:line="240" w:lineRule="auto"/>
                    <w:ind w:right="0"/>
                    <w:jc w:val="center"/>
                    <w:rPr>
                      <w:sz w:val="21"/>
                      <w:szCs w:val="21"/>
                    </w:rPr>
                  </w:pPr>
                </w:p>
              </w:tc>
              <w:tc>
                <w:tcPr>
                  <w:tcW w:w="520" w:type="pct"/>
                  <w:noWrap w:val="0"/>
                  <w:vAlign w:val="center"/>
                </w:tcPr>
                <w:p>
                  <w:pPr>
                    <w:pStyle w:val="2"/>
                    <w:spacing w:before="0" w:after="0" w:line="240" w:lineRule="auto"/>
                    <w:ind w:right="0"/>
                    <w:jc w:val="center"/>
                    <w:rPr>
                      <w:sz w:val="21"/>
                      <w:szCs w:val="21"/>
                    </w:rPr>
                  </w:pPr>
                  <w:r>
                    <w:rPr>
                      <w:sz w:val="21"/>
                      <w:szCs w:val="21"/>
                    </w:rPr>
                    <w:t>H</w:t>
                  </w:r>
                  <w:r>
                    <w:rPr>
                      <w:sz w:val="21"/>
                      <w:szCs w:val="21"/>
                      <w:vertAlign w:val="subscript"/>
                    </w:rPr>
                    <w:t>2</w:t>
                  </w:r>
                  <w:r>
                    <w:rPr>
                      <w:sz w:val="21"/>
                      <w:szCs w:val="21"/>
                    </w:rPr>
                    <w:t>S</w:t>
                  </w:r>
                </w:p>
              </w:tc>
              <w:tc>
                <w:tcPr>
                  <w:tcW w:w="694" w:type="pct"/>
                  <w:noWrap w:val="0"/>
                  <w:vAlign w:val="center"/>
                </w:tcPr>
                <w:p>
                  <w:pPr>
                    <w:pStyle w:val="2"/>
                    <w:spacing w:before="0" w:after="0" w:line="240" w:lineRule="auto"/>
                    <w:ind w:right="0"/>
                    <w:jc w:val="center"/>
                    <w:rPr>
                      <w:sz w:val="21"/>
                      <w:szCs w:val="21"/>
                    </w:rPr>
                  </w:pPr>
                  <w:r>
                    <w:rPr>
                      <w:sz w:val="21"/>
                      <w:szCs w:val="21"/>
                    </w:rPr>
                    <w:t>0.0001</w:t>
                  </w:r>
                </w:p>
              </w:tc>
              <w:tc>
                <w:tcPr>
                  <w:tcW w:w="1576" w:type="pct"/>
                  <w:vMerge w:val="continue"/>
                  <w:noWrap w:val="0"/>
                  <w:vAlign w:val="center"/>
                </w:tcPr>
                <w:p>
                  <w:pPr>
                    <w:pStyle w:val="2"/>
                    <w:spacing w:before="0" w:after="0" w:line="240" w:lineRule="auto"/>
                    <w:ind w:right="0"/>
                    <w:jc w:val="center"/>
                    <w:rPr>
                      <w:sz w:val="21"/>
                      <w:szCs w:val="21"/>
                    </w:rPr>
                  </w:pPr>
                </w:p>
              </w:tc>
              <w:tc>
                <w:tcPr>
                  <w:tcW w:w="833" w:type="pct"/>
                  <w:noWrap w:val="0"/>
                  <w:vAlign w:val="center"/>
                </w:tcPr>
                <w:p>
                  <w:pPr>
                    <w:pStyle w:val="2"/>
                    <w:spacing w:before="0" w:after="0" w:line="240" w:lineRule="auto"/>
                    <w:ind w:right="0"/>
                    <w:jc w:val="center"/>
                    <w:rPr>
                      <w:sz w:val="21"/>
                      <w:szCs w:val="21"/>
                    </w:rPr>
                  </w:pPr>
                  <w:r>
                    <w:rPr>
                      <w:sz w:val="21"/>
                      <w:szCs w:val="21"/>
                    </w:rPr>
                    <w:t>0.00001</w:t>
                  </w:r>
                </w:p>
              </w:tc>
              <w:tc>
                <w:tcPr>
                  <w:tcW w:w="832" w:type="pct"/>
                  <w:noWrap w:val="0"/>
                  <w:vAlign w:val="center"/>
                </w:tcPr>
                <w:p>
                  <w:pPr>
                    <w:pStyle w:val="2"/>
                    <w:spacing w:before="0" w:after="0" w:line="240" w:lineRule="auto"/>
                    <w:ind w:right="0"/>
                    <w:jc w:val="center"/>
                    <w:rPr>
                      <w:sz w:val="21"/>
                      <w:szCs w:val="21"/>
                    </w:rPr>
                  </w:pPr>
                  <w:r>
                    <w:rPr>
                      <w:sz w:val="21"/>
                      <w:szCs w:val="21"/>
                    </w:rPr>
                    <w:t>1.2×10</w:t>
                  </w:r>
                  <w:r>
                    <w:rPr>
                      <w:sz w:val="21"/>
                      <w:szCs w:val="21"/>
                      <w:vertAlign w:val="superscript"/>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5" w:type="pct"/>
                  <w:vMerge w:val="restart"/>
                  <w:noWrap w:val="0"/>
                  <w:vAlign w:val="center"/>
                </w:tcPr>
                <w:p>
                  <w:pPr>
                    <w:pStyle w:val="2"/>
                    <w:spacing w:before="0" w:after="0" w:line="240" w:lineRule="auto"/>
                    <w:ind w:right="0"/>
                    <w:jc w:val="center"/>
                    <w:rPr>
                      <w:rFonts w:eastAsia="等线"/>
                      <w:sz w:val="21"/>
                      <w:szCs w:val="21"/>
                    </w:rPr>
                  </w:pPr>
                  <w:r>
                    <w:rPr>
                      <w:rFonts w:eastAsia="等线"/>
                      <w:sz w:val="21"/>
                      <w:szCs w:val="21"/>
                    </w:rPr>
                    <w:t>合计</w:t>
                  </w:r>
                </w:p>
              </w:tc>
              <w:tc>
                <w:tcPr>
                  <w:tcW w:w="520" w:type="pct"/>
                  <w:noWrap w:val="0"/>
                  <w:vAlign w:val="center"/>
                </w:tcPr>
                <w:p>
                  <w:pPr>
                    <w:pStyle w:val="2"/>
                    <w:spacing w:before="0" w:after="0" w:line="240" w:lineRule="auto"/>
                    <w:ind w:right="0"/>
                    <w:jc w:val="center"/>
                    <w:rPr>
                      <w:rFonts w:eastAsia="等线"/>
                      <w:sz w:val="21"/>
                      <w:szCs w:val="21"/>
                    </w:rPr>
                  </w:pPr>
                  <w:r>
                    <w:rPr>
                      <w:sz w:val="21"/>
                      <w:szCs w:val="21"/>
                    </w:rPr>
                    <w:t>NH</w:t>
                  </w:r>
                  <w:r>
                    <w:rPr>
                      <w:sz w:val="21"/>
                      <w:szCs w:val="21"/>
                      <w:vertAlign w:val="subscript"/>
                    </w:rPr>
                    <w:t>3</w:t>
                  </w:r>
                </w:p>
              </w:tc>
              <w:tc>
                <w:tcPr>
                  <w:tcW w:w="694" w:type="pct"/>
                  <w:noWrap w:val="0"/>
                  <w:vAlign w:val="center"/>
                </w:tcPr>
                <w:p>
                  <w:pPr>
                    <w:pStyle w:val="2"/>
                    <w:spacing w:before="0" w:after="0" w:line="240" w:lineRule="auto"/>
                    <w:ind w:right="0"/>
                    <w:jc w:val="center"/>
                    <w:rPr>
                      <w:rFonts w:eastAsia="等线"/>
                      <w:sz w:val="21"/>
                      <w:szCs w:val="21"/>
                    </w:rPr>
                  </w:pPr>
                  <w:r>
                    <w:rPr>
                      <w:rFonts w:eastAsia="等线"/>
                      <w:sz w:val="21"/>
                      <w:szCs w:val="21"/>
                    </w:rPr>
                    <w:t>0.0013</w:t>
                  </w:r>
                </w:p>
              </w:tc>
              <w:tc>
                <w:tcPr>
                  <w:tcW w:w="1576" w:type="pct"/>
                  <w:vMerge w:val="continue"/>
                  <w:noWrap w:val="0"/>
                  <w:vAlign w:val="center"/>
                </w:tcPr>
                <w:p>
                  <w:pPr>
                    <w:pStyle w:val="2"/>
                    <w:spacing w:before="0" w:after="0" w:line="240" w:lineRule="auto"/>
                    <w:ind w:right="0"/>
                    <w:jc w:val="center"/>
                    <w:rPr>
                      <w:rFonts w:eastAsia="等线"/>
                      <w:sz w:val="21"/>
                      <w:szCs w:val="21"/>
                    </w:rPr>
                  </w:pPr>
                </w:p>
              </w:tc>
              <w:tc>
                <w:tcPr>
                  <w:tcW w:w="833" w:type="pct"/>
                  <w:noWrap w:val="0"/>
                  <w:vAlign w:val="center"/>
                </w:tcPr>
                <w:p>
                  <w:pPr>
                    <w:pStyle w:val="2"/>
                    <w:spacing w:before="0" w:after="0" w:line="240" w:lineRule="auto"/>
                    <w:ind w:right="0"/>
                    <w:jc w:val="center"/>
                    <w:rPr>
                      <w:rFonts w:eastAsia="等线"/>
                      <w:sz w:val="21"/>
                      <w:szCs w:val="21"/>
                    </w:rPr>
                  </w:pPr>
                  <w:r>
                    <w:rPr>
                      <w:rFonts w:eastAsia="等线"/>
                      <w:sz w:val="21"/>
                      <w:szCs w:val="21"/>
                    </w:rPr>
                    <w:t>0.001101</w:t>
                  </w:r>
                </w:p>
              </w:tc>
              <w:tc>
                <w:tcPr>
                  <w:tcW w:w="832" w:type="pct"/>
                  <w:noWrap w:val="0"/>
                  <w:vAlign w:val="center"/>
                </w:tcPr>
                <w:p>
                  <w:pPr>
                    <w:pStyle w:val="2"/>
                    <w:spacing w:before="0" w:after="0" w:line="240" w:lineRule="auto"/>
                    <w:ind w:right="0"/>
                    <w:jc w:val="center"/>
                    <w:rPr>
                      <w:rFonts w:eastAsia="等线"/>
                      <w:sz w:val="21"/>
                      <w:szCs w:val="21"/>
                    </w:rPr>
                  </w:pPr>
                  <w:r>
                    <w:rPr>
                      <w:rFonts w:eastAsia="等线"/>
                      <w:sz w:val="21"/>
                      <w:szCs w:val="21"/>
                    </w:rPr>
                    <w:t>0.000057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5" w:type="pct"/>
                  <w:vMerge w:val="continue"/>
                  <w:noWrap w:val="0"/>
                  <w:vAlign w:val="center"/>
                </w:tcPr>
                <w:p>
                  <w:pPr>
                    <w:pStyle w:val="2"/>
                    <w:spacing w:before="0" w:after="0" w:line="240" w:lineRule="auto"/>
                    <w:ind w:right="0"/>
                    <w:jc w:val="center"/>
                    <w:rPr>
                      <w:rFonts w:eastAsia="等线"/>
                      <w:sz w:val="21"/>
                      <w:szCs w:val="21"/>
                    </w:rPr>
                  </w:pPr>
                </w:p>
              </w:tc>
              <w:tc>
                <w:tcPr>
                  <w:tcW w:w="520" w:type="pct"/>
                  <w:noWrap w:val="0"/>
                  <w:vAlign w:val="center"/>
                </w:tcPr>
                <w:p>
                  <w:pPr>
                    <w:pStyle w:val="2"/>
                    <w:spacing w:before="0" w:after="0" w:line="240" w:lineRule="auto"/>
                    <w:ind w:right="0"/>
                    <w:jc w:val="center"/>
                    <w:rPr>
                      <w:rFonts w:eastAsia="等线"/>
                      <w:sz w:val="21"/>
                      <w:szCs w:val="21"/>
                    </w:rPr>
                  </w:pPr>
                  <w:r>
                    <w:rPr>
                      <w:sz w:val="21"/>
                      <w:szCs w:val="21"/>
                    </w:rPr>
                    <w:t>H</w:t>
                  </w:r>
                  <w:r>
                    <w:rPr>
                      <w:sz w:val="21"/>
                      <w:szCs w:val="21"/>
                      <w:vertAlign w:val="subscript"/>
                    </w:rPr>
                    <w:t>2</w:t>
                  </w:r>
                  <w:r>
                    <w:rPr>
                      <w:sz w:val="21"/>
                      <w:szCs w:val="21"/>
                    </w:rPr>
                    <w:t>S</w:t>
                  </w:r>
                </w:p>
              </w:tc>
              <w:tc>
                <w:tcPr>
                  <w:tcW w:w="694" w:type="pct"/>
                  <w:noWrap w:val="0"/>
                  <w:vAlign w:val="center"/>
                </w:tcPr>
                <w:p>
                  <w:pPr>
                    <w:pStyle w:val="2"/>
                    <w:spacing w:before="0" w:after="0" w:line="240" w:lineRule="auto"/>
                    <w:ind w:right="0"/>
                    <w:jc w:val="center"/>
                    <w:rPr>
                      <w:rFonts w:eastAsia="等线"/>
                      <w:sz w:val="21"/>
                      <w:szCs w:val="21"/>
                    </w:rPr>
                  </w:pPr>
                  <w:r>
                    <w:rPr>
                      <w:rFonts w:eastAsia="等线"/>
                      <w:sz w:val="21"/>
                      <w:szCs w:val="21"/>
                    </w:rPr>
                    <w:t>0.0113</w:t>
                  </w:r>
                </w:p>
              </w:tc>
              <w:tc>
                <w:tcPr>
                  <w:tcW w:w="1576" w:type="pct"/>
                  <w:vMerge w:val="continue"/>
                  <w:noWrap w:val="0"/>
                  <w:vAlign w:val="center"/>
                </w:tcPr>
                <w:p>
                  <w:pPr>
                    <w:pStyle w:val="2"/>
                    <w:spacing w:before="0" w:after="0" w:line="240" w:lineRule="auto"/>
                    <w:ind w:right="0"/>
                    <w:jc w:val="center"/>
                    <w:rPr>
                      <w:rFonts w:eastAsia="等线"/>
                      <w:sz w:val="21"/>
                      <w:szCs w:val="21"/>
                    </w:rPr>
                  </w:pPr>
                </w:p>
              </w:tc>
              <w:tc>
                <w:tcPr>
                  <w:tcW w:w="833" w:type="pct"/>
                  <w:noWrap w:val="0"/>
                  <w:vAlign w:val="center"/>
                </w:tcPr>
                <w:p>
                  <w:pPr>
                    <w:pStyle w:val="2"/>
                    <w:spacing w:before="0" w:after="0" w:line="240" w:lineRule="auto"/>
                    <w:ind w:right="0"/>
                    <w:jc w:val="center"/>
                    <w:rPr>
                      <w:rFonts w:eastAsia="等线"/>
                      <w:sz w:val="21"/>
                      <w:szCs w:val="21"/>
                    </w:rPr>
                  </w:pPr>
                  <w:r>
                    <w:rPr>
                      <w:rFonts w:eastAsia="等线"/>
                      <w:sz w:val="21"/>
                      <w:szCs w:val="21"/>
                    </w:rPr>
                    <w:t>0.00901</w:t>
                  </w:r>
                </w:p>
              </w:tc>
              <w:tc>
                <w:tcPr>
                  <w:tcW w:w="832" w:type="pct"/>
                  <w:noWrap w:val="0"/>
                  <w:vAlign w:val="center"/>
                </w:tcPr>
                <w:p>
                  <w:pPr>
                    <w:pStyle w:val="2"/>
                    <w:spacing w:before="0" w:after="0" w:line="240" w:lineRule="auto"/>
                    <w:ind w:right="0"/>
                    <w:jc w:val="center"/>
                    <w:rPr>
                      <w:rFonts w:eastAsia="等线"/>
                      <w:sz w:val="21"/>
                      <w:szCs w:val="21"/>
                    </w:rPr>
                  </w:pPr>
                  <w:r>
                    <w:rPr>
                      <w:rFonts w:eastAsia="等线"/>
                      <w:sz w:val="21"/>
                      <w:szCs w:val="21"/>
                    </w:rPr>
                    <w:t>0.00051</w:t>
                  </w:r>
                </w:p>
              </w:tc>
            </w:tr>
          </w:tbl>
          <w:p>
            <w:pPr>
              <w:spacing w:before="120" w:beforeLines="50" w:line="360" w:lineRule="auto"/>
              <w:ind w:firstLine="480" w:firstLineChars="200"/>
              <w:rPr>
                <w:sz w:val="24"/>
              </w:rPr>
            </w:pPr>
            <w:r>
              <w:rPr>
                <w:sz w:val="24"/>
              </w:rPr>
              <w:t>本项目污水处理厂营运期恶臭收集效率大于90%，仍有少部分臭气无组织排放，环评要求建设单位须采取以下防治措施：</w:t>
            </w:r>
          </w:p>
          <w:p>
            <w:pPr>
              <w:spacing w:line="360" w:lineRule="auto"/>
              <w:ind w:firstLine="480" w:firstLineChars="200"/>
              <w:rPr>
                <w:sz w:val="24"/>
              </w:rPr>
            </w:pPr>
            <w:r>
              <w:rPr>
                <w:sz w:val="24"/>
              </w:rPr>
              <w:t>A、控制恶臭散发</w:t>
            </w:r>
          </w:p>
          <w:p>
            <w:pPr>
              <w:spacing w:line="360" w:lineRule="auto"/>
              <w:ind w:firstLine="480" w:firstLineChars="200"/>
              <w:rPr>
                <w:sz w:val="24"/>
              </w:rPr>
            </w:pPr>
            <w:r>
              <w:rPr>
                <w:sz w:val="24"/>
              </w:rPr>
              <w:t>根据项目设计方案，污泥脱水车间设置机械排风设施，以清除臭味，改善环境；对厂内污泥储存料仓要用漂白粉液冲洗；栅渣、污泥及时外运，在厂区内喷洒除臭剂，减少恶臭的产生；运送污泥的车辆在驶离厂区前要做消毒处理，污泥运输车辆密闭，合理设计运输路线，沿途不经过周围中心城区及主要场镇居民区，同时要求避开运输高峰期，尽量减小臭气对运输线路附近大气环境的影响。</w:t>
            </w:r>
          </w:p>
          <w:p>
            <w:pPr>
              <w:spacing w:line="360" w:lineRule="auto"/>
              <w:ind w:firstLine="480" w:firstLineChars="200"/>
              <w:rPr>
                <w:sz w:val="24"/>
              </w:rPr>
            </w:pPr>
            <w:r>
              <w:rPr>
                <w:sz w:val="24"/>
              </w:rPr>
              <w:t>B、加强绿化</w:t>
            </w:r>
          </w:p>
          <w:p>
            <w:pPr>
              <w:spacing w:line="360" w:lineRule="auto"/>
              <w:ind w:firstLine="480" w:firstLineChars="200"/>
              <w:rPr>
                <w:sz w:val="24"/>
              </w:rPr>
            </w:pPr>
            <w:r>
              <w:rPr>
                <w:sz w:val="24"/>
              </w:rPr>
              <w:t>污水处理厂管理方应确保通风除臭装置正常运行；并在厂界周边尤其是靠近周边居民侧设置绿化带，以高大乔木和灌木相结合，组成防止恶臭的多层防护隔离带，控制恶臭气体散逸；以确保尽量降低恶臭污染的影响。</w:t>
            </w:r>
          </w:p>
          <w:p>
            <w:pPr>
              <w:spacing w:line="360" w:lineRule="auto"/>
              <w:ind w:firstLine="480" w:firstLineChars="200"/>
              <w:rPr>
                <w:sz w:val="24"/>
              </w:rPr>
            </w:pPr>
            <w:r>
              <w:rPr>
                <w:sz w:val="24"/>
              </w:rPr>
              <w:t>C、加强管理</w:t>
            </w:r>
          </w:p>
          <w:p>
            <w:pPr>
              <w:spacing w:line="360" w:lineRule="auto"/>
              <w:ind w:firstLine="480" w:firstLineChars="200"/>
              <w:rPr>
                <w:sz w:val="24"/>
              </w:rPr>
            </w:pPr>
            <w:r>
              <w:rPr>
                <w:sz w:val="24"/>
              </w:rPr>
              <w:t>污泥脱水后要及时清运减少污泥堆存，避免污泥的发酵；在各种池体停产修理时，池底积泥会裸露出来散发臭气，应采取及时清除积泥的措施来防止臭气的影响。</w:t>
            </w:r>
          </w:p>
          <w:p>
            <w:pPr>
              <w:spacing w:line="360" w:lineRule="auto"/>
              <w:ind w:firstLine="480" w:firstLineChars="200"/>
              <w:rPr>
                <w:sz w:val="24"/>
              </w:rPr>
            </w:pPr>
            <w:r>
              <w:rPr>
                <w:sz w:val="24"/>
              </w:rPr>
              <w:t>通过采取以上措施后，将有效降低恶臭对周围环境的影响。</w:t>
            </w:r>
          </w:p>
          <w:p>
            <w:pPr>
              <w:snapToGrid w:val="0"/>
              <w:spacing w:line="360" w:lineRule="auto"/>
              <w:ind w:firstLine="480" w:firstLineChars="200"/>
              <w:rPr>
                <w:sz w:val="24"/>
              </w:rPr>
            </w:pPr>
            <w:r>
              <w:rPr>
                <w:sz w:val="24"/>
              </w:rPr>
              <w:t>（2）备用柴油发电机燃油废气</w:t>
            </w:r>
          </w:p>
          <w:p>
            <w:pPr>
              <w:spacing w:line="360" w:lineRule="auto"/>
              <w:ind w:firstLine="480" w:firstLineChars="200"/>
              <w:rPr>
                <w:sz w:val="24"/>
              </w:rPr>
            </w:pPr>
            <w:r>
              <w:rPr>
                <w:sz w:val="24"/>
              </w:rPr>
              <w:t>项目新增1台100kw柴油发电机，作为应急/备用电源。柴油发电机在使用过程中会产生废气，与汽车尾气相似，其主要成分为CO、HC、NOx，发电机房采用机械送、排风的形式，发电机房内保持着良好的通风性，柴油发电机产生的废气经自带的消烟除尘装置处理后，经专用烟道高空排放。由于柴油发电机产生的废气量很小，采用上述措施后完全能够做到达标排放本发电机只有在停电时使用，备用发电机使用的频率很小，废气的排放间断性强，加上废气通过高空扩散后，浓度很小，对周围环境影响很小。</w:t>
            </w:r>
          </w:p>
          <w:p>
            <w:pPr>
              <w:spacing w:line="360" w:lineRule="auto"/>
              <w:ind w:firstLine="480" w:firstLineChars="200"/>
              <w:rPr>
                <w:sz w:val="24"/>
              </w:rPr>
            </w:pPr>
            <w:r>
              <w:rPr>
                <w:sz w:val="24"/>
              </w:rPr>
              <w:t>同时，环评建议项目使用0#柴油，0#柴油属于清洁能源，其燃烧产生的废气污染物较少，可进一步降低对外环境的不良影响。</w:t>
            </w:r>
          </w:p>
          <w:p>
            <w:pPr>
              <w:spacing w:line="360" w:lineRule="auto"/>
              <w:ind w:firstLine="482" w:firstLineChars="200"/>
              <w:rPr>
                <w:b/>
                <w:bCs/>
                <w:sz w:val="24"/>
              </w:rPr>
            </w:pPr>
            <w:r>
              <w:rPr>
                <w:b/>
                <w:bCs/>
                <w:sz w:val="24"/>
              </w:rPr>
              <w:t>2、废气产排放情况汇总</w:t>
            </w:r>
          </w:p>
          <w:p>
            <w:pPr>
              <w:spacing w:line="360" w:lineRule="auto"/>
              <w:ind w:firstLine="480" w:firstLineChars="200"/>
              <w:rPr>
                <w:sz w:val="24"/>
              </w:rPr>
            </w:pPr>
            <w:r>
              <w:rPr>
                <w:sz w:val="24"/>
              </w:rPr>
              <w:t>综上，本项目废气产排污情况见下表所示。</w:t>
            </w:r>
          </w:p>
          <w:p>
            <w:pPr>
              <w:spacing w:line="276" w:lineRule="auto"/>
              <w:jc w:val="center"/>
              <w:rPr>
                <w:rFonts w:eastAsia="黑体"/>
                <w:sz w:val="24"/>
              </w:rPr>
            </w:pPr>
            <w:r>
              <w:rPr>
                <w:rFonts w:eastAsia="黑体"/>
                <w:sz w:val="24"/>
              </w:rPr>
              <w:t>表4-7    本项目废气污染物有组织产生和排放情况一览表</w:t>
            </w:r>
          </w:p>
          <w:tbl>
            <w:tblPr>
              <w:tblStyle w:val="32"/>
              <w:tblW w:w="8170" w:type="dxa"/>
              <w:tblInd w:w="1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61"/>
              <w:gridCol w:w="680"/>
              <w:gridCol w:w="562"/>
              <w:gridCol w:w="737"/>
              <w:gridCol w:w="813"/>
              <w:gridCol w:w="885"/>
              <w:gridCol w:w="1322"/>
              <w:gridCol w:w="802"/>
              <w:gridCol w:w="1015"/>
              <w:gridCol w:w="7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75" w:type="dxa"/>
                  <w:vMerge w:val="restart"/>
                  <w:shd w:val="clear" w:color="auto" w:fill="CCFFFF"/>
                  <w:noWrap w:val="0"/>
                  <w:vAlign w:val="center"/>
                </w:tcPr>
                <w:p>
                  <w:pPr>
                    <w:pStyle w:val="2"/>
                    <w:spacing w:before="0" w:after="0" w:line="240" w:lineRule="auto"/>
                    <w:ind w:right="0"/>
                    <w:jc w:val="center"/>
                    <w:rPr>
                      <w:b/>
                      <w:bCs/>
                      <w:sz w:val="21"/>
                      <w:szCs w:val="21"/>
                    </w:rPr>
                  </w:pPr>
                  <w:r>
                    <w:rPr>
                      <w:b/>
                      <w:bCs/>
                      <w:sz w:val="21"/>
                      <w:szCs w:val="21"/>
                    </w:rPr>
                    <w:t>产排污环节</w:t>
                  </w:r>
                </w:p>
              </w:tc>
              <w:tc>
                <w:tcPr>
                  <w:tcW w:w="692" w:type="dxa"/>
                  <w:vMerge w:val="restart"/>
                  <w:shd w:val="clear" w:color="auto" w:fill="CCFFFF"/>
                  <w:noWrap w:val="0"/>
                  <w:vAlign w:val="center"/>
                </w:tcPr>
                <w:p>
                  <w:pPr>
                    <w:pStyle w:val="2"/>
                    <w:spacing w:before="0" w:after="0" w:line="240" w:lineRule="auto"/>
                    <w:ind w:right="0"/>
                    <w:jc w:val="center"/>
                    <w:rPr>
                      <w:b/>
                      <w:bCs/>
                      <w:sz w:val="21"/>
                      <w:szCs w:val="21"/>
                    </w:rPr>
                  </w:pPr>
                  <w:r>
                    <w:rPr>
                      <w:b/>
                      <w:bCs/>
                      <w:sz w:val="21"/>
                      <w:szCs w:val="21"/>
                    </w:rPr>
                    <w:t>污染物种类</w:t>
                  </w:r>
                </w:p>
              </w:tc>
              <w:tc>
                <w:tcPr>
                  <w:tcW w:w="576" w:type="dxa"/>
                  <w:vMerge w:val="restart"/>
                  <w:shd w:val="clear" w:color="auto" w:fill="CCFFFF"/>
                  <w:noWrap w:val="0"/>
                  <w:vAlign w:val="center"/>
                </w:tcPr>
                <w:p>
                  <w:pPr>
                    <w:pStyle w:val="2"/>
                    <w:spacing w:before="0" w:after="0" w:line="240" w:lineRule="auto"/>
                    <w:ind w:right="0"/>
                    <w:jc w:val="center"/>
                    <w:rPr>
                      <w:b/>
                      <w:bCs/>
                      <w:sz w:val="21"/>
                      <w:szCs w:val="21"/>
                    </w:rPr>
                  </w:pPr>
                  <w:r>
                    <w:rPr>
                      <w:b/>
                      <w:bCs/>
                      <w:sz w:val="21"/>
                      <w:szCs w:val="21"/>
                    </w:rPr>
                    <w:t>排放形式</w:t>
                  </w:r>
                </w:p>
              </w:tc>
              <w:tc>
                <w:tcPr>
                  <w:tcW w:w="750" w:type="dxa"/>
                  <w:vMerge w:val="restart"/>
                  <w:shd w:val="clear" w:color="auto" w:fill="CCFFFF"/>
                  <w:noWrap w:val="0"/>
                  <w:vAlign w:val="center"/>
                </w:tcPr>
                <w:p>
                  <w:pPr>
                    <w:pStyle w:val="2"/>
                    <w:spacing w:before="0" w:after="0" w:line="240" w:lineRule="auto"/>
                    <w:ind w:right="0"/>
                    <w:jc w:val="center"/>
                    <w:rPr>
                      <w:b/>
                      <w:bCs/>
                      <w:sz w:val="21"/>
                      <w:szCs w:val="21"/>
                    </w:rPr>
                  </w:pPr>
                  <w:r>
                    <w:rPr>
                      <w:b/>
                      <w:bCs/>
                      <w:sz w:val="21"/>
                      <w:szCs w:val="21"/>
                    </w:rPr>
                    <w:t>风量</w:t>
                  </w:r>
                </w:p>
                <w:p>
                  <w:pPr>
                    <w:pStyle w:val="2"/>
                    <w:spacing w:before="0" w:after="0" w:line="240" w:lineRule="auto"/>
                    <w:ind w:right="0"/>
                    <w:jc w:val="center"/>
                    <w:rPr>
                      <w:b/>
                      <w:bCs/>
                      <w:sz w:val="21"/>
                      <w:szCs w:val="21"/>
                    </w:rPr>
                  </w:pPr>
                  <w:r>
                    <w:rPr>
                      <w:b/>
                      <w:bCs/>
                      <w:sz w:val="21"/>
                      <w:szCs w:val="21"/>
                    </w:rPr>
                    <w:t>m</w:t>
                  </w:r>
                  <w:r>
                    <w:rPr>
                      <w:b/>
                      <w:bCs/>
                      <w:sz w:val="21"/>
                      <w:szCs w:val="21"/>
                      <w:vertAlign w:val="superscript"/>
                    </w:rPr>
                    <w:t>3</w:t>
                  </w:r>
                  <w:r>
                    <w:rPr>
                      <w:b/>
                      <w:bCs/>
                      <w:sz w:val="21"/>
                      <w:szCs w:val="21"/>
                    </w:rPr>
                    <w:t>/h</w:t>
                  </w:r>
                </w:p>
              </w:tc>
              <w:tc>
                <w:tcPr>
                  <w:tcW w:w="1715" w:type="dxa"/>
                  <w:gridSpan w:val="2"/>
                  <w:shd w:val="clear" w:color="auto" w:fill="CCFFFF"/>
                  <w:noWrap w:val="0"/>
                  <w:vAlign w:val="center"/>
                </w:tcPr>
                <w:p>
                  <w:pPr>
                    <w:pStyle w:val="2"/>
                    <w:spacing w:before="0" w:after="0" w:line="240" w:lineRule="auto"/>
                    <w:ind w:right="0"/>
                    <w:jc w:val="center"/>
                    <w:rPr>
                      <w:b/>
                      <w:bCs/>
                      <w:sz w:val="21"/>
                      <w:szCs w:val="21"/>
                    </w:rPr>
                  </w:pPr>
                  <w:r>
                    <w:rPr>
                      <w:b/>
                      <w:bCs/>
                      <w:sz w:val="21"/>
                      <w:szCs w:val="21"/>
                    </w:rPr>
                    <w:t>污染物产生情况</w:t>
                  </w:r>
                </w:p>
              </w:tc>
              <w:tc>
                <w:tcPr>
                  <w:tcW w:w="1333" w:type="dxa"/>
                  <w:vMerge w:val="restart"/>
                  <w:shd w:val="clear" w:color="auto" w:fill="CCFFFF"/>
                  <w:noWrap w:val="0"/>
                  <w:vAlign w:val="center"/>
                </w:tcPr>
                <w:p>
                  <w:pPr>
                    <w:pStyle w:val="2"/>
                    <w:spacing w:before="0" w:after="0" w:line="240" w:lineRule="auto"/>
                    <w:ind w:right="0"/>
                    <w:jc w:val="center"/>
                    <w:rPr>
                      <w:b/>
                      <w:bCs/>
                      <w:sz w:val="21"/>
                      <w:szCs w:val="21"/>
                    </w:rPr>
                  </w:pPr>
                  <w:r>
                    <w:rPr>
                      <w:b/>
                      <w:bCs/>
                      <w:sz w:val="21"/>
                      <w:szCs w:val="21"/>
                    </w:rPr>
                    <w:t>治理措施</w:t>
                  </w:r>
                </w:p>
              </w:tc>
              <w:tc>
                <w:tcPr>
                  <w:tcW w:w="815" w:type="dxa"/>
                  <w:vMerge w:val="restart"/>
                  <w:shd w:val="clear" w:color="auto" w:fill="CCFFFF"/>
                  <w:noWrap w:val="0"/>
                  <w:vAlign w:val="center"/>
                </w:tcPr>
                <w:p>
                  <w:pPr>
                    <w:pStyle w:val="2"/>
                    <w:spacing w:before="0" w:after="0" w:line="240" w:lineRule="auto"/>
                    <w:ind w:right="0"/>
                    <w:jc w:val="center"/>
                    <w:rPr>
                      <w:b/>
                      <w:bCs/>
                      <w:sz w:val="21"/>
                      <w:szCs w:val="21"/>
                    </w:rPr>
                  </w:pPr>
                  <w:r>
                    <w:rPr>
                      <w:b/>
                      <w:bCs/>
                      <w:sz w:val="21"/>
                      <w:szCs w:val="21"/>
                    </w:rPr>
                    <w:t>收集/去除率%</w:t>
                  </w:r>
                </w:p>
              </w:tc>
              <w:tc>
                <w:tcPr>
                  <w:tcW w:w="1714" w:type="dxa"/>
                  <w:gridSpan w:val="2"/>
                  <w:shd w:val="clear" w:color="auto" w:fill="CCFFFF"/>
                  <w:noWrap w:val="0"/>
                  <w:vAlign w:val="center"/>
                </w:tcPr>
                <w:p>
                  <w:pPr>
                    <w:pStyle w:val="2"/>
                    <w:spacing w:before="0" w:after="0" w:line="240" w:lineRule="auto"/>
                    <w:ind w:right="0"/>
                    <w:jc w:val="center"/>
                    <w:rPr>
                      <w:b/>
                      <w:bCs/>
                      <w:sz w:val="21"/>
                      <w:szCs w:val="21"/>
                    </w:rPr>
                  </w:pPr>
                  <w:r>
                    <w:rPr>
                      <w:b/>
                      <w:bCs/>
                      <w:sz w:val="21"/>
                      <w:szCs w:val="21"/>
                    </w:rPr>
                    <w:t>污染物排放情况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75" w:type="dxa"/>
                  <w:vMerge w:val="continue"/>
                  <w:shd w:val="clear" w:color="auto" w:fill="CCFFFF"/>
                  <w:noWrap w:val="0"/>
                  <w:vAlign w:val="center"/>
                </w:tcPr>
                <w:p>
                  <w:pPr>
                    <w:pStyle w:val="2"/>
                    <w:spacing w:before="0" w:after="0" w:line="240" w:lineRule="auto"/>
                    <w:ind w:right="0"/>
                    <w:jc w:val="center"/>
                    <w:rPr>
                      <w:b/>
                      <w:bCs/>
                      <w:sz w:val="21"/>
                      <w:szCs w:val="21"/>
                    </w:rPr>
                  </w:pPr>
                </w:p>
              </w:tc>
              <w:tc>
                <w:tcPr>
                  <w:tcW w:w="692" w:type="dxa"/>
                  <w:vMerge w:val="continue"/>
                  <w:shd w:val="clear" w:color="auto" w:fill="CCFFFF"/>
                  <w:noWrap w:val="0"/>
                  <w:vAlign w:val="center"/>
                </w:tcPr>
                <w:p>
                  <w:pPr>
                    <w:pStyle w:val="2"/>
                    <w:spacing w:before="0" w:after="0" w:line="240" w:lineRule="auto"/>
                    <w:ind w:right="0"/>
                    <w:jc w:val="center"/>
                    <w:rPr>
                      <w:b/>
                      <w:bCs/>
                      <w:sz w:val="21"/>
                      <w:szCs w:val="21"/>
                    </w:rPr>
                  </w:pPr>
                </w:p>
              </w:tc>
              <w:tc>
                <w:tcPr>
                  <w:tcW w:w="576" w:type="dxa"/>
                  <w:vMerge w:val="continue"/>
                  <w:shd w:val="clear" w:color="auto" w:fill="CCFFFF"/>
                  <w:noWrap w:val="0"/>
                  <w:vAlign w:val="center"/>
                </w:tcPr>
                <w:p>
                  <w:pPr>
                    <w:pStyle w:val="2"/>
                    <w:spacing w:before="0" w:after="0" w:line="240" w:lineRule="auto"/>
                    <w:ind w:right="0"/>
                    <w:jc w:val="center"/>
                    <w:rPr>
                      <w:b/>
                      <w:bCs/>
                      <w:sz w:val="21"/>
                      <w:szCs w:val="21"/>
                    </w:rPr>
                  </w:pPr>
                </w:p>
              </w:tc>
              <w:tc>
                <w:tcPr>
                  <w:tcW w:w="750" w:type="dxa"/>
                  <w:vMerge w:val="continue"/>
                  <w:shd w:val="clear" w:color="auto" w:fill="CCFFFF"/>
                  <w:noWrap w:val="0"/>
                  <w:vAlign w:val="center"/>
                </w:tcPr>
                <w:p>
                  <w:pPr>
                    <w:pStyle w:val="2"/>
                    <w:spacing w:before="0" w:after="0" w:line="240" w:lineRule="auto"/>
                    <w:ind w:right="0"/>
                    <w:jc w:val="center"/>
                    <w:rPr>
                      <w:b/>
                      <w:bCs/>
                      <w:sz w:val="21"/>
                      <w:szCs w:val="21"/>
                    </w:rPr>
                  </w:pPr>
                </w:p>
              </w:tc>
              <w:tc>
                <w:tcPr>
                  <w:tcW w:w="822" w:type="dxa"/>
                  <w:shd w:val="clear" w:color="auto" w:fill="CCFFFF"/>
                  <w:noWrap w:val="0"/>
                  <w:vAlign w:val="center"/>
                </w:tcPr>
                <w:p>
                  <w:pPr>
                    <w:autoSpaceDE w:val="0"/>
                    <w:autoSpaceDN w:val="0"/>
                    <w:adjustRightInd w:val="0"/>
                    <w:jc w:val="center"/>
                    <w:rPr>
                      <w:b/>
                      <w:bCs/>
                      <w:szCs w:val="21"/>
                    </w:rPr>
                  </w:pPr>
                  <w:r>
                    <w:rPr>
                      <w:b/>
                      <w:bCs/>
                      <w:kern w:val="0"/>
                      <w:szCs w:val="21"/>
                    </w:rPr>
                    <w:t>产生速率kg/h</w:t>
                  </w:r>
                </w:p>
              </w:tc>
              <w:tc>
                <w:tcPr>
                  <w:tcW w:w="893" w:type="dxa"/>
                  <w:shd w:val="clear" w:color="auto" w:fill="CCFFFF"/>
                  <w:noWrap w:val="0"/>
                  <w:vAlign w:val="center"/>
                </w:tcPr>
                <w:p>
                  <w:pPr>
                    <w:pStyle w:val="2"/>
                    <w:spacing w:before="0" w:after="0" w:line="240" w:lineRule="auto"/>
                    <w:ind w:right="0"/>
                    <w:jc w:val="center"/>
                    <w:rPr>
                      <w:b/>
                      <w:bCs/>
                      <w:sz w:val="21"/>
                      <w:szCs w:val="21"/>
                    </w:rPr>
                  </w:pPr>
                  <w:r>
                    <w:rPr>
                      <w:b/>
                      <w:bCs/>
                      <w:sz w:val="21"/>
                      <w:szCs w:val="21"/>
                    </w:rPr>
                    <w:t>产生量t/a</w:t>
                  </w:r>
                </w:p>
              </w:tc>
              <w:tc>
                <w:tcPr>
                  <w:tcW w:w="1333" w:type="dxa"/>
                  <w:vMerge w:val="continue"/>
                  <w:shd w:val="clear" w:color="auto" w:fill="CCFFFF"/>
                  <w:noWrap w:val="0"/>
                  <w:vAlign w:val="center"/>
                </w:tcPr>
                <w:p>
                  <w:pPr>
                    <w:pStyle w:val="2"/>
                    <w:spacing w:before="0" w:after="0" w:line="240" w:lineRule="auto"/>
                    <w:ind w:right="0"/>
                    <w:jc w:val="center"/>
                    <w:rPr>
                      <w:b/>
                      <w:bCs/>
                      <w:sz w:val="21"/>
                      <w:szCs w:val="21"/>
                    </w:rPr>
                  </w:pPr>
                </w:p>
              </w:tc>
              <w:tc>
                <w:tcPr>
                  <w:tcW w:w="815" w:type="dxa"/>
                  <w:vMerge w:val="continue"/>
                  <w:shd w:val="clear" w:color="auto" w:fill="CCFFFF"/>
                  <w:noWrap w:val="0"/>
                  <w:vAlign w:val="center"/>
                </w:tcPr>
                <w:p>
                  <w:pPr>
                    <w:pStyle w:val="2"/>
                    <w:spacing w:before="0" w:after="0" w:line="240" w:lineRule="auto"/>
                    <w:ind w:right="0"/>
                    <w:jc w:val="center"/>
                    <w:rPr>
                      <w:b/>
                      <w:bCs/>
                      <w:sz w:val="21"/>
                      <w:szCs w:val="21"/>
                    </w:rPr>
                  </w:pPr>
                </w:p>
              </w:tc>
              <w:tc>
                <w:tcPr>
                  <w:tcW w:w="1026" w:type="dxa"/>
                  <w:shd w:val="clear" w:color="auto" w:fill="CCFFFF"/>
                  <w:noWrap w:val="0"/>
                  <w:vAlign w:val="center"/>
                </w:tcPr>
                <w:p>
                  <w:pPr>
                    <w:pStyle w:val="2"/>
                    <w:spacing w:before="0" w:after="0" w:line="240" w:lineRule="auto"/>
                    <w:ind w:right="0"/>
                    <w:jc w:val="center"/>
                    <w:rPr>
                      <w:b/>
                      <w:bCs/>
                      <w:sz w:val="21"/>
                      <w:szCs w:val="21"/>
                    </w:rPr>
                  </w:pPr>
                  <w:r>
                    <w:rPr>
                      <w:b/>
                      <w:bCs/>
                      <w:sz w:val="21"/>
                      <w:szCs w:val="21"/>
                    </w:rPr>
                    <w:t>排放速率kg/h</w:t>
                  </w:r>
                </w:p>
              </w:tc>
              <w:tc>
                <w:tcPr>
                  <w:tcW w:w="688" w:type="dxa"/>
                  <w:shd w:val="clear" w:color="auto" w:fill="CCFFFF"/>
                  <w:noWrap w:val="0"/>
                  <w:vAlign w:val="center"/>
                </w:tcPr>
                <w:p>
                  <w:pPr>
                    <w:pStyle w:val="2"/>
                    <w:spacing w:before="0" w:after="0" w:line="240" w:lineRule="auto"/>
                    <w:ind w:right="0"/>
                    <w:jc w:val="center"/>
                    <w:rPr>
                      <w:b/>
                      <w:bCs/>
                      <w:sz w:val="21"/>
                      <w:szCs w:val="21"/>
                    </w:rPr>
                  </w:pPr>
                  <w:r>
                    <w:rPr>
                      <w:b/>
                      <w:bCs/>
                      <w:sz w:val="21"/>
                      <w:szCs w:val="21"/>
                    </w:rPr>
                    <w:t>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75" w:type="dxa"/>
                  <w:vMerge w:val="restart"/>
                  <w:noWrap w:val="0"/>
                  <w:vAlign w:val="center"/>
                </w:tcPr>
                <w:p>
                  <w:pPr>
                    <w:pStyle w:val="2"/>
                    <w:spacing w:before="0" w:after="0" w:line="240" w:lineRule="auto"/>
                    <w:ind w:right="0"/>
                    <w:jc w:val="center"/>
                    <w:rPr>
                      <w:sz w:val="21"/>
                      <w:szCs w:val="21"/>
                    </w:rPr>
                  </w:pPr>
                  <w:r>
                    <w:rPr>
                      <w:sz w:val="21"/>
                      <w:szCs w:val="21"/>
                    </w:rPr>
                    <w:t>污水处理厂恶臭</w:t>
                  </w:r>
                </w:p>
              </w:tc>
              <w:tc>
                <w:tcPr>
                  <w:tcW w:w="692" w:type="dxa"/>
                  <w:noWrap w:val="0"/>
                  <w:vAlign w:val="center"/>
                </w:tcPr>
                <w:p>
                  <w:pPr>
                    <w:pStyle w:val="2"/>
                    <w:spacing w:before="0" w:after="0" w:line="240" w:lineRule="auto"/>
                    <w:ind w:right="0"/>
                    <w:jc w:val="center"/>
                    <w:rPr>
                      <w:sz w:val="21"/>
                      <w:szCs w:val="21"/>
                      <w:vertAlign w:val="subscript"/>
                    </w:rPr>
                  </w:pPr>
                  <w:r>
                    <w:rPr>
                      <w:sz w:val="21"/>
                      <w:szCs w:val="21"/>
                    </w:rPr>
                    <w:t>NH</w:t>
                  </w:r>
                  <w:r>
                    <w:rPr>
                      <w:sz w:val="21"/>
                      <w:szCs w:val="21"/>
                      <w:vertAlign w:val="subscript"/>
                    </w:rPr>
                    <w:t>3</w:t>
                  </w:r>
                </w:p>
              </w:tc>
              <w:tc>
                <w:tcPr>
                  <w:tcW w:w="576" w:type="dxa"/>
                  <w:noWrap w:val="0"/>
                  <w:vAlign w:val="center"/>
                </w:tcPr>
                <w:p>
                  <w:pPr>
                    <w:pStyle w:val="2"/>
                    <w:spacing w:before="0" w:after="0" w:line="240" w:lineRule="auto"/>
                    <w:ind w:right="0"/>
                    <w:jc w:val="center"/>
                    <w:rPr>
                      <w:sz w:val="21"/>
                      <w:szCs w:val="21"/>
                    </w:rPr>
                  </w:pPr>
                  <w:r>
                    <w:rPr>
                      <w:sz w:val="21"/>
                      <w:szCs w:val="21"/>
                    </w:rPr>
                    <w:t>有组织</w:t>
                  </w:r>
                </w:p>
              </w:tc>
              <w:tc>
                <w:tcPr>
                  <w:tcW w:w="750" w:type="dxa"/>
                  <w:vMerge w:val="restart"/>
                  <w:noWrap w:val="0"/>
                  <w:vAlign w:val="center"/>
                </w:tcPr>
                <w:p>
                  <w:pPr>
                    <w:pStyle w:val="2"/>
                    <w:spacing w:before="0" w:after="0" w:line="240" w:lineRule="auto"/>
                    <w:ind w:right="0"/>
                    <w:jc w:val="center"/>
                    <w:rPr>
                      <w:sz w:val="21"/>
                      <w:szCs w:val="21"/>
                    </w:rPr>
                  </w:pPr>
                  <w:r>
                    <w:rPr>
                      <w:sz w:val="21"/>
                      <w:szCs w:val="21"/>
                    </w:rPr>
                    <w:t>2000</w:t>
                  </w:r>
                </w:p>
              </w:tc>
              <w:tc>
                <w:tcPr>
                  <w:tcW w:w="822" w:type="dxa"/>
                  <w:noWrap w:val="0"/>
                  <w:vAlign w:val="center"/>
                </w:tcPr>
                <w:p>
                  <w:pPr>
                    <w:pStyle w:val="2"/>
                    <w:spacing w:before="0" w:after="0" w:line="240" w:lineRule="auto"/>
                    <w:ind w:right="0"/>
                    <w:jc w:val="center"/>
                    <w:rPr>
                      <w:sz w:val="21"/>
                      <w:szCs w:val="21"/>
                    </w:rPr>
                  </w:pPr>
                  <w:r>
                    <w:rPr>
                      <w:sz w:val="21"/>
                      <w:szCs w:val="21"/>
                    </w:rPr>
                    <w:t>0.0742</w:t>
                  </w:r>
                </w:p>
              </w:tc>
              <w:tc>
                <w:tcPr>
                  <w:tcW w:w="893" w:type="dxa"/>
                  <w:noWrap w:val="0"/>
                  <w:vAlign w:val="center"/>
                </w:tcPr>
                <w:p>
                  <w:pPr>
                    <w:pStyle w:val="2"/>
                    <w:spacing w:before="0" w:after="0" w:line="240" w:lineRule="auto"/>
                    <w:ind w:right="0"/>
                    <w:jc w:val="center"/>
                    <w:rPr>
                      <w:sz w:val="21"/>
                      <w:szCs w:val="21"/>
                    </w:rPr>
                  </w:pPr>
                  <w:r>
                    <w:rPr>
                      <w:sz w:val="21"/>
                      <w:szCs w:val="21"/>
                    </w:rPr>
                    <w:t>0.00023</w:t>
                  </w:r>
                </w:p>
              </w:tc>
              <w:tc>
                <w:tcPr>
                  <w:tcW w:w="1333" w:type="dxa"/>
                  <w:vMerge w:val="restart"/>
                  <w:noWrap w:val="0"/>
                  <w:vAlign w:val="center"/>
                </w:tcPr>
                <w:p>
                  <w:pPr>
                    <w:pStyle w:val="2"/>
                    <w:spacing w:before="0" w:after="0" w:line="240" w:lineRule="auto"/>
                    <w:ind w:right="0"/>
                    <w:jc w:val="center"/>
                    <w:rPr>
                      <w:sz w:val="21"/>
                      <w:szCs w:val="21"/>
                    </w:rPr>
                  </w:pPr>
                  <w:r>
                    <w:rPr>
                      <w:sz w:val="21"/>
                      <w:szCs w:val="21"/>
                    </w:rPr>
                    <w:t>加盖密闭微负压收集（收集效率90%）+喷淋塔（碱液）处理（处理效率75%）,最终通过风管引至15m高排气筒（DA001）排放</w:t>
                  </w:r>
                </w:p>
              </w:tc>
              <w:tc>
                <w:tcPr>
                  <w:tcW w:w="815" w:type="dxa"/>
                  <w:noWrap w:val="0"/>
                  <w:vAlign w:val="center"/>
                </w:tcPr>
                <w:p>
                  <w:pPr>
                    <w:pStyle w:val="2"/>
                    <w:spacing w:before="0" w:after="0" w:line="240" w:lineRule="auto"/>
                    <w:ind w:right="0"/>
                    <w:jc w:val="center"/>
                    <w:rPr>
                      <w:sz w:val="21"/>
                      <w:szCs w:val="21"/>
                    </w:rPr>
                  </w:pPr>
                  <w:r>
                    <w:rPr>
                      <w:sz w:val="21"/>
                      <w:szCs w:val="21"/>
                    </w:rPr>
                    <w:t>90/75</w:t>
                  </w:r>
                </w:p>
              </w:tc>
              <w:tc>
                <w:tcPr>
                  <w:tcW w:w="1026" w:type="dxa"/>
                  <w:noWrap w:val="0"/>
                  <w:vAlign w:val="center"/>
                </w:tcPr>
                <w:p>
                  <w:pPr>
                    <w:pStyle w:val="2"/>
                    <w:spacing w:before="0" w:after="0" w:line="240" w:lineRule="auto"/>
                    <w:ind w:right="0"/>
                    <w:jc w:val="center"/>
                    <w:rPr>
                      <w:sz w:val="21"/>
                      <w:szCs w:val="21"/>
                    </w:rPr>
                  </w:pPr>
                  <w:r>
                    <w:rPr>
                      <w:sz w:val="21"/>
                      <w:szCs w:val="21"/>
                    </w:rPr>
                    <w:t>6.51×10</w:t>
                  </w:r>
                  <w:r>
                    <w:rPr>
                      <w:sz w:val="21"/>
                      <w:szCs w:val="21"/>
                      <w:vertAlign w:val="superscript"/>
                    </w:rPr>
                    <w:t>-6</w:t>
                  </w:r>
                </w:p>
              </w:tc>
              <w:tc>
                <w:tcPr>
                  <w:tcW w:w="688" w:type="dxa"/>
                  <w:noWrap w:val="0"/>
                  <w:vAlign w:val="center"/>
                </w:tcPr>
                <w:p>
                  <w:pPr>
                    <w:pStyle w:val="2"/>
                    <w:spacing w:before="0" w:after="0" w:line="240" w:lineRule="auto"/>
                    <w:ind w:right="0"/>
                    <w:jc w:val="center"/>
                    <w:rPr>
                      <w:sz w:val="21"/>
                      <w:szCs w:val="21"/>
                    </w:rPr>
                  </w:pPr>
                  <w:r>
                    <w:rPr>
                      <w:sz w:val="21"/>
                      <w:szCs w:val="21"/>
                    </w:rPr>
                    <w:t>0.000057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75" w:type="dxa"/>
                  <w:vMerge w:val="continue"/>
                  <w:noWrap w:val="0"/>
                  <w:vAlign w:val="center"/>
                </w:tcPr>
                <w:p>
                  <w:pPr>
                    <w:pStyle w:val="2"/>
                    <w:spacing w:before="0" w:after="0" w:line="240" w:lineRule="auto"/>
                    <w:ind w:right="0"/>
                    <w:jc w:val="center"/>
                    <w:rPr>
                      <w:sz w:val="21"/>
                      <w:szCs w:val="21"/>
                    </w:rPr>
                  </w:pPr>
                </w:p>
              </w:tc>
              <w:tc>
                <w:tcPr>
                  <w:tcW w:w="692" w:type="dxa"/>
                  <w:noWrap w:val="0"/>
                  <w:vAlign w:val="center"/>
                </w:tcPr>
                <w:p>
                  <w:pPr>
                    <w:pStyle w:val="2"/>
                    <w:spacing w:before="0" w:after="0" w:line="240" w:lineRule="auto"/>
                    <w:ind w:right="0"/>
                    <w:jc w:val="center"/>
                    <w:rPr>
                      <w:sz w:val="21"/>
                      <w:szCs w:val="21"/>
                    </w:rPr>
                  </w:pPr>
                  <w:r>
                    <w:rPr>
                      <w:sz w:val="21"/>
                      <w:szCs w:val="21"/>
                    </w:rPr>
                    <w:t>H</w:t>
                  </w:r>
                  <w:r>
                    <w:rPr>
                      <w:sz w:val="21"/>
                      <w:szCs w:val="21"/>
                      <w:vertAlign w:val="subscript"/>
                    </w:rPr>
                    <w:t>2</w:t>
                  </w:r>
                  <w:r>
                    <w:rPr>
                      <w:sz w:val="21"/>
                      <w:szCs w:val="21"/>
                    </w:rPr>
                    <w:t>S</w:t>
                  </w:r>
                </w:p>
              </w:tc>
              <w:tc>
                <w:tcPr>
                  <w:tcW w:w="576" w:type="dxa"/>
                  <w:noWrap w:val="0"/>
                  <w:vAlign w:val="center"/>
                </w:tcPr>
                <w:p>
                  <w:pPr>
                    <w:pStyle w:val="2"/>
                    <w:spacing w:before="0" w:after="0" w:line="240" w:lineRule="auto"/>
                    <w:ind w:right="0"/>
                    <w:jc w:val="center"/>
                    <w:rPr>
                      <w:sz w:val="21"/>
                      <w:szCs w:val="21"/>
                    </w:rPr>
                  </w:pPr>
                  <w:r>
                    <w:rPr>
                      <w:sz w:val="21"/>
                      <w:szCs w:val="21"/>
                    </w:rPr>
                    <w:t>有组织</w:t>
                  </w:r>
                </w:p>
              </w:tc>
              <w:tc>
                <w:tcPr>
                  <w:tcW w:w="750" w:type="dxa"/>
                  <w:vMerge w:val="continue"/>
                  <w:noWrap w:val="0"/>
                  <w:vAlign w:val="center"/>
                </w:tcPr>
                <w:p>
                  <w:pPr>
                    <w:pStyle w:val="2"/>
                    <w:spacing w:before="0" w:after="0" w:line="240" w:lineRule="auto"/>
                    <w:ind w:right="0"/>
                    <w:jc w:val="center"/>
                    <w:rPr>
                      <w:sz w:val="21"/>
                      <w:szCs w:val="21"/>
                    </w:rPr>
                  </w:pPr>
                </w:p>
              </w:tc>
              <w:tc>
                <w:tcPr>
                  <w:tcW w:w="822" w:type="dxa"/>
                  <w:noWrap w:val="0"/>
                  <w:vAlign w:val="center"/>
                </w:tcPr>
                <w:p>
                  <w:pPr>
                    <w:pStyle w:val="2"/>
                    <w:spacing w:before="0" w:after="0" w:line="240" w:lineRule="auto"/>
                    <w:ind w:right="0"/>
                    <w:jc w:val="center"/>
                    <w:rPr>
                      <w:sz w:val="21"/>
                      <w:szCs w:val="21"/>
                    </w:rPr>
                  </w:pPr>
                  <w:r>
                    <w:rPr>
                      <w:sz w:val="21"/>
                      <w:szCs w:val="21"/>
                    </w:rPr>
                    <w:t>0.5346</w:t>
                  </w:r>
                </w:p>
              </w:tc>
              <w:tc>
                <w:tcPr>
                  <w:tcW w:w="893" w:type="dxa"/>
                  <w:noWrap w:val="0"/>
                  <w:vAlign w:val="center"/>
                </w:tcPr>
                <w:p>
                  <w:pPr>
                    <w:pStyle w:val="2"/>
                    <w:spacing w:before="0" w:after="0" w:line="240" w:lineRule="auto"/>
                    <w:ind w:right="0"/>
                    <w:jc w:val="center"/>
                    <w:rPr>
                      <w:sz w:val="21"/>
                      <w:szCs w:val="21"/>
                    </w:rPr>
                  </w:pPr>
                  <w:r>
                    <w:rPr>
                      <w:sz w:val="21"/>
                      <w:szCs w:val="21"/>
                    </w:rPr>
                    <w:t>0.0021</w:t>
                  </w:r>
                </w:p>
              </w:tc>
              <w:tc>
                <w:tcPr>
                  <w:tcW w:w="1333" w:type="dxa"/>
                  <w:vMerge w:val="continue"/>
                  <w:noWrap w:val="0"/>
                  <w:vAlign w:val="center"/>
                </w:tcPr>
                <w:p>
                  <w:pPr>
                    <w:pStyle w:val="2"/>
                    <w:spacing w:before="0" w:after="0" w:line="240" w:lineRule="auto"/>
                    <w:ind w:right="0"/>
                    <w:jc w:val="center"/>
                    <w:rPr>
                      <w:sz w:val="21"/>
                      <w:szCs w:val="21"/>
                    </w:rPr>
                  </w:pPr>
                </w:p>
              </w:tc>
              <w:tc>
                <w:tcPr>
                  <w:tcW w:w="815" w:type="dxa"/>
                  <w:noWrap w:val="0"/>
                  <w:vAlign w:val="center"/>
                </w:tcPr>
                <w:p>
                  <w:pPr>
                    <w:pStyle w:val="2"/>
                    <w:spacing w:before="0" w:after="0" w:line="240" w:lineRule="auto"/>
                    <w:ind w:right="0"/>
                    <w:jc w:val="center"/>
                    <w:rPr>
                      <w:sz w:val="21"/>
                      <w:szCs w:val="21"/>
                    </w:rPr>
                  </w:pPr>
                  <w:r>
                    <w:rPr>
                      <w:sz w:val="21"/>
                      <w:szCs w:val="21"/>
                    </w:rPr>
                    <w:t>90/75</w:t>
                  </w:r>
                </w:p>
              </w:tc>
              <w:tc>
                <w:tcPr>
                  <w:tcW w:w="1026" w:type="dxa"/>
                  <w:noWrap w:val="0"/>
                  <w:vAlign w:val="center"/>
                </w:tcPr>
                <w:p>
                  <w:pPr>
                    <w:pStyle w:val="2"/>
                    <w:spacing w:before="0" w:after="0" w:line="240" w:lineRule="auto"/>
                    <w:ind w:right="0"/>
                    <w:jc w:val="center"/>
                    <w:rPr>
                      <w:sz w:val="21"/>
                      <w:szCs w:val="21"/>
                    </w:rPr>
                  </w:pPr>
                  <w:r>
                    <w:rPr>
                      <w:sz w:val="21"/>
                      <w:szCs w:val="21"/>
                    </w:rPr>
                    <w:t>5.82×10</w:t>
                  </w:r>
                  <w:r>
                    <w:rPr>
                      <w:sz w:val="21"/>
                      <w:szCs w:val="21"/>
                      <w:vertAlign w:val="superscript"/>
                    </w:rPr>
                    <w:t>-5</w:t>
                  </w:r>
                </w:p>
              </w:tc>
              <w:tc>
                <w:tcPr>
                  <w:tcW w:w="688" w:type="dxa"/>
                  <w:noWrap w:val="0"/>
                  <w:vAlign w:val="center"/>
                </w:tcPr>
                <w:p>
                  <w:pPr>
                    <w:pStyle w:val="2"/>
                    <w:spacing w:before="0" w:after="0" w:line="240" w:lineRule="auto"/>
                    <w:ind w:right="0"/>
                    <w:jc w:val="center"/>
                    <w:rPr>
                      <w:sz w:val="21"/>
                      <w:szCs w:val="21"/>
                    </w:rPr>
                  </w:pPr>
                  <w:r>
                    <w:rPr>
                      <w:sz w:val="21"/>
                      <w:szCs w:val="21"/>
                    </w:rPr>
                    <w:t>0.00051</w:t>
                  </w:r>
                </w:p>
              </w:tc>
            </w:tr>
          </w:tbl>
          <w:p>
            <w:pPr>
              <w:pStyle w:val="138"/>
              <w:snapToGrid w:val="0"/>
              <w:spacing w:before="120" w:beforeLines="50" w:line="240" w:lineRule="auto"/>
              <w:ind w:left="0" w:firstLine="0"/>
              <w:jc w:val="center"/>
              <w:rPr>
                <w:rFonts w:eastAsia="黑体"/>
              </w:rPr>
            </w:pPr>
            <w:r>
              <w:rPr>
                <w:rFonts w:eastAsia="黑体"/>
              </w:rPr>
              <w:t>表4-8  本项目无组织废气排放情况</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3080"/>
              <w:gridCol w:w="1870"/>
              <w:gridCol w:w="348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blHeader/>
                <w:jc w:val="center"/>
              </w:trPr>
              <w:tc>
                <w:tcPr>
                  <w:tcW w:w="1825" w:type="pct"/>
                  <w:vMerge w:val="restart"/>
                  <w:shd w:val="clear" w:color="auto" w:fill="CCFFFF"/>
                  <w:noWrap w:val="0"/>
                  <w:vAlign w:val="center"/>
                </w:tcPr>
                <w:p>
                  <w:pPr>
                    <w:snapToGrid w:val="0"/>
                    <w:jc w:val="center"/>
                    <w:rPr>
                      <w:b/>
                      <w:szCs w:val="21"/>
                    </w:rPr>
                  </w:pPr>
                  <w:r>
                    <w:rPr>
                      <w:b/>
                      <w:szCs w:val="21"/>
                    </w:rPr>
                    <w:t>无组织位置</w:t>
                  </w:r>
                </w:p>
              </w:tc>
              <w:tc>
                <w:tcPr>
                  <w:tcW w:w="1108" w:type="pct"/>
                  <w:vMerge w:val="restart"/>
                  <w:shd w:val="clear" w:color="auto" w:fill="CCFFFF"/>
                  <w:noWrap w:val="0"/>
                  <w:vAlign w:val="center"/>
                </w:tcPr>
                <w:p>
                  <w:pPr>
                    <w:pStyle w:val="240"/>
                    <w:snapToGrid w:val="0"/>
                    <w:jc w:val="center"/>
                    <w:rPr>
                      <w:rFonts w:eastAsia="宋体"/>
                      <w:b/>
                      <w:sz w:val="21"/>
                      <w:szCs w:val="21"/>
                    </w:rPr>
                  </w:pPr>
                  <w:r>
                    <w:rPr>
                      <w:rFonts w:eastAsia="宋体"/>
                      <w:b/>
                      <w:sz w:val="21"/>
                      <w:szCs w:val="21"/>
                    </w:rPr>
                    <w:t>污染物</w:t>
                  </w:r>
                </w:p>
              </w:tc>
              <w:tc>
                <w:tcPr>
                  <w:tcW w:w="2067" w:type="pct"/>
                  <w:vMerge w:val="restart"/>
                  <w:shd w:val="clear" w:color="auto" w:fill="CCFFFF"/>
                  <w:noWrap w:val="0"/>
                  <w:vAlign w:val="center"/>
                </w:tcPr>
                <w:p>
                  <w:pPr>
                    <w:pStyle w:val="240"/>
                    <w:snapToGrid w:val="0"/>
                    <w:jc w:val="center"/>
                    <w:rPr>
                      <w:rFonts w:eastAsia="宋体"/>
                      <w:b/>
                      <w:sz w:val="21"/>
                      <w:szCs w:val="21"/>
                    </w:rPr>
                  </w:pPr>
                  <w:r>
                    <w:rPr>
                      <w:rFonts w:eastAsia="宋体"/>
                      <w:b/>
                      <w:sz w:val="21"/>
                      <w:szCs w:val="21"/>
                    </w:rPr>
                    <w:t>无组织排放速率</w:t>
                  </w:r>
                </w:p>
                <w:p>
                  <w:pPr>
                    <w:pStyle w:val="240"/>
                    <w:snapToGrid w:val="0"/>
                    <w:jc w:val="center"/>
                    <w:rPr>
                      <w:rFonts w:eastAsia="宋体"/>
                      <w:b/>
                      <w:sz w:val="21"/>
                      <w:szCs w:val="21"/>
                    </w:rPr>
                  </w:pPr>
                  <w:r>
                    <w:rPr>
                      <w:rFonts w:eastAsia="宋体"/>
                      <w:b/>
                      <w:sz w:val="21"/>
                      <w:szCs w:val="21"/>
                    </w:rPr>
                    <w:t>（t/a）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blHeader/>
                <w:jc w:val="center"/>
              </w:trPr>
              <w:tc>
                <w:tcPr>
                  <w:tcW w:w="1825" w:type="pct"/>
                  <w:vMerge w:val="continue"/>
                  <w:shd w:val="clear" w:color="auto" w:fill="CCFFFF"/>
                  <w:noWrap w:val="0"/>
                  <w:vAlign w:val="center"/>
                </w:tcPr>
                <w:p>
                  <w:pPr>
                    <w:snapToGrid w:val="0"/>
                    <w:jc w:val="center"/>
                    <w:rPr>
                      <w:b/>
                      <w:szCs w:val="21"/>
                    </w:rPr>
                  </w:pPr>
                </w:p>
              </w:tc>
              <w:tc>
                <w:tcPr>
                  <w:tcW w:w="1108" w:type="pct"/>
                  <w:vMerge w:val="continue"/>
                  <w:shd w:val="clear" w:color="auto" w:fill="CCFFFF"/>
                  <w:noWrap w:val="0"/>
                  <w:vAlign w:val="center"/>
                </w:tcPr>
                <w:p>
                  <w:pPr>
                    <w:rPr>
                      <w:b/>
                      <w:szCs w:val="21"/>
                    </w:rPr>
                  </w:pPr>
                </w:p>
              </w:tc>
              <w:tc>
                <w:tcPr>
                  <w:tcW w:w="2067" w:type="pct"/>
                  <w:vMerge w:val="continue"/>
                  <w:shd w:val="clear" w:color="auto" w:fill="CCFFFF"/>
                  <w:noWrap w:val="0"/>
                  <w:vAlign w:val="center"/>
                </w:tcPr>
                <w:p>
                  <w:pPr>
                    <w:pStyle w:val="240"/>
                    <w:snapToGrid w:val="0"/>
                    <w:jc w:val="center"/>
                    <w:rPr>
                      <w:rFonts w:eastAsia="宋体"/>
                      <w:b/>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825" w:type="pct"/>
                  <w:vMerge w:val="restart"/>
                  <w:noWrap w:val="0"/>
                  <w:vAlign w:val="center"/>
                </w:tcPr>
                <w:p>
                  <w:pPr>
                    <w:snapToGrid w:val="0"/>
                    <w:jc w:val="center"/>
                    <w:rPr>
                      <w:szCs w:val="21"/>
                    </w:rPr>
                  </w:pPr>
                  <w:r>
                    <w:rPr>
                      <w:szCs w:val="21"/>
                    </w:rPr>
                    <w:t>预处理区域</w:t>
                  </w:r>
                </w:p>
              </w:tc>
              <w:tc>
                <w:tcPr>
                  <w:tcW w:w="1108" w:type="pct"/>
                  <w:noWrap w:val="0"/>
                  <w:vAlign w:val="center"/>
                </w:tcPr>
                <w:p>
                  <w:pPr>
                    <w:snapToGrid w:val="0"/>
                    <w:jc w:val="center"/>
                    <w:rPr>
                      <w:szCs w:val="21"/>
                    </w:rPr>
                  </w:pPr>
                  <w:r>
                    <w:rPr>
                      <w:szCs w:val="21"/>
                    </w:rPr>
                    <w:t>H</w:t>
                  </w:r>
                  <w:r>
                    <w:rPr>
                      <w:szCs w:val="21"/>
                      <w:vertAlign w:val="subscript"/>
                    </w:rPr>
                    <w:t>2</w:t>
                  </w:r>
                  <w:r>
                    <w:rPr>
                      <w:szCs w:val="21"/>
                    </w:rPr>
                    <w:t>S</w:t>
                  </w:r>
                </w:p>
              </w:tc>
              <w:tc>
                <w:tcPr>
                  <w:tcW w:w="2067" w:type="pct"/>
                  <w:noWrap w:val="0"/>
                  <w:vAlign w:val="center"/>
                </w:tcPr>
                <w:p>
                  <w:pPr>
                    <w:pStyle w:val="2"/>
                    <w:spacing w:before="0" w:after="0" w:line="240" w:lineRule="auto"/>
                    <w:ind w:right="0"/>
                    <w:jc w:val="center"/>
                    <w:rPr>
                      <w:sz w:val="21"/>
                      <w:szCs w:val="21"/>
                    </w:rPr>
                  </w:pPr>
                  <w:r>
                    <w:rPr>
                      <w:sz w:val="21"/>
                      <w:szCs w:val="21"/>
                    </w:rPr>
                    <w:t>0.0001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825" w:type="pct"/>
                  <w:vMerge w:val="continue"/>
                  <w:noWrap w:val="0"/>
                  <w:vAlign w:val="center"/>
                </w:tcPr>
                <w:p>
                  <w:pPr>
                    <w:snapToGrid w:val="0"/>
                    <w:jc w:val="center"/>
                    <w:rPr>
                      <w:szCs w:val="21"/>
                    </w:rPr>
                  </w:pPr>
                </w:p>
              </w:tc>
              <w:tc>
                <w:tcPr>
                  <w:tcW w:w="1108" w:type="pct"/>
                  <w:noWrap w:val="0"/>
                  <w:vAlign w:val="center"/>
                </w:tcPr>
                <w:p>
                  <w:pPr>
                    <w:snapToGrid w:val="0"/>
                    <w:jc w:val="center"/>
                    <w:rPr>
                      <w:szCs w:val="21"/>
                    </w:rPr>
                  </w:pPr>
                  <w:r>
                    <w:rPr>
                      <w:szCs w:val="21"/>
                    </w:rPr>
                    <w:t>NH</w:t>
                  </w:r>
                  <w:r>
                    <w:rPr>
                      <w:szCs w:val="21"/>
                      <w:vertAlign w:val="subscript"/>
                    </w:rPr>
                    <w:t>3</w:t>
                  </w:r>
                </w:p>
              </w:tc>
              <w:tc>
                <w:tcPr>
                  <w:tcW w:w="2067" w:type="pct"/>
                  <w:noWrap w:val="0"/>
                  <w:vAlign w:val="center"/>
                </w:tcPr>
                <w:p>
                  <w:pPr>
                    <w:pStyle w:val="2"/>
                    <w:spacing w:before="0" w:after="0" w:line="240" w:lineRule="auto"/>
                    <w:ind w:right="0"/>
                    <w:jc w:val="center"/>
                    <w:rPr>
                      <w:sz w:val="21"/>
                      <w:szCs w:val="21"/>
                    </w:rPr>
                  </w:pPr>
                  <w:r>
                    <w:rPr>
                      <w:sz w:val="21"/>
                      <w:szCs w:val="21"/>
                    </w:rPr>
                    <w:t>0.0007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825" w:type="pct"/>
                  <w:vMerge w:val="restart"/>
                  <w:noWrap w:val="0"/>
                  <w:vAlign w:val="center"/>
                </w:tcPr>
                <w:p>
                  <w:pPr>
                    <w:snapToGrid w:val="0"/>
                    <w:jc w:val="center"/>
                    <w:rPr>
                      <w:szCs w:val="21"/>
                    </w:rPr>
                  </w:pPr>
                  <w:r>
                    <w:rPr>
                      <w:szCs w:val="21"/>
                    </w:rPr>
                    <w:t>生化处理区域</w:t>
                  </w:r>
                </w:p>
              </w:tc>
              <w:tc>
                <w:tcPr>
                  <w:tcW w:w="1108" w:type="pct"/>
                  <w:noWrap w:val="0"/>
                  <w:vAlign w:val="center"/>
                </w:tcPr>
                <w:p>
                  <w:pPr>
                    <w:snapToGrid w:val="0"/>
                    <w:jc w:val="center"/>
                    <w:rPr>
                      <w:szCs w:val="21"/>
                    </w:rPr>
                  </w:pPr>
                  <w:r>
                    <w:rPr>
                      <w:szCs w:val="21"/>
                    </w:rPr>
                    <w:t>H</w:t>
                  </w:r>
                  <w:r>
                    <w:rPr>
                      <w:szCs w:val="21"/>
                      <w:vertAlign w:val="subscript"/>
                    </w:rPr>
                    <w:t>2</w:t>
                  </w:r>
                  <w:r>
                    <w:rPr>
                      <w:szCs w:val="21"/>
                    </w:rPr>
                    <w:t>S</w:t>
                  </w:r>
                </w:p>
              </w:tc>
              <w:tc>
                <w:tcPr>
                  <w:tcW w:w="2067" w:type="pct"/>
                  <w:noWrap w:val="0"/>
                  <w:vAlign w:val="center"/>
                </w:tcPr>
                <w:p>
                  <w:pPr>
                    <w:pStyle w:val="2"/>
                    <w:spacing w:before="0" w:after="0" w:line="240" w:lineRule="auto"/>
                    <w:ind w:right="0"/>
                    <w:jc w:val="center"/>
                    <w:rPr>
                      <w:sz w:val="21"/>
                      <w:szCs w:val="21"/>
                    </w:rPr>
                  </w:pPr>
                  <w:r>
                    <w:rPr>
                      <w:sz w:val="21"/>
                      <w:szCs w:val="21"/>
                    </w:rPr>
                    <w:t>0.001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825" w:type="pct"/>
                  <w:vMerge w:val="continue"/>
                  <w:noWrap w:val="0"/>
                  <w:vAlign w:val="center"/>
                </w:tcPr>
                <w:p>
                  <w:pPr>
                    <w:snapToGrid w:val="0"/>
                    <w:jc w:val="center"/>
                    <w:rPr>
                      <w:szCs w:val="21"/>
                    </w:rPr>
                  </w:pPr>
                </w:p>
              </w:tc>
              <w:tc>
                <w:tcPr>
                  <w:tcW w:w="1108" w:type="pct"/>
                  <w:noWrap w:val="0"/>
                  <w:vAlign w:val="center"/>
                </w:tcPr>
                <w:p>
                  <w:pPr>
                    <w:snapToGrid w:val="0"/>
                    <w:jc w:val="center"/>
                    <w:rPr>
                      <w:szCs w:val="21"/>
                    </w:rPr>
                  </w:pPr>
                  <w:r>
                    <w:rPr>
                      <w:szCs w:val="21"/>
                    </w:rPr>
                    <w:t>NH</w:t>
                  </w:r>
                  <w:r>
                    <w:rPr>
                      <w:szCs w:val="21"/>
                      <w:vertAlign w:val="subscript"/>
                    </w:rPr>
                    <w:t>3</w:t>
                  </w:r>
                </w:p>
              </w:tc>
              <w:tc>
                <w:tcPr>
                  <w:tcW w:w="2067" w:type="pct"/>
                  <w:noWrap w:val="0"/>
                  <w:vAlign w:val="center"/>
                </w:tcPr>
                <w:p>
                  <w:pPr>
                    <w:pStyle w:val="2"/>
                    <w:spacing w:before="0" w:after="0" w:line="240" w:lineRule="auto"/>
                    <w:ind w:right="0"/>
                    <w:jc w:val="center"/>
                    <w:rPr>
                      <w:sz w:val="21"/>
                      <w:szCs w:val="21"/>
                    </w:rPr>
                  </w:pPr>
                  <w:r>
                    <w:rPr>
                      <w:sz w:val="21"/>
                      <w:szCs w:val="21"/>
                    </w:rPr>
                    <w:t>0.0083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825" w:type="pct"/>
                  <w:vMerge w:val="restart"/>
                  <w:noWrap w:val="0"/>
                  <w:vAlign w:val="center"/>
                </w:tcPr>
                <w:p>
                  <w:pPr>
                    <w:snapToGrid w:val="0"/>
                    <w:jc w:val="center"/>
                    <w:rPr>
                      <w:szCs w:val="21"/>
                    </w:rPr>
                  </w:pPr>
                  <w:r>
                    <w:rPr>
                      <w:szCs w:val="21"/>
                    </w:rPr>
                    <w:t>污泥处理区域</w:t>
                  </w:r>
                </w:p>
              </w:tc>
              <w:tc>
                <w:tcPr>
                  <w:tcW w:w="1108" w:type="pct"/>
                  <w:noWrap w:val="0"/>
                  <w:vAlign w:val="center"/>
                </w:tcPr>
                <w:p>
                  <w:pPr>
                    <w:snapToGrid w:val="0"/>
                    <w:jc w:val="center"/>
                    <w:rPr>
                      <w:szCs w:val="21"/>
                    </w:rPr>
                  </w:pPr>
                  <w:r>
                    <w:rPr>
                      <w:szCs w:val="21"/>
                    </w:rPr>
                    <w:t>H</w:t>
                  </w:r>
                  <w:r>
                    <w:rPr>
                      <w:szCs w:val="21"/>
                      <w:vertAlign w:val="subscript"/>
                    </w:rPr>
                    <w:t>2</w:t>
                  </w:r>
                  <w:r>
                    <w:rPr>
                      <w:szCs w:val="21"/>
                    </w:rPr>
                    <w:t>S</w:t>
                  </w:r>
                </w:p>
              </w:tc>
              <w:tc>
                <w:tcPr>
                  <w:tcW w:w="2067" w:type="pct"/>
                  <w:noWrap w:val="0"/>
                  <w:vAlign w:val="center"/>
                </w:tcPr>
                <w:p>
                  <w:pPr>
                    <w:pStyle w:val="2"/>
                    <w:spacing w:before="0" w:after="0" w:line="240" w:lineRule="auto"/>
                    <w:ind w:right="0"/>
                    <w:jc w:val="center"/>
                    <w:rPr>
                      <w:sz w:val="21"/>
                      <w:szCs w:val="21"/>
                    </w:rPr>
                  </w:pPr>
                  <w:r>
                    <w:rPr>
                      <w:sz w:val="21"/>
                      <w:szCs w:val="21"/>
                    </w:rPr>
                    <w:t>6.1×10</w:t>
                  </w:r>
                  <w:r>
                    <w:rPr>
                      <w:sz w:val="21"/>
                      <w:szCs w:val="21"/>
                      <w:vertAlign w:val="superscript"/>
                    </w:rPr>
                    <w:t>-</w:t>
                  </w:r>
                  <w:r>
                    <w:rPr>
                      <w:szCs w:val="21"/>
                      <w:vertAlign w:val="superscript"/>
                    </w:rPr>
                    <w:t>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825" w:type="pct"/>
                  <w:vMerge w:val="continue"/>
                  <w:noWrap w:val="0"/>
                  <w:vAlign w:val="center"/>
                </w:tcPr>
                <w:p>
                  <w:pPr>
                    <w:snapToGrid w:val="0"/>
                    <w:jc w:val="center"/>
                    <w:rPr>
                      <w:szCs w:val="21"/>
                    </w:rPr>
                  </w:pPr>
                </w:p>
              </w:tc>
              <w:tc>
                <w:tcPr>
                  <w:tcW w:w="1108" w:type="pct"/>
                  <w:noWrap w:val="0"/>
                  <w:vAlign w:val="center"/>
                </w:tcPr>
                <w:p>
                  <w:pPr>
                    <w:snapToGrid w:val="0"/>
                    <w:jc w:val="center"/>
                    <w:rPr>
                      <w:szCs w:val="21"/>
                    </w:rPr>
                  </w:pPr>
                  <w:r>
                    <w:rPr>
                      <w:szCs w:val="21"/>
                    </w:rPr>
                    <w:t>NH</w:t>
                  </w:r>
                  <w:r>
                    <w:rPr>
                      <w:szCs w:val="21"/>
                      <w:vertAlign w:val="subscript"/>
                    </w:rPr>
                    <w:t>3</w:t>
                  </w:r>
                </w:p>
              </w:tc>
              <w:tc>
                <w:tcPr>
                  <w:tcW w:w="2067" w:type="pct"/>
                  <w:noWrap w:val="0"/>
                  <w:vAlign w:val="center"/>
                </w:tcPr>
                <w:p>
                  <w:pPr>
                    <w:pStyle w:val="2"/>
                    <w:spacing w:before="0" w:after="0" w:line="240" w:lineRule="auto"/>
                    <w:ind w:right="0"/>
                    <w:jc w:val="center"/>
                    <w:rPr>
                      <w:sz w:val="21"/>
                      <w:szCs w:val="21"/>
                    </w:rPr>
                  </w:pPr>
                  <w:r>
                    <w:rPr>
                      <w:sz w:val="21"/>
                      <w:szCs w:val="21"/>
                    </w:rPr>
                    <w:t>0.00001</w:t>
                  </w:r>
                </w:p>
              </w:tc>
            </w:tr>
          </w:tbl>
          <w:p>
            <w:pPr>
              <w:spacing w:line="360" w:lineRule="auto"/>
              <w:ind w:firstLine="482" w:firstLineChars="200"/>
              <w:rPr>
                <w:b/>
                <w:bCs/>
                <w:sz w:val="24"/>
              </w:rPr>
            </w:pPr>
            <w:r>
              <w:rPr>
                <w:b/>
                <w:bCs/>
                <w:sz w:val="24"/>
              </w:rPr>
              <w:t>3、废气排放口基本情况</w:t>
            </w:r>
          </w:p>
          <w:p>
            <w:pPr>
              <w:spacing w:line="360" w:lineRule="auto"/>
              <w:ind w:firstLine="480" w:firstLineChars="200"/>
              <w:rPr>
                <w:sz w:val="24"/>
              </w:rPr>
            </w:pPr>
            <w:r>
              <w:rPr>
                <w:sz w:val="24"/>
              </w:rPr>
              <w:t>本项目废气有组织排放口情况见下表所示。</w:t>
            </w:r>
          </w:p>
          <w:p>
            <w:pPr>
              <w:adjustRightInd w:val="0"/>
              <w:snapToGrid w:val="0"/>
              <w:jc w:val="center"/>
              <w:rPr>
                <w:rFonts w:eastAsia="黑体"/>
                <w:sz w:val="24"/>
              </w:rPr>
            </w:pPr>
            <w:r>
              <w:rPr>
                <w:rFonts w:eastAsia="黑体"/>
                <w:sz w:val="24"/>
              </w:rPr>
              <w:t>表4-9    排放口基本情况一览表</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3"/>
              <w:gridCol w:w="913"/>
              <w:gridCol w:w="913"/>
              <w:gridCol w:w="913"/>
              <w:gridCol w:w="915"/>
              <w:gridCol w:w="2957"/>
              <w:gridCol w:w="9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4" w:type="pct"/>
                  <w:shd w:val="clear" w:color="auto" w:fill="CCFFFF"/>
                  <w:noWrap w:val="0"/>
                  <w:vAlign w:val="center"/>
                </w:tcPr>
                <w:p>
                  <w:pPr>
                    <w:pStyle w:val="2"/>
                    <w:spacing w:before="0" w:after="0"/>
                    <w:ind w:right="0"/>
                    <w:jc w:val="center"/>
                    <w:rPr>
                      <w:b/>
                      <w:bCs/>
                      <w:sz w:val="21"/>
                      <w:szCs w:val="21"/>
                    </w:rPr>
                  </w:pPr>
                  <w:r>
                    <w:rPr>
                      <w:b/>
                      <w:bCs/>
                      <w:sz w:val="21"/>
                      <w:szCs w:val="21"/>
                    </w:rPr>
                    <w:t>编号</w:t>
                  </w:r>
                </w:p>
              </w:tc>
              <w:tc>
                <w:tcPr>
                  <w:tcW w:w="714" w:type="pct"/>
                  <w:shd w:val="clear" w:color="auto" w:fill="CCFFFF"/>
                  <w:noWrap w:val="0"/>
                  <w:vAlign w:val="center"/>
                </w:tcPr>
                <w:p>
                  <w:pPr>
                    <w:pStyle w:val="2"/>
                    <w:spacing w:before="0" w:after="0"/>
                    <w:ind w:right="0"/>
                    <w:jc w:val="center"/>
                    <w:rPr>
                      <w:b/>
                      <w:bCs/>
                      <w:sz w:val="21"/>
                      <w:szCs w:val="21"/>
                    </w:rPr>
                  </w:pPr>
                  <w:r>
                    <w:rPr>
                      <w:b/>
                      <w:bCs/>
                      <w:sz w:val="21"/>
                      <w:szCs w:val="21"/>
                    </w:rPr>
                    <w:t>排放污染物名称</w:t>
                  </w:r>
                </w:p>
              </w:tc>
              <w:tc>
                <w:tcPr>
                  <w:tcW w:w="714" w:type="pct"/>
                  <w:shd w:val="clear" w:color="auto" w:fill="CCFFFF"/>
                  <w:noWrap w:val="0"/>
                  <w:vAlign w:val="center"/>
                </w:tcPr>
                <w:p>
                  <w:pPr>
                    <w:pStyle w:val="2"/>
                    <w:spacing w:before="0" w:after="0"/>
                    <w:ind w:right="0"/>
                    <w:jc w:val="center"/>
                    <w:rPr>
                      <w:b/>
                      <w:bCs/>
                      <w:sz w:val="21"/>
                      <w:szCs w:val="21"/>
                    </w:rPr>
                  </w:pPr>
                  <w:r>
                    <w:rPr>
                      <w:b/>
                      <w:bCs/>
                      <w:sz w:val="21"/>
                      <w:szCs w:val="21"/>
                    </w:rPr>
                    <w:t>高度</w:t>
                  </w:r>
                </w:p>
              </w:tc>
              <w:tc>
                <w:tcPr>
                  <w:tcW w:w="714" w:type="pct"/>
                  <w:shd w:val="clear" w:color="auto" w:fill="CCFFFF"/>
                  <w:noWrap w:val="0"/>
                  <w:vAlign w:val="center"/>
                </w:tcPr>
                <w:p>
                  <w:pPr>
                    <w:pStyle w:val="2"/>
                    <w:spacing w:before="0" w:after="0"/>
                    <w:ind w:right="0"/>
                    <w:jc w:val="center"/>
                    <w:rPr>
                      <w:b/>
                      <w:bCs/>
                      <w:sz w:val="21"/>
                      <w:szCs w:val="21"/>
                    </w:rPr>
                  </w:pPr>
                  <w:r>
                    <w:rPr>
                      <w:b/>
                      <w:bCs/>
                      <w:sz w:val="21"/>
                      <w:szCs w:val="21"/>
                    </w:rPr>
                    <w:t>排气筒内径</w:t>
                  </w:r>
                </w:p>
              </w:tc>
              <w:tc>
                <w:tcPr>
                  <w:tcW w:w="715" w:type="pct"/>
                  <w:shd w:val="clear" w:color="auto" w:fill="CCFFFF"/>
                  <w:noWrap w:val="0"/>
                  <w:vAlign w:val="center"/>
                </w:tcPr>
                <w:p>
                  <w:pPr>
                    <w:pStyle w:val="2"/>
                    <w:spacing w:before="0" w:after="0"/>
                    <w:ind w:right="0"/>
                    <w:jc w:val="center"/>
                    <w:rPr>
                      <w:b/>
                      <w:bCs/>
                      <w:sz w:val="21"/>
                      <w:szCs w:val="21"/>
                    </w:rPr>
                  </w:pPr>
                  <w:r>
                    <w:rPr>
                      <w:b/>
                      <w:bCs/>
                      <w:sz w:val="21"/>
                      <w:szCs w:val="21"/>
                    </w:rPr>
                    <w:t>温度</w:t>
                  </w:r>
                </w:p>
              </w:tc>
              <w:tc>
                <w:tcPr>
                  <w:tcW w:w="715" w:type="pct"/>
                  <w:shd w:val="clear" w:color="auto" w:fill="CCFFFF"/>
                  <w:noWrap w:val="0"/>
                  <w:vAlign w:val="center"/>
                </w:tcPr>
                <w:p>
                  <w:pPr>
                    <w:pStyle w:val="2"/>
                    <w:spacing w:before="0" w:after="0"/>
                    <w:ind w:right="0"/>
                    <w:jc w:val="center"/>
                    <w:rPr>
                      <w:b/>
                      <w:bCs/>
                      <w:sz w:val="21"/>
                      <w:szCs w:val="21"/>
                    </w:rPr>
                  </w:pPr>
                  <w:r>
                    <w:rPr>
                      <w:b/>
                      <w:bCs/>
                      <w:sz w:val="21"/>
                      <w:szCs w:val="21"/>
                    </w:rPr>
                    <w:t>坐标</w:t>
                  </w:r>
                </w:p>
              </w:tc>
              <w:tc>
                <w:tcPr>
                  <w:tcW w:w="715" w:type="pct"/>
                  <w:shd w:val="clear" w:color="auto" w:fill="CCFFFF"/>
                  <w:noWrap w:val="0"/>
                  <w:vAlign w:val="center"/>
                </w:tcPr>
                <w:p>
                  <w:pPr>
                    <w:pStyle w:val="2"/>
                    <w:spacing w:before="0" w:after="0"/>
                    <w:ind w:right="0"/>
                    <w:jc w:val="center"/>
                    <w:rPr>
                      <w:b/>
                      <w:bCs/>
                      <w:sz w:val="21"/>
                      <w:szCs w:val="21"/>
                    </w:rPr>
                  </w:pPr>
                  <w:r>
                    <w:rPr>
                      <w:b/>
                      <w:bCs/>
                      <w:sz w:val="21"/>
                      <w:szCs w:val="21"/>
                    </w:rPr>
                    <w:t>排放口类别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4" w:type="pct"/>
                  <w:noWrap w:val="0"/>
                  <w:vAlign w:val="center"/>
                </w:tcPr>
                <w:p>
                  <w:pPr>
                    <w:pStyle w:val="2"/>
                    <w:spacing w:before="0" w:after="0"/>
                    <w:ind w:right="0"/>
                    <w:jc w:val="center"/>
                    <w:rPr>
                      <w:sz w:val="21"/>
                      <w:szCs w:val="21"/>
                    </w:rPr>
                  </w:pPr>
                  <w:r>
                    <w:rPr>
                      <w:sz w:val="21"/>
                      <w:szCs w:val="21"/>
                    </w:rPr>
                    <w:t>DA001</w:t>
                  </w:r>
                </w:p>
              </w:tc>
              <w:tc>
                <w:tcPr>
                  <w:tcW w:w="714" w:type="pct"/>
                  <w:noWrap w:val="0"/>
                  <w:vAlign w:val="center"/>
                </w:tcPr>
                <w:p>
                  <w:pPr>
                    <w:pStyle w:val="2"/>
                    <w:spacing w:before="0" w:after="0"/>
                    <w:ind w:right="0"/>
                    <w:jc w:val="center"/>
                    <w:rPr>
                      <w:sz w:val="21"/>
                      <w:szCs w:val="21"/>
                    </w:rPr>
                  </w:pPr>
                  <w:r>
                    <w:rPr>
                      <w:sz w:val="21"/>
                      <w:szCs w:val="21"/>
                    </w:rPr>
                    <w:t>NH</w:t>
                  </w:r>
                  <w:r>
                    <w:rPr>
                      <w:sz w:val="21"/>
                      <w:szCs w:val="21"/>
                      <w:vertAlign w:val="subscript"/>
                    </w:rPr>
                    <w:t>3</w:t>
                  </w:r>
                  <w:r>
                    <w:rPr>
                      <w:sz w:val="21"/>
                      <w:szCs w:val="21"/>
                    </w:rPr>
                    <w:t>、H</w:t>
                  </w:r>
                  <w:r>
                    <w:rPr>
                      <w:sz w:val="21"/>
                      <w:szCs w:val="21"/>
                      <w:vertAlign w:val="subscript"/>
                    </w:rPr>
                    <w:t>2</w:t>
                  </w:r>
                  <w:r>
                    <w:rPr>
                      <w:sz w:val="21"/>
                      <w:szCs w:val="21"/>
                    </w:rPr>
                    <w:t>S</w:t>
                  </w:r>
                </w:p>
              </w:tc>
              <w:tc>
                <w:tcPr>
                  <w:tcW w:w="714" w:type="pct"/>
                  <w:noWrap w:val="0"/>
                  <w:vAlign w:val="center"/>
                </w:tcPr>
                <w:p>
                  <w:pPr>
                    <w:pStyle w:val="2"/>
                    <w:spacing w:before="0" w:after="0"/>
                    <w:ind w:right="0"/>
                    <w:jc w:val="center"/>
                    <w:rPr>
                      <w:sz w:val="21"/>
                      <w:szCs w:val="21"/>
                    </w:rPr>
                  </w:pPr>
                  <w:r>
                    <w:rPr>
                      <w:sz w:val="21"/>
                      <w:szCs w:val="21"/>
                    </w:rPr>
                    <w:t>15m</w:t>
                  </w:r>
                </w:p>
              </w:tc>
              <w:tc>
                <w:tcPr>
                  <w:tcW w:w="714" w:type="pct"/>
                  <w:noWrap w:val="0"/>
                  <w:vAlign w:val="center"/>
                </w:tcPr>
                <w:p>
                  <w:pPr>
                    <w:pStyle w:val="2"/>
                    <w:spacing w:before="0" w:after="0"/>
                    <w:ind w:right="0"/>
                    <w:jc w:val="center"/>
                    <w:rPr>
                      <w:sz w:val="21"/>
                      <w:szCs w:val="21"/>
                    </w:rPr>
                  </w:pPr>
                  <w:r>
                    <w:rPr>
                      <w:sz w:val="21"/>
                      <w:szCs w:val="21"/>
                    </w:rPr>
                    <w:t>0.5m</w:t>
                  </w:r>
                </w:p>
              </w:tc>
              <w:tc>
                <w:tcPr>
                  <w:tcW w:w="715" w:type="pct"/>
                  <w:noWrap w:val="0"/>
                  <w:vAlign w:val="center"/>
                </w:tcPr>
                <w:p>
                  <w:pPr>
                    <w:pStyle w:val="2"/>
                    <w:spacing w:before="0" w:after="0"/>
                    <w:ind w:right="0"/>
                    <w:jc w:val="center"/>
                    <w:rPr>
                      <w:sz w:val="21"/>
                      <w:szCs w:val="21"/>
                    </w:rPr>
                  </w:pPr>
                  <w:r>
                    <w:rPr>
                      <w:sz w:val="21"/>
                      <w:szCs w:val="21"/>
                    </w:rPr>
                    <w:t>25℃</w:t>
                  </w:r>
                </w:p>
              </w:tc>
              <w:tc>
                <w:tcPr>
                  <w:tcW w:w="715" w:type="pct"/>
                  <w:noWrap w:val="0"/>
                  <w:vAlign w:val="center"/>
                </w:tcPr>
                <w:p>
                  <w:pPr>
                    <w:pStyle w:val="2"/>
                    <w:spacing w:before="0" w:after="0"/>
                    <w:ind w:right="0"/>
                    <w:jc w:val="center"/>
                    <w:rPr>
                      <w:sz w:val="21"/>
                      <w:szCs w:val="21"/>
                    </w:rPr>
                  </w:pPr>
                  <w:r>
                    <w:rPr>
                      <w:sz w:val="21"/>
                      <w:szCs w:val="21"/>
                    </w:rPr>
                    <w:t>107.435609640°,31.266639052°</w:t>
                  </w:r>
                </w:p>
              </w:tc>
              <w:tc>
                <w:tcPr>
                  <w:tcW w:w="715" w:type="pct"/>
                  <w:noWrap w:val="0"/>
                  <w:vAlign w:val="center"/>
                </w:tcPr>
                <w:p>
                  <w:pPr>
                    <w:pStyle w:val="2"/>
                    <w:spacing w:before="0" w:after="0"/>
                    <w:ind w:right="0"/>
                    <w:jc w:val="center"/>
                    <w:rPr>
                      <w:sz w:val="21"/>
                      <w:szCs w:val="21"/>
                    </w:rPr>
                  </w:pPr>
                  <w:r>
                    <w:rPr>
                      <w:sz w:val="21"/>
                      <w:szCs w:val="21"/>
                    </w:rPr>
                    <w:t>一般排放口</w:t>
                  </w:r>
                </w:p>
              </w:tc>
            </w:tr>
          </w:tbl>
          <w:p>
            <w:pPr>
              <w:spacing w:before="120" w:beforeLines="50" w:line="360" w:lineRule="auto"/>
              <w:ind w:firstLine="482" w:firstLineChars="200"/>
              <w:rPr>
                <w:b/>
                <w:bCs/>
                <w:sz w:val="24"/>
              </w:rPr>
            </w:pPr>
            <w:r>
              <w:rPr>
                <w:b/>
                <w:bCs/>
                <w:sz w:val="24"/>
              </w:rPr>
              <w:t>4、非正常工况废气排放情况</w:t>
            </w:r>
          </w:p>
          <w:p>
            <w:pPr>
              <w:spacing w:line="360" w:lineRule="auto"/>
              <w:ind w:firstLine="480" w:firstLineChars="200"/>
              <w:rPr>
                <w:sz w:val="24"/>
              </w:rPr>
            </w:pPr>
            <w:r>
              <w:rPr>
                <w:sz w:val="24"/>
              </w:rPr>
              <w:t>当废气处理设备出现故障时，生产过程排放的废气将未经处理直接排入大气，造成非正常排放。本工程排风系统均设有安全保护电源和报警系统，设备每年检修一次，基本上能保证无故障运行。日常运行中，若出现故障，检修人员可立即到现场进行维修，一般操作在30分钟内基本上可以完成，预计最长不会超过60分钟。</w:t>
            </w:r>
          </w:p>
          <w:p>
            <w:pPr>
              <w:spacing w:line="360" w:lineRule="auto"/>
              <w:ind w:firstLine="480" w:firstLineChars="200"/>
              <w:rPr>
                <w:sz w:val="24"/>
              </w:rPr>
            </w:pPr>
            <w:r>
              <w:rPr>
                <w:sz w:val="24"/>
              </w:rPr>
              <w:t>废气处理系统出现故障，一般有3种情况：停电、净化装置和风机出现故障，对生产异常情况，采取以下措施：</w:t>
            </w:r>
          </w:p>
          <w:p>
            <w:pPr>
              <w:spacing w:line="360" w:lineRule="auto"/>
              <w:ind w:firstLine="480" w:firstLineChars="200"/>
              <w:rPr>
                <w:sz w:val="24"/>
              </w:rPr>
            </w:pPr>
            <w:r>
              <w:rPr>
                <w:sz w:val="24"/>
              </w:rPr>
              <w:t>①如果全厂停电，停止生产，无污染物产生。为确保安全，风机仍然继续运转（采用备用电源）。</w:t>
            </w:r>
          </w:p>
          <w:p>
            <w:pPr>
              <w:spacing w:line="360" w:lineRule="auto"/>
              <w:ind w:firstLine="480" w:firstLineChars="200"/>
              <w:rPr>
                <w:sz w:val="24"/>
              </w:rPr>
            </w:pPr>
            <w:r>
              <w:rPr>
                <w:sz w:val="24"/>
              </w:rPr>
              <w:t>②风机出现故障时，备用风机立即启动。</w:t>
            </w:r>
          </w:p>
          <w:p>
            <w:pPr>
              <w:spacing w:line="360" w:lineRule="auto"/>
              <w:ind w:firstLine="480" w:firstLineChars="200"/>
              <w:rPr>
                <w:sz w:val="24"/>
              </w:rPr>
            </w:pPr>
            <w:r>
              <w:rPr>
                <w:sz w:val="24"/>
              </w:rPr>
              <w:t>③当废气处理设施出现故障时，应立即进行维修，必要时停止生产原料的供给。</w:t>
            </w:r>
          </w:p>
          <w:p>
            <w:pPr>
              <w:spacing w:line="360" w:lineRule="auto"/>
              <w:ind w:firstLine="480" w:firstLineChars="200"/>
              <w:rPr>
                <w:sz w:val="24"/>
              </w:rPr>
            </w:pPr>
            <w:r>
              <w:rPr>
                <w:sz w:val="24"/>
              </w:rPr>
              <w:t>本报告废气非正常排放考虑装置处理效率为0的情况，非正常排放情况见下表。</w:t>
            </w:r>
          </w:p>
          <w:p>
            <w:pPr>
              <w:adjustRightInd w:val="0"/>
              <w:snapToGrid w:val="0"/>
              <w:jc w:val="center"/>
              <w:rPr>
                <w:rFonts w:eastAsia="黑体"/>
                <w:sz w:val="24"/>
              </w:rPr>
            </w:pPr>
            <w:r>
              <w:rPr>
                <w:rFonts w:eastAsia="黑体"/>
                <w:sz w:val="24"/>
              </w:rPr>
              <w:t>4-10    非正常工况下废气的排放情况</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62"/>
              <w:gridCol w:w="867"/>
              <w:gridCol w:w="950"/>
              <w:gridCol w:w="1078"/>
              <w:gridCol w:w="2238"/>
              <w:gridCol w:w="894"/>
              <w:gridCol w:w="598"/>
              <w:gridCol w:w="13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74" w:type="pct"/>
                  <w:shd w:val="clear" w:color="auto" w:fill="CCFFFF"/>
                  <w:noWrap w:val="0"/>
                  <w:vAlign w:val="center"/>
                </w:tcPr>
                <w:p>
                  <w:pPr>
                    <w:pStyle w:val="2"/>
                    <w:spacing w:before="0" w:after="0" w:line="240" w:lineRule="auto"/>
                    <w:ind w:right="0"/>
                    <w:jc w:val="center"/>
                    <w:rPr>
                      <w:b/>
                      <w:bCs/>
                      <w:sz w:val="21"/>
                      <w:szCs w:val="21"/>
                    </w:rPr>
                  </w:pPr>
                  <w:r>
                    <w:rPr>
                      <w:b/>
                      <w:bCs/>
                      <w:sz w:val="21"/>
                      <w:szCs w:val="21"/>
                    </w:rPr>
                    <w:t>排放源</w:t>
                  </w:r>
                </w:p>
              </w:tc>
              <w:tc>
                <w:tcPr>
                  <w:tcW w:w="514" w:type="pct"/>
                  <w:shd w:val="clear" w:color="auto" w:fill="CCFFFF"/>
                  <w:noWrap w:val="0"/>
                  <w:vAlign w:val="center"/>
                </w:tcPr>
                <w:p>
                  <w:pPr>
                    <w:pStyle w:val="2"/>
                    <w:spacing w:before="0" w:after="0" w:line="240" w:lineRule="auto"/>
                    <w:ind w:right="0"/>
                    <w:jc w:val="center"/>
                    <w:rPr>
                      <w:b/>
                      <w:bCs/>
                      <w:sz w:val="21"/>
                      <w:szCs w:val="21"/>
                    </w:rPr>
                  </w:pPr>
                  <w:r>
                    <w:rPr>
                      <w:b/>
                      <w:bCs/>
                      <w:sz w:val="21"/>
                      <w:szCs w:val="21"/>
                    </w:rPr>
                    <w:t>排气筒编号</w:t>
                  </w:r>
                </w:p>
              </w:tc>
              <w:tc>
                <w:tcPr>
                  <w:tcW w:w="563" w:type="pct"/>
                  <w:shd w:val="clear" w:color="auto" w:fill="CCFFFF"/>
                  <w:noWrap w:val="0"/>
                  <w:vAlign w:val="center"/>
                </w:tcPr>
                <w:p>
                  <w:pPr>
                    <w:pStyle w:val="2"/>
                    <w:spacing w:before="0" w:after="0" w:line="240" w:lineRule="auto"/>
                    <w:ind w:right="0"/>
                    <w:jc w:val="center"/>
                    <w:rPr>
                      <w:b/>
                      <w:bCs/>
                      <w:sz w:val="21"/>
                      <w:szCs w:val="21"/>
                    </w:rPr>
                  </w:pPr>
                  <w:r>
                    <w:rPr>
                      <w:b/>
                      <w:bCs/>
                      <w:sz w:val="21"/>
                      <w:szCs w:val="21"/>
                    </w:rPr>
                    <w:t>非正常</w:t>
                  </w:r>
                </w:p>
                <w:p>
                  <w:pPr>
                    <w:pStyle w:val="2"/>
                    <w:spacing w:before="0" w:after="0" w:line="240" w:lineRule="auto"/>
                    <w:ind w:right="0"/>
                    <w:jc w:val="center"/>
                    <w:rPr>
                      <w:b/>
                      <w:bCs/>
                      <w:sz w:val="21"/>
                      <w:szCs w:val="21"/>
                    </w:rPr>
                  </w:pPr>
                  <w:r>
                    <w:rPr>
                      <w:b/>
                      <w:bCs/>
                      <w:sz w:val="21"/>
                      <w:szCs w:val="21"/>
                    </w:rPr>
                    <w:t>工况</w:t>
                  </w:r>
                </w:p>
              </w:tc>
              <w:tc>
                <w:tcPr>
                  <w:tcW w:w="639" w:type="pct"/>
                  <w:shd w:val="clear" w:color="auto" w:fill="CCFFFF"/>
                  <w:noWrap w:val="0"/>
                  <w:vAlign w:val="center"/>
                </w:tcPr>
                <w:p>
                  <w:pPr>
                    <w:pStyle w:val="2"/>
                    <w:spacing w:before="0" w:after="0" w:line="240" w:lineRule="auto"/>
                    <w:ind w:right="0"/>
                    <w:jc w:val="center"/>
                    <w:rPr>
                      <w:b/>
                      <w:bCs/>
                      <w:sz w:val="21"/>
                      <w:szCs w:val="21"/>
                    </w:rPr>
                  </w:pPr>
                  <w:r>
                    <w:rPr>
                      <w:b/>
                      <w:bCs/>
                      <w:sz w:val="21"/>
                      <w:szCs w:val="21"/>
                    </w:rPr>
                    <w:t>污染因子</w:t>
                  </w:r>
                </w:p>
              </w:tc>
              <w:tc>
                <w:tcPr>
                  <w:tcW w:w="1326" w:type="pct"/>
                  <w:shd w:val="clear" w:color="auto" w:fill="CCFFFF"/>
                  <w:noWrap w:val="0"/>
                  <w:vAlign w:val="center"/>
                </w:tcPr>
                <w:p>
                  <w:pPr>
                    <w:pStyle w:val="2"/>
                    <w:spacing w:before="0" w:after="0" w:line="240" w:lineRule="auto"/>
                    <w:ind w:right="0"/>
                    <w:jc w:val="center"/>
                    <w:rPr>
                      <w:b/>
                      <w:bCs/>
                      <w:sz w:val="21"/>
                      <w:szCs w:val="21"/>
                    </w:rPr>
                  </w:pPr>
                  <w:r>
                    <w:rPr>
                      <w:b/>
                      <w:bCs/>
                      <w:sz w:val="21"/>
                      <w:szCs w:val="21"/>
                    </w:rPr>
                    <w:t>排放情况</w:t>
                  </w:r>
                </w:p>
              </w:tc>
              <w:tc>
                <w:tcPr>
                  <w:tcW w:w="530" w:type="pct"/>
                  <w:shd w:val="clear" w:color="auto" w:fill="CCFFFF"/>
                  <w:noWrap w:val="0"/>
                  <w:vAlign w:val="center"/>
                </w:tcPr>
                <w:p>
                  <w:pPr>
                    <w:pStyle w:val="2"/>
                    <w:spacing w:before="0" w:after="0" w:line="240" w:lineRule="auto"/>
                    <w:ind w:right="0"/>
                    <w:jc w:val="center"/>
                    <w:rPr>
                      <w:b/>
                      <w:bCs/>
                      <w:sz w:val="21"/>
                      <w:szCs w:val="21"/>
                    </w:rPr>
                  </w:pPr>
                  <w:r>
                    <w:rPr>
                      <w:b/>
                      <w:bCs/>
                      <w:sz w:val="21"/>
                      <w:szCs w:val="21"/>
                    </w:rPr>
                    <w:t>单次持续时间</w:t>
                  </w:r>
                </w:p>
              </w:tc>
              <w:tc>
                <w:tcPr>
                  <w:tcW w:w="354" w:type="pct"/>
                  <w:shd w:val="clear" w:color="auto" w:fill="CCFFFF"/>
                  <w:noWrap w:val="0"/>
                  <w:vAlign w:val="center"/>
                </w:tcPr>
                <w:p>
                  <w:pPr>
                    <w:pStyle w:val="2"/>
                    <w:spacing w:before="0" w:after="0" w:line="240" w:lineRule="auto"/>
                    <w:ind w:right="0"/>
                    <w:jc w:val="center"/>
                    <w:rPr>
                      <w:b/>
                      <w:bCs/>
                      <w:sz w:val="21"/>
                      <w:szCs w:val="21"/>
                    </w:rPr>
                  </w:pPr>
                  <w:r>
                    <w:rPr>
                      <w:b/>
                      <w:bCs/>
                      <w:sz w:val="21"/>
                      <w:szCs w:val="21"/>
                    </w:rPr>
                    <w:t>年发生频率</w:t>
                  </w:r>
                </w:p>
              </w:tc>
              <w:tc>
                <w:tcPr>
                  <w:tcW w:w="801" w:type="pct"/>
                  <w:shd w:val="clear" w:color="auto" w:fill="CCFFFF"/>
                  <w:noWrap w:val="0"/>
                  <w:vAlign w:val="center"/>
                </w:tcPr>
                <w:p>
                  <w:pPr>
                    <w:pStyle w:val="2"/>
                    <w:spacing w:before="0" w:after="0" w:line="240" w:lineRule="auto"/>
                    <w:ind w:right="0"/>
                    <w:jc w:val="center"/>
                    <w:rPr>
                      <w:b/>
                      <w:bCs/>
                      <w:sz w:val="21"/>
                      <w:szCs w:val="21"/>
                    </w:rPr>
                  </w:pPr>
                  <w:r>
                    <w:rPr>
                      <w:b/>
                      <w:bCs/>
                      <w:sz w:val="21"/>
                      <w:szCs w:val="21"/>
                    </w:rPr>
                    <w:t>应对措施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74" w:type="pct"/>
                  <w:vMerge w:val="restart"/>
                  <w:noWrap w:val="0"/>
                  <w:vAlign w:val="center"/>
                </w:tcPr>
                <w:p>
                  <w:pPr>
                    <w:pStyle w:val="2"/>
                    <w:spacing w:before="0" w:after="0" w:line="240" w:lineRule="auto"/>
                    <w:ind w:right="0"/>
                    <w:jc w:val="center"/>
                    <w:rPr>
                      <w:sz w:val="21"/>
                      <w:szCs w:val="21"/>
                    </w:rPr>
                  </w:pPr>
                  <w:r>
                    <w:rPr>
                      <w:sz w:val="21"/>
                      <w:szCs w:val="21"/>
                    </w:rPr>
                    <w:t>污水处理厂恶臭</w:t>
                  </w:r>
                </w:p>
              </w:tc>
              <w:tc>
                <w:tcPr>
                  <w:tcW w:w="514" w:type="pct"/>
                  <w:vMerge w:val="restart"/>
                  <w:noWrap w:val="0"/>
                  <w:vAlign w:val="center"/>
                </w:tcPr>
                <w:p>
                  <w:pPr>
                    <w:pStyle w:val="2"/>
                    <w:spacing w:before="0" w:after="0" w:line="240" w:lineRule="auto"/>
                    <w:ind w:right="0"/>
                    <w:jc w:val="center"/>
                    <w:rPr>
                      <w:sz w:val="21"/>
                      <w:szCs w:val="21"/>
                    </w:rPr>
                  </w:pPr>
                  <w:r>
                    <w:rPr>
                      <w:sz w:val="21"/>
                      <w:szCs w:val="21"/>
                    </w:rPr>
                    <w:t>DA001</w:t>
                  </w:r>
                </w:p>
              </w:tc>
              <w:tc>
                <w:tcPr>
                  <w:tcW w:w="563" w:type="pct"/>
                  <w:vMerge w:val="restart"/>
                  <w:noWrap w:val="0"/>
                  <w:vAlign w:val="center"/>
                </w:tcPr>
                <w:p>
                  <w:pPr>
                    <w:pStyle w:val="2"/>
                    <w:spacing w:before="0" w:after="0" w:line="240" w:lineRule="auto"/>
                    <w:ind w:right="0"/>
                    <w:jc w:val="center"/>
                    <w:rPr>
                      <w:sz w:val="21"/>
                      <w:szCs w:val="21"/>
                    </w:rPr>
                  </w:pPr>
                  <w:r>
                    <w:rPr>
                      <w:sz w:val="21"/>
                      <w:szCs w:val="21"/>
                    </w:rPr>
                    <w:t>停电、废气处理系统失效</w:t>
                  </w:r>
                </w:p>
              </w:tc>
              <w:tc>
                <w:tcPr>
                  <w:tcW w:w="639" w:type="pct"/>
                  <w:noWrap w:val="0"/>
                  <w:vAlign w:val="center"/>
                </w:tcPr>
                <w:p>
                  <w:pPr>
                    <w:pStyle w:val="2"/>
                    <w:spacing w:before="0" w:after="0" w:line="240" w:lineRule="auto"/>
                    <w:ind w:right="0"/>
                    <w:jc w:val="center"/>
                    <w:rPr>
                      <w:sz w:val="21"/>
                      <w:szCs w:val="21"/>
                    </w:rPr>
                  </w:pPr>
                  <w:r>
                    <w:rPr>
                      <w:sz w:val="21"/>
                      <w:szCs w:val="21"/>
                    </w:rPr>
                    <w:t>NH</w:t>
                  </w:r>
                  <w:r>
                    <w:rPr>
                      <w:sz w:val="21"/>
                      <w:szCs w:val="21"/>
                      <w:vertAlign w:val="subscript"/>
                    </w:rPr>
                    <w:t>3</w:t>
                  </w:r>
                </w:p>
              </w:tc>
              <w:tc>
                <w:tcPr>
                  <w:tcW w:w="1326" w:type="pct"/>
                  <w:noWrap w:val="0"/>
                  <w:vAlign w:val="center"/>
                </w:tcPr>
                <w:p>
                  <w:pPr>
                    <w:pStyle w:val="2"/>
                    <w:spacing w:before="0" w:after="0" w:line="240" w:lineRule="auto"/>
                    <w:ind w:right="0"/>
                    <w:jc w:val="center"/>
                    <w:rPr>
                      <w:sz w:val="21"/>
                      <w:szCs w:val="21"/>
                    </w:rPr>
                  </w:pPr>
                  <w:r>
                    <w:rPr>
                      <w:sz w:val="21"/>
                      <w:szCs w:val="21"/>
                    </w:rPr>
                    <w:t>0.0742kg/h</w:t>
                  </w:r>
                </w:p>
              </w:tc>
              <w:tc>
                <w:tcPr>
                  <w:tcW w:w="530" w:type="pct"/>
                  <w:noWrap w:val="0"/>
                  <w:vAlign w:val="center"/>
                </w:tcPr>
                <w:p>
                  <w:pPr>
                    <w:pStyle w:val="2"/>
                    <w:spacing w:before="0" w:after="0" w:line="240" w:lineRule="auto"/>
                    <w:ind w:right="0"/>
                    <w:jc w:val="center"/>
                    <w:rPr>
                      <w:sz w:val="21"/>
                      <w:szCs w:val="21"/>
                    </w:rPr>
                  </w:pPr>
                  <w:r>
                    <w:rPr>
                      <w:sz w:val="21"/>
                      <w:szCs w:val="21"/>
                    </w:rPr>
                    <w:t>2h</w:t>
                  </w:r>
                </w:p>
              </w:tc>
              <w:tc>
                <w:tcPr>
                  <w:tcW w:w="354" w:type="pct"/>
                  <w:noWrap w:val="0"/>
                  <w:vAlign w:val="center"/>
                </w:tcPr>
                <w:p>
                  <w:pPr>
                    <w:pStyle w:val="2"/>
                    <w:spacing w:before="0" w:after="0" w:line="240" w:lineRule="auto"/>
                    <w:ind w:right="0"/>
                    <w:jc w:val="center"/>
                    <w:rPr>
                      <w:sz w:val="21"/>
                      <w:szCs w:val="21"/>
                    </w:rPr>
                  </w:pPr>
                  <w:r>
                    <w:rPr>
                      <w:sz w:val="21"/>
                      <w:szCs w:val="21"/>
                    </w:rPr>
                    <w:t>1次</w:t>
                  </w:r>
                </w:p>
              </w:tc>
              <w:tc>
                <w:tcPr>
                  <w:tcW w:w="801" w:type="pct"/>
                  <w:vMerge w:val="restart"/>
                  <w:noWrap w:val="0"/>
                  <w:vAlign w:val="center"/>
                </w:tcPr>
                <w:p>
                  <w:pPr>
                    <w:pStyle w:val="2"/>
                    <w:ind w:right="0"/>
                    <w:jc w:val="center"/>
                    <w:rPr>
                      <w:sz w:val="21"/>
                      <w:szCs w:val="21"/>
                    </w:rPr>
                  </w:pPr>
                  <w:r>
                    <w:rPr>
                      <w:sz w:val="21"/>
                      <w:szCs w:val="21"/>
                    </w:rPr>
                    <w:t>及时维修废气治理设施，必要时停产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74" w:type="pct"/>
                  <w:vMerge w:val="continue"/>
                  <w:noWrap w:val="0"/>
                  <w:vAlign w:val="center"/>
                </w:tcPr>
                <w:p>
                  <w:pPr>
                    <w:pStyle w:val="2"/>
                    <w:spacing w:before="0" w:after="0" w:line="240" w:lineRule="auto"/>
                    <w:ind w:right="0"/>
                    <w:jc w:val="center"/>
                    <w:rPr>
                      <w:sz w:val="21"/>
                      <w:szCs w:val="21"/>
                    </w:rPr>
                  </w:pPr>
                </w:p>
              </w:tc>
              <w:tc>
                <w:tcPr>
                  <w:tcW w:w="514" w:type="pct"/>
                  <w:vMerge w:val="continue"/>
                  <w:noWrap w:val="0"/>
                  <w:vAlign w:val="center"/>
                </w:tcPr>
                <w:p>
                  <w:pPr>
                    <w:pStyle w:val="2"/>
                    <w:spacing w:before="0" w:after="0" w:line="240" w:lineRule="auto"/>
                    <w:ind w:right="0"/>
                    <w:jc w:val="center"/>
                    <w:rPr>
                      <w:sz w:val="21"/>
                      <w:szCs w:val="21"/>
                    </w:rPr>
                  </w:pPr>
                </w:p>
              </w:tc>
              <w:tc>
                <w:tcPr>
                  <w:tcW w:w="563" w:type="pct"/>
                  <w:vMerge w:val="continue"/>
                  <w:noWrap w:val="0"/>
                  <w:vAlign w:val="center"/>
                </w:tcPr>
                <w:p>
                  <w:pPr>
                    <w:pStyle w:val="2"/>
                    <w:spacing w:before="0" w:after="0" w:line="240" w:lineRule="auto"/>
                    <w:ind w:right="0"/>
                    <w:jc w:val="center"/>
                    <w:rPr>
                      <w:sz w:val="21"/>
                      <w:szCs w:val="21"/>
                    </w:rPr>
                  </w:pPr>
                </w:p>
              </w:tc>
              <w:tc>
                <w:tcPr>
                  <w:tcW w:w="639" w:type="pct"/>
                  <w:noWrap w:val="0"/>
                  <w:vAlign w:val="center"/>
                </w:tcPr>
                <w:p>
                  <w:pPr>
                    <w:pStyle w:val="2"/>
                    <w:spacing w:before="0" w:after="0" w:line="240" w:lineRule="auto"/>
                    <w:ind w:right="0"/>
                    <w:jc w:val="center"/>
                    <w:rPr>
                      <w:sz w:val="21"/>
                      <w:szCs w:val="21"/>
                    </w:rPr>
                  </w:pPr>
                  <w:r>
                    <w:rPr>
                      <w:sz w:val="21"/>
                      <w:szCs w:val="21"/>
                    </w:rPr>
                    <w:t>H</w:t>
                  </w:r>
                  <w:r>
                    <w:rPr>
                      <w:sz w:val="21"/>
                      <w:szCs w:val="21"/>
                      <w:vertAlign w:val="subscript"/>
                    </w:rPr>
                    <w:t>2</w:t>
                  </w:r>
                  <w:r>
                    <w:rPr>
                      <w:sz w:val="21"/>
                      <w:szCs w:val="21"/>
                    </w:rPr>
                    <w:t>S</w:t>
                  </w:r>
                </w:p>
              </w:tc>
              <w:tc>
                <w:tcPr>
                  <w:tcW w:w="1326" w:type="pct"/>
                  <w:noWrap w:val="0"/>
                  <w:vAlign w:val="center"/>
                </w:tcPr>
                <w:p>
                  <w:pPr>
                    <w:pStyle w:val="2"/>
                    <w:spacing w:before="0" w:after="0" w:line="240" w:lineRule="auto"/>
                    <w:ind w:right="0"/>
                    <w:jc w:val="center"/>
                    <w:rPr>
                      <w:sz w:val="21"/>
                      <w:szCs w:val="21"/>
                    </w:rPr>
                  </w:pPr>
                  <w:r>
                    <w:rPr>
                      <w:sz w:val="21"/>
                      <w:szCs w:val="21"/>
                    </w:rPr>
                    <w:t>0.5346kg/h</w:t>
                  </w:r>
                </w:p>
              </w:tc>
              <w:tc>
                <w:tcPr>
                  <w:tcW w:w="530" w:type="pct"/>
                  <w:noWrap w:val="0"/>
                  <w:vAlign w:val="center"/>
                </w:tcPr>
                <w:p>
                  <w:pPr>
                    <w:pStyle w:val="2"/>
                    <w:spacing w:before="0" w:after="0" w:line="240" w:lineRule="auto"/>
                    <w:ind w:right="0"/>
                    <w:jc w:val="center"/>
                    <w:rPr>
                      <w:sz w:val="21"/>
                      <w:szCs w:val="21"/>
                    </w:rPr>
                  </w:pPr>
                  <w:r>
                    <w:rPr>
                      <w:sz w:val="21"/>
                      <w:szCs w:val="21"/>
                    </w:rPr>
                    <w:t>2h</w:t>
                  </w:r>
                </w:p>
              </w:tc>
              <w:tc>
                <w:tcPr>
                  <w:tcW w:w="354" w:type="pct"/>
                  <w:noWrap w:val="0"/>
                  <w:vAlign w:val="center"/>
                </w:tcPr>
                <w:p>
                  <w:pPr>
                    <w:pStyle w:val="2"/>
                    <w:spacing w:before="0" w:after="0" w:line="240" w:lineRule="auto"/>
                    <w:ind w:right="0"/>
                    <w:jc w:val="center"/>
                    <w:rPr>
                      <w:sz w:val="21"/>
                      <w:szCs w:val="21"/>
                    </w:rPr>
                  </w:pPr>
                  <w:r>
                    <w:rPr>
                      <w:sz w:val="21"/>
                      <w:szCs w:val="21"/>
                    </w:rPr>
                    <w:t>1次</w:t>
                  </w:r>
                </w:p>
              </w:tc>
              <w:tc>
                <w:tcPr>
                  <w:tcW w:w="801" w:type="pct"/>
                  <w:vMerge w:val="continue"/>
                  <w:noWrap w:val="0"/>
                  <w:vAlign w:val="center"/>
                </w:tcPr>
                <w:p>
                  <w:pPr>
                    <w:pStyle w:val="2"/>
                    <w:spacing w:before="0" w:after="0" w:line="240" w:lineRule="auto"/>
                    <w:ind w:right="0"/>
                    <w:jc w:val="center"/>
                    <w:rPr>
                      <w:sz w:val="21"/>
                      <w:szCs w:val="21"/>
                    </w:rPr>
                  </w:pPr>
                </w:p>
              </w:tc>
            </w:tr>
          </w:tbl>
          <w:p>
            <w:pPr>
              <w:spacing w:before="120" w:beforeLines="50" w:line="360" w:lineRule="auto"/>
              <w:ind w:firstLine="480" w:firstLineChars="200"/>
              <w:rPr>
                <w:sz w:val="24"/>
              </w:rPr>
            </w:pPr>
            <w:r>
              <w:rPr>
                <w:sz w:val="24"/>
              </w:rPr>
              <w:t>由上表可知，非正常工况下，为防止生产废气非正常排放增加大气污染，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pPr>
              <w:spacing w:line="360" w:lineRule="auto"/>
              <w:ind w:firstLine="480" w:firstLineChars="200"/>
              <w:rPr>
                <w:sz w:val="24"/>
              </w:rPr>
            </w:pPr>
            <w:r>
              <w:rPr>
                <w:sz w:val="24"/>
              </w:rPr>
              <w:t>①安排专人负责环保设备的日常维护和管理，</w:t>
            </w:r>
            <w:r>
              <w:rPr>
                <w:rFonts w:hint="eastAsia"/>
                <w:sz w:val="24"/>
                <w:lang w:eastAsia="zh-CN"/>
              </w:rPr>
              <w:t>每隔</w:t>
            </w:r>
            <w:r>
              <w:rPr>
                <w:sz w:val="24"/>
              </w:rPr>
              <w:t>固定时间检查、汇报情况，及时发现废气处理设备的隐患，确保废气处理系统正常运行；</w:t>
            </w:r>
          </w:p>
          <w:p>
            <w:pPr>
              <w:spacing w:line="360" w:lineRule="auto"/>
              <w:ind w:firstLine="480" w:firstLineChars="200"/>
              <w:rPr>
                <w:sz w:val="24"/>
              </w:rPr>
            </w:pPr>
            <w:r>
              <w:rPr>
                <w:sz w:val="24"/>
              </w:rPr>
              <w:t>②建立健全的环保管理机构，对环保管理人员和技术人员进行岗位培训，委托具有专业资质的环境检测单位对项目排放的各类污染物进行定期检测；</w:t>
            </w:r>
          </w:p>
          <w:p>
            <w:pPr>
              <w:spacing w:line="360" w:lineRule="auto"/>
              <w:ind w:firstLine="480" w:firstLineChars="200"/>
              <w:rPr>
                <w:sz w:val="24"/>
              </w:rPr>
            </w:pPr>
            <w:r>
              <w:rPr>
                <w:sz w:val="24"/>
              </w:rPr>
              <w:t>③应定期维护、检修废气净化装置，以保持废气处理装置的净化能力。</w:t>
            </w:r>
          </w:p>
          <w:p>
            <w:pPr>
              <w:spacing w:line="360" w:lineRule="auto"/>
              <w:ind w:firstLine="482" w:firstLineChars="200"/>
              <w:rPr>
                <w:b/>
                <w:bCs/>
                <w:sz w:val="24"/>
              </w:rPr>
            </w:pPr>
            <w:r>
              <w:rPr>
                <w:b/>
                <w:bCs/>
                <w:sz w:val="24"/>
              </w:rPr>
              <w:t>5、监测要求</w:t>
            </w:r>
          </w:p>
          <w:p>
            <w:pPr>
              <w:spacing w:line="360" w:lineRule="auto"/>
              <w:ind w:firstLine="480" w:firstLineChars="200"/>
              <w:rPr>
                <w:sz w:val="24"/>
              </w:rPr>
            </w:pPr>
            <w:r>
              <w:rPr>
                <w:sz w:val="24"/>
              </w:rPr>
              <w:t>项目废气监测参照《排污许可证申请与核发技术规范 水处理（试行）》（HJ978-2018）中有组织、无组织废气排放监测指标及最低监测频次中除臭装置排气筒要求及无组织废气监测指标及最低监测频次中的要求，具体如下表。</w:t>
            </w:r>
          </w:p>
          <w:p>
            <w:pPr>
              <w:jc w:val="center"/>
              <w:rPr>
                <w:rFonts w:eastAsia="黑体"/>
                <w:sz w:val="24"/>
              </w:rPr>
            </w:pPr>
            <w:r>
              <w:rPr>
                <w:rFonts w:eastAsia="黑体"/>
                <w:sz w:val="24"/>
              </w:rPr>
              <w:t>表4-11  项目废气有组织排放监测指标及最低监测频次</w:t>
            </w:r>
          </w:p>
          <w:tbl>
            <w:tblPr>
              <w:tblStyle w:val="32"/>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660"/>
              <w:gridCol w:w="3957"/>
              <w:gridCol w:w="2639"/>
              <w:gridCol w:w="1182"/>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91" w:type="pct"/>
                  <w:shd w:val="clear" w:color="auto" w:fill="CBFFFF"/>
                  <w:noWrap w:val="0"/>
                  <w:vAlign w:val="center"/>
                </w:tcPr>
                <w:p>
                  <w:pPr>
                    <w:pStyle w:val="89"/>
                    <w:jc w:val="center"/>
                    <w:rPr>
                      <w:rFonts w:ascii="Times New Roman" w:hAnsi="Times New Roman" w:cs="Times New Roman"/>
                      <w:b/>
                      <w:bCs/>
                      <w:sz w:val="21"/>
                      <w:szCs w:val="21"/>
                    </w:rPr>
                  </w:pPr>
                  <w:r>
                    <w:rPr>
                      <w:rFonts w:ascii="Times New Roman" w:hAnsi="Times New Roman" w:cs="Times New Roman"/>
                      <w:b/>
                      <w:bCs/>
                      <w:sz w:val="21"/>
                      <w:szCs w:val="21"/>
                    </w:rPr>
                    <w:t>类别</w:t>
                  </w:r>
                </w:p>
              </w:tc>
              <w:tc>
                <w:tcPr>
                  <w:tcW w:w="2345" w:type="pct"/>
                  <w:shd w:val="clear" w:color="auto" w:fill="CBFFFF"/>
                  <w:noWrap w:val="0"/>
                  <w:vAlign w:val="center"/>
                </w:tcPr>
                <w:p>
                  <w:pPr>
                    <w:pStyle w:val="89"/>
                    <w:jc w:val="center"/>
                    <w:rPr>
                      <w:rFonts w:ascii="Times New Roman" w:hAnsi="Times New Roman" w:cs="Times New Roman"/>
                      <w:b/>
                      <w:bCs/>
                      <w:sz w:val="21"/>
                      <w:szCs w:val="21"/>
                    </w:rPr>
                  </w:pPr>
                  <w:r>
                    <w:rPr>
                      <w:rFonts w:ascii="Times New Roman" w:hAnsi="Times New Roman" w:cs="Times New Roman"/>
                      <w:b/>
                      <w:bCs/>
                      <w:sz w:val="21"/>
                      <w:szCs w:val="21"/>
                    </w:rPr>
                    <w:t>监测点位</w:t>
                  </w:r>
                </w:p>
              </w:tc>
              <w:tc>
                <w:tcPr>
                  <w:tcW w:w="1564" w:type="pct"/>
                  <w:shd w:val="clear" w:color="auto" w:fill="CBFFFF"/>
                  <w:noWrap w:val="0"/>
                  <w:vAlign w:val="center"/>
                </w:tcPr>
                <w:p>
                  <w:pPr>
                    <w:pStyle w:val="89"/>
                    <w:jc w:val="center"/>
                    <w:rPr>
                      <w:rFonts w:ascii="Times New Roman" w:hAnsi="Times New Roman" w:cs="Times New Roman"/>
                      <w:b/>
                      <w:bCs/>
                      <w:sz w:val="21"/>
                      <w:szCs w:val="21"/>
                    </w:rPr>
                  </w:pPr>
                  <w:r>
                    <w:rPr>
                      <w:rFonts w:ascii="Times New Roman" w:hAnsi="Times New Roman" w:cs="Times New Roman"/>
                      <w:b/>
                      <w:bCs/>
                      <w:sz w:val="21"/>
                      <w:szCs w:val="21"/>
                    </w:rPr>
                    <w:t>监测项目</w:t>
                  </w:r>
                </w:p>
              </w:tc>
              <w:tc>
                <w:tcPr>
                  <w:tcW w:w="700" w:type="pct"/>
                  <w:shd w:val="clear" w:color="auto" w:fill="CBFFFF"/>
                  <w:noWrap w:val="0"/>
                  <w:vAlign w:val="center"/>
                </w:tcPr>
                <w:p>
                  <w:pPr>
                    <w:pStyle w:val="89"/>
                    <w:jc w:val="center"/>
                    <w:rPr>
                      <w:rFonts w:ascii="Times New Roman" w:hAnsi="Times New Roman" w:cs="Times New Roman"/>
                      <w:b/>
                      <w:bCs/>
                      <w:sz w:val="21"/>
                      <w:szCs w:val="21"/>
                    </w:rPr>
                  </w:pPr>
                  <w:r>
                    <w:rPr>
                      <w:rFonts w:ascii="Times New Roman" w:hAnsi="Times New Roman" w:cs="Times New Roman"/>
                      <w:b/>
                      <w:bCs/>
                      <w:sz w:val="21"/>
                      <w:szCs w:val="21"/>
                    </w:rPr>
                    <w:t>监测频率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91" w:type="pct"/>
                  <w:vMerge w:val="restart"/>
                  <w:noWrap w:val="0"/>
                  <w:vAlign w:val="center"/>
                </w:tcPr>
                <w:p>
                  <w:pPr>
                    <w:pStyle w:val="89"/>
                    <w:jc w:val="center"/>
                    <w:rPr>
                      <w:rFonts w:ascii="Times New Roman" w:hAnsi="Times New Roman" w:cs="Times New Roman"/>
                      <w:sz w:val="21"/>
                      <w:szCs w:val="21"/>
                    </w:rPr>
                  </w:pPr>
                  <w:r>
                    <w:rPr>
                      <w:rFonts w:ascii="Times New Roman" w:hAnsi="Times New Roman" w:cs="Times New Roman"/>
                      <w:sz w:val="21"/>
                      <w:szCs w:val="21"/>
                    </w:rPr>
                    <w:t>废气</w:t>
                  </w:r>
                </w:p>
              </w:tc>
              <w:tc>
                <w:tcPr>
                  <w:tcW w:w="2345" w:type="pct"/>
                  <w:noWrap w:val="0"/>
                  <w:vAlign w:val="center"/>
                </w:tcPr>
                <w:p>
                  <w:pPr>
                    <w:pStyle w:val="89"/>
                    <w:jc w:val="center"/>
                    <w:rPr>
                      <w:rFonts w:ascii="Times New Roman" w:hAnsi="Times New Roman" w:cs="Times New Roman"/>
                      <w:sz w:val="21"/>
                      <w:szCs w:val="21"/>
                    </w:rPr>
                  </w:pPr>
                  <w:r>
                    <w:rPr>
                      <w:rFonts w:ascii="Times New Roman" w:hAnsi="Times New Roman" w:cs="Times New Roman"/>
                      <w:sz w:val="21"/>
                      <w:szCs w:val="21"/>
                    </w:rPr>
                    <w:t>恶臭排放口</w:t>
                  </w:r>
                  <w:r>
                    <w:rPr>
                      <w:rFonts w:ascii="Times New Roman" w:hAnsi="Times New Roman" w:cs="Times New Roman"/>
                      <w:sz w:val="21"/>
                      <w:szCs w:val="21"/>
                      <w:lang w:eastAsia="zh-CN"/>
                    </w:rPr>
                    <w:t>DA</w:t>
                  </w:r>
                  <w:r>
                    <w:rPr>
                      <w:rFonts w:ascii="Times New Roman" w:hAnsi="Times New Roman" w:cs="Times New Roman"/>
                      <w:sz w:val="21"/>
                      <w:szCs w:val="21"/>
                    </w:rPr>
                    <w:t>001</w:t>
                  </w:r>
                </w:p>
              </w:tc>
              <w:tc>
                <w:tcPr>
                  <w:tcW w:w="1564" w:type="pct"/>
                  <w:noWrap w:val="0"/>
                  <w:vAlign w:val="center"/>
                </w:tcPr>
                <w:p>
                  <w:pPr>
                    <w:pStyle w:val="89"/>
                    <w:jc w:val="center"/>
                    <w:rPr>
                      <w:rFonts w:ascii="Times New Roman" w:hAnsi="Times New Roman" w:cs="Times New Roman"/>
                      <w:sz w:val="21"/>
                      <w:szCs w:val="21"/>
                    </w:rPr>
                  </w:pPr>
                  <w:r>
                    <w:rPr>
                      <w:rFonts w:ascii="Times New Roman" w:hAnsi="Times New Roman" w:cs="Times New Roman"/>
                      <w:sz w:val="21"/>
                      <w:szCs w:val="21"/>
                    </w:rPr>
                    <w:t>臭气浓度、NH</w:t>
                  </w:r>
                  <w:r>
                    <w:rPr>
                      <w:rFonts w:ascii="Times New Roman" w:hAnsi="Times New Roman" w:cs="Times New Roman"/>
                      <w:sz w:val="21"/>
                      <w:szCs w:val="21"/>
                      <w:vertAlign w:val="subscript"/>
                    </w:rPr>
                    <w:t>3</w:t>
                  </w:r>
                  <w:r>
                    <w:rPr>
                      <w:rFonts w:ascii="Times New Roman" w:hAnsi="Times New Roman" w:cs="Times New Roman"/>
                      <w:sz w:val="21"/>
                      <w:szCs w:val="21"/>
                    </w:rPr>
                    <w:t>、H</w:t>
                  </w:r>
                  <w:r>
                    <w:rPr>
                      <w:rFonts w:ascii="Times New Roman" w:hAnsi="Times New Roman" w:cs="Times New Roman"/>
                      <w:sz w:val="21"/>
                      <w:szCs w:val="21"/>
                      <w:vertAlign w:val="subscript"/>
                    </w:rPr>
                    <w:t>2</w:t>
                  </w:r>
                  <w:r>
                    <w:rPr>
                      <w:rFonts w:ascii="Times New Roman" w:hAnsi="Times New Roman" w:cs="Times New Roman"/>
                      <w:sz w:val="21"/>
                      <w:szCs w:val="21"/>
                    </w:rPr>
                    <w:t xml:space="preserve">S </w:t>
                  </w:r>
                </w:p>
              </w:tc>
              <w:tc>
                <w:tcPr>
                  <w:tcW w:w="700" w:type="pct"/>
                  <w:vMerge w:val="restart"/>
                  <w:noWrap w:val="0"/>
                  <w:vAlign w:val="center"/>
                </w:tcPr>
                <w:p>
                  <w:pPr>
                    <w:pStyle w:val="89"/>
                    <w:jc w:val="center"/>
                    <w:rPr>
                      <w:rFonts w:ascii="Times New Roman" w:hAnsi="Times New Roman" w:cs="Times New Roman"/>
                      <w:sz w:val="21"/>
                      <w:szCs w:val="21"/>
                    </w:rPr>
                  </w:pPr>
                  <w:r>
                    <w:rPr>
                      <w:rFonts w:ascii="Times New Roman" w:hAnsi="Times New Roman" w:cs="Times New Roman"/>
                      <w:sz w:val="21"/>
                      <w:szCs w:val="21"/>
                    </w:rPr>
                    <w:t>1次/半年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91" w:type="pct"/>
                  <w:vMerge w:val="continue"/>
                  <w:noWrap w:val="0"/>
                  <w:vAlign w:val="center"/>
                </w:tcPr>
                <w:p>
                  <w:pPr>
                    <w:pStyle w:val="89"/>
                    <w:jc w:val="center"/>
                    <w:rPr>
                      <w:rFonts w:ascii="Times New Roman" w:hAnsi="Times New Roman" w:cs="Times New Roman"/>
                      <w:sz w:val="21"/>
                      <w:szCs w:val="21"/>
                    </w:rPr>
                  </w:pPr>
                </w:p>
              </w:tc>
              <w:tc>
                <w:tcPr>
                  <w:tcW w:w="2345" w:type="pct"/>
                  <w:noWrap w:val="0"/>
                  <w:vAlign w:val="center"/>
                </w:tcPr>
                <w:p>
                  <w:pPr>
                    <w:pStyle w:val="89"/>
                    <w:jc w:val="center"/>
                    <w:rPr>
                      <w:rFonts w:ascii="Times New Roman" w:hAnsi="Times New Roman" w:cs="Times New Roman"/>
                      <w:sz w:val="21"/>
                      <w:szCs w:val="21"/>
                      <w:lang w:eastAsia="zh-CN"/>
                    </w:rPr>
                  </w:pPr>
                  <w:r>
                    <w:rPr>
                      <w:rFonts w:ascii="Times New Roman" w:hAnsi="Times New Roman" w:cs="Times New Roman"/>
                      <w:sz w:val="21"/>
                      <w:szCs w:val="21"/>
                      <w:lang w:eastAsia="zh-CN"/>
                    </w:rPr>
                    <w:t>厂界无组织排放监控点</w:t>
                  </w:r>
                </w:p>
              </w:tc>
              <w:tc>
                <w:tcPr>
                  <w:tcW w:w="1564" w:type="pct"/>
                  <w:noWrap w:val="0"/>
                  <w:vAlign w:val="center"/>
                </w:tcPr>
                <w:p>
                  <w:pPr>
                    <w:pStyle w:val="89"/>
                    <w:jc w:val="center"/>
                    <w:rPr>
                      <w:rFonts w:ascii="Times New Roman" w:hAnsi="Times New Roman" w:cs="Times New Roman"/>
                      <w:sz w:val="21"/>
                      <w:szCs w:val="21"/>
                      <w:lang w:eastAsia="zh-CN"/>
                    </w:rPr>
                  </w:pPr>
                  <w:r>
                    <w:rPr>
                      <w:rFonts w:ascii="Times New Roman" w:hAnsi="Times New Roman" w:cs="Times New Roman"/>
                      <w:sz w:val="21"/>
                      <w:szCs w:val="21"/>
                      <w:lang w:eastAsia="zh-CN"/>
                    </w:rPr>
                    <w:t>臭气浓度、NH</w:t>
                  </w:r>
                  <w:r>
                    <w:rPr>
                      <w:rFonts w:ascii="Times New Roman" w:hAnsi="Times New Roman" w:cs="Times New Roman"/>
                      <w:sz w:val="21"/>
                      <w:szCs w:val="21"/>
                      <w:vertAlign w:val="subscript"/>
                      <w:lang w:eastAsia="zh-CN"/>
                    </w:rPr>
                    <w:t>3</w:t>
                  </w:r>
                  <w:r>
                    <w:rPr>
                      <w:rFonts w:ascii="Times New Roman" w:hAnsi="Times New Roman" w:cs="Times New Roman"/>
                      <w:sz w:val="21"/>
                      <w:szCs w:val="21"/>
                      <w:lang w:eastAsia="zh-CN"/>
                    </w:rPr>
                    <w:t>、H</w:t>
                  </w:r>
                  <w:r>
                    <w:rPr>
                      <w:rFonts w:ascii="Times New Roman" w:hAnsi="Times New Roman" w:cs="Times New Roman"/>
                      <w:sz w:val="21"/>
                      <w:szCs w:val="21"/>
                      <w:vertAlign w:val="subscript"/>
                      <w:lang w:eastAsia="zh-CN"/>
                    </w:rPr>
                    <w:t>2</w:t>
                  </w:r>
                  <w:r>
                    <w:rPr>
                      <w:rFonts w:ascii="Times New Roman" w:hAnsi="Times New Roman" w:cs="Times New Roman"/>
                      <w:sz w:val="21"/>
                      <w:szCs w:val="21"/>
                      <w:lang w:eastAsia="zh-CN"/>
                    </w:rPr>
                    <w:t>S、甲烷</w:t>
                  </w:r>
                </w:p>
              </w:tc>
              <w:tc>
                <w:tcPr>
                  <w:tcW w:w="700" w:type="pct"/>
                  <w:vMerge w:val="continue"/>
                  <w:noWrap w:val="0"/>
                  <w:vAlign w:val="center"/>
                </w:tcPr>
                <w:p>
                  <w:pPr>
                    <w:pStyle w:val="89"/>
                    <w:jc w:val="center"/>
                    <w:rPr>
                      <w:rFonts w:ascii="Times New Roman" w:hAnsi="Times New Roman" w:cs="Times New Roman"/>
                      <w:sz w:val="21"/>
                      <w:szCs w:val="21"/>
                      <w:lang w:eastAsia="zh-CN"/>
                    </w:rPr>
                  </w:pPr>
                </w:p>
              </w:tc>
            </w:tr>
          </w:tbl>
          <w:p>
            <w:pPr>
              <w:spacing w:line="360" w:lineRule="auto"/>
              <w:ind w:firstLine="482" w:firstLineChars="200"/>
              <w:rPr>
                <w:b/>
                <w:bCs/>
                <w:sz w:val="24"/>
              </w:rPr>
            </w:pPr>
            <w:r>
              <w:rPr>
                <w:b/>
                <w:bCs/>
                <w:sz w:val="24"/>
              </w:rPr>
              <w:t>6、大气影响分析</w:t>
            </w:r>
          </w:p>
          <w:p>
            <w:pPr>
              <w:spacing w:line="360" w:lineRule="auto"/>
              <w:ind w:firstLine="480" w:firstLineChars="200"/>
              <w:rPr>
                <w:sz w:val="24"/>
              </w:rPr>
            </w:pPr>
            <w:r>
              <w:rPr>
                <w:sz w:val="24"/>
              </w:rPr>
              <w:t>本项目污水预处理单元污水预处理区域（提升池、格栅渠、调节池）、和污泥处理区域（脱水机房、污泥池、污泥料仓）共2个除臭单元，经加盖、密封和设置微负压抽风系统（收集效率90%）收集后，设置1套喷淋塔（碱液）除臭装置进行处理经风管汇入一根15m高排气筒（DA001）进行排放，恶臭气体（NH</w:t>
            </w:r>
            <w:r>
              <w:rPr>
                <w:sz w:val="24"/>
                <w:vertAlign w:val="subscript"/>
              </w:rPr>
              <w:t>3</w:t>
            </w:r>
            <w:r>
              <w:rPr>
                <w:sz w:val="24"/>
              </w:rPr>
              <w:t>、H</w:t>
            </w:r>
            <w:r>
              <w:rPr>
                <w:sz w:val="24"/>
                <w:vertAlign w:val="subscript"/>
              </w:rPr>
              <w:t>2</w:t>
            </w:r>
            <w:r>
              <w:rPr>
                <w:sz w:val="24"/>
              </w:rPr>
              <w:t>S、臭气浓度）均能达到《恶臭污染物排放标准》（GB14554-93）中相应的标准限值；均满足《恶臭污染物排放标准》（GB14554-93）标准限值。</w:t>
            </w:r>
          </w:p>
          <w:p>
            <w:pPr>
              <w:spacing w:line="360" w:lineRule="auto"/>
              <w:ind w:firstLine="480" w:firstLineChars="200"/>
              <w:rPr>
                <w:sz w:val="24"/>
              </w:rPr>
            </w:pPr>
            <w:r>
              <w:rPr>
                <w:sz w:val="24"/>
              </w:rPr>
              <w:t>柴油发电机产生的废气经自带的消烟除尘装置处理后，经专用烟道高空排放。</w:t>
            </w:r>
          </w:p>
          <w:p>
            <w:pPr>
              <w:spacing w:line="360" w:lineRule="auto"/>
              <w:ind w:firstLine="480" w:firstLineChars="200"/>
              <w:rPr>
                <w:sz w:val="24"/>
              </w:rPr>
            </w:pPr>
            <w:r>
              <w:rPr>
                <w:sz w:val="24"/>
              </w:rPr>
              <w:t>因此，本项目废气处理方式技术可行，不会对周边环境造成明显影响。</w:t>
            </w:r>
          </w:p>
          <w:p>
            <w:pPr>
              <w:spacing w:line="360" w:lineRule="auto"/>
              <w:ind w:firstLine="480" w:firstLineChars="200"/>
              <w:rPr>
                <w:sz w:val="24"/>
              </w:rPr>
            </w:pPr>
            <w:r>
              <w:rPr>
                <w:sz w:val="24"/>
              </w:rPr>
              <w:t>综上所述，本项目产生的各类废气污染物经治理后，均能实现达标排放，不会对周边环境造成明显影响。</w:t>
            </w:r>
          </w:p>
          <w:p>
            <w:pPr>
              <w:spacing w:line="360" w:lineRule="auto"/>
              <w:rPr>
                <w:b/>
                <w:bCs/>
                <w:sz w:val="24"/>
              </w:rPr>
            </w:pPr>
            <w:r>
              <w:rPr>
                <w:b/>
                <w:bCs/>
                <w:sz w:val="24"/>
              </w:rPr>
              <w:t>二、废水环境影响和保护措施</w:t>
            </w:r>
          </w:p>
          <w:p>
            <w:pPr>
              <w:spacing w:line="360" w:lineRule="auto"/>
              <w:ind w:firstLine="480" w:firstLineChars="200"/>
              <w:rPr>
                <w:sz w:val="24"/>
              </w:rPr>
            </w:pPr>
            <w:r>
              <w:rPr>
                <w:sz w:val="24"/>
              </w:rPr>
              <w:t>通过预测分析可知，在双龙镇污水处理厂改扩建项目正常运行条件下，在完全混合后下游5200m 处COD 回归本底，下游6000m 处TP 回归本底，在完全混合后，NH</w:t>
            </w:r>
            <w:r>
              <w:rPr>
                <w:sz w:val="24"/>
                <w:vertAlign w:val="subscript"/>
              </w:rPr>
              <w:t>3</w:t>
            </w:r>
            <w:r>
              <w:rPr>
                <w:sz w:val="24"/>
              </w:rPr>
              <w:t>-N 能满足地表水Ⅲ类要求；事故排放下，在完全混合后，COD、NH</w:t>
            </w:r>
            <w:r>
              <w:rPr>
                <w:sz w:val="24"/>
                <w:vertAlign w:val="subscript"/>
              </w:rPr>
              <w:t>3</w:t>
            </w:r>
            <w:r>
              <w:rPr>
                <w:sz w:val="24"/>
              </w:rPr>
              <w:t>-N、TP 均能满足地表水Ⅳ类要求。</w:t>
            </w:r>
          </w:p>
          <w:p>
            <w:pPr>
              <w:spacing w:line="360" w:lineRule="auto"/>
              <w:ind w:firstLine="480" w:firstLineChars="200"/>
              <w:rPr>
                <w:sz w:val="24"/>
              </w:rPr>
            </w:pPr>
            <w:r>
              <w:rPr>
                <w:sz w:val="24"/>
              </w:rPr>
              <w:t>本项目事故排放废水进入双龙河，会对污水处理站尾水排口下游水质造成影响，完全混合后NH</w:t>
            </w:r>
            <w:r>
              <w:rPr>
                <w:sz w:val="24"/>
                <w:vertAlign w:val="subscript"/>
              </w:rPr>
              <w:t>3</w:t>
            </w:r>
            <w:r>
              <w:rPr>
                <w:sz w:val="24"/>
              </w:rPr>
              <w:t>-N、TP 超过地表水Ⅳ类水质。由于双龙河作为双龙镇场镇污水的唯一纳污水体，事故排放情况下也不会额外增加双龙河评价河段的污染物入河量。且本项目属于公益类，将收纳范围内生活污水集中处理，大大削减了入河污染物，污水处理厂的建设对改善河流生态环境是有利的，对改善区域水环境具有明显的环境正效益。综上所述，排污口对水功能区水质影响较小。</w:t>
            </w:r>
          </w:p>
          <w:p>
            <w:pPr>
              <w:spacing w:line="360" w:lineRule="auto"/>
              <w:ind w:firstLine="480" w:firstLineChars="200"/>
              <w:rPr>
                <w:sz w:val="24"/>
              </w:rPr>
            </w:pPr>
            <w:r>
              <w:rPr>
                <w:sz w:val="24"/>
              </w:rPr>
              <w:t>具体分析见地表水专项评价。</w:t>
            </w:r>
          </w:p>
          <w:p>
            <w:pPr>
              <w:spacing w:line="360" w:lineRule="auto"/>
              <w:rPr>
                <w:b/>
                <w:bCs/>
                <w:sz w:val="24"/>
              </w:rPr>
            </w:pPr>
            <w:r>
              <w:rPr>
                <w:b/>
                <w:bCs/>
                <w:sz w:val="24"/>
              </w:rPr>
              <w:t>三、噪声环境影响和保护措施</w:t>
            </w:r>
          </w:p>
          <w:p>
            <w:pPr>
              <w:spacing w:line="360" w:lineRule="auto"/>
              <w:ind w:firstLine="482" w:firstLineChars="200"/>
              <w:rPr>
                <w:b/>
                <w:bCs/>
                <w:sz w:val="24"/>
              </w:rPr>
            </w:pPr>
            <w:r>
              <w:rPr>
                <w:b/>
                <w:bCs/>
                <w:sz w:val="24"/>
              </w:rPr>
              <w:t>1、噪声源强和降噪措施</w:t>
            </w:r>
          </w:p>
          <w:p>
            <w:pPr>
              <w:spacing w:line="360" w:lineRule="auto"/>
              <w:ind w:firstLine="480" w:firstLineChars="200"/>
              <w:rPr>
                <w:sz w:val="24"/>
              </w:rPr>
            </w:pPr>
            <w:r>
              <w:rPr>
                <w:sz w:val="24"/>
              </w:rPr>
              <w:t>本项目为污水处理厂改扩建项目，项目选用低噪声设备，设备设置于封闭空间内，噪声不会对周边环境造成明显不利影响。</w:t>
            </w:r>
          </w:p>
          <w:p>
            <w:pPr>
              <w:spacing w:line="360" w:lineRule="auto"/>
              <w:ind w:firstLine="480" w:firstLineChars="200"/>
            </w:pPr>
            <w:r>
              <w:rPr>
                <w:sz w:val="24"/>
              </w:rPr>
              <w:t>本项目污水处理厂运营期主要噪声源为污水泵、鼓风机、废气处理设备风机等产生的噪声。结合国内类似污水厂设备噪声源情况，本项目噪声源1m处声源强度约在70~85dB（A）之间，经过基础减振、厂房隔声等措施进行降噪，具体噪声产生情况见下表。</w:t>
            </w:r>
          </w:p>
        </w:tc>
      </w:tr>
    </w:tbl>
    <w:p>
      <w:pPr>
        <w:adjustRightInd w:val="0"/>
        <w:snapToGrid w:val="0"/>
        <w:jc w:val="center"/>
        <w:rPr>
          <w:bCs/>
          <w:sz w:val="24"/>
        </w:rPr>
        <w:sectPr>
          <w:pgSz w:w="11907" w:h="16840"/>
          <w:pgMar w:top="1701" w:right="1531" w:bottom="2127" w:left="1531" w:header="851" w:footer="851" w:gutter="0"/>
          <w:cols w:space="720" w:num="1"/>
          <w:docGrid w:linePitch="312" w:charSpace="0"/>
        </w:sectPr>
      </w:pPr>
    </w:p>
    <w:p>
      <w:pPr>
        <w:adjustRightInd w:val="0"/>
        <w:snapToGrid w:val="0"/>
        <w:spacing w:line="276" w:lineRule="auto"/>
        <w:jc w:val="center"/>
        <w:rPr>
          <w:rFonts w:eastAsia="黑体"/>
          <w:bCs/>
          <w:sz w:val="24"/>
        </w:rPr>
      </w:pPr>
      <w:r>
        <w:rPr>
          <w:rFonts w:eastAsia="黑体"/>
          <w:bCs/>
          <w:sz w:val="24"/>
        </w:rPr>
        <w:t>表4-12  本项目运营期噪声源强调查清单（室内声源）</w:t>
      </w:r>
    </w:p>
    <w:tbl>
      <w:tblPr>
        <w:tblStyle w:val="32"/>
        <w:tblW w:w="5000" w:type="pct"/>
        <w:tblInd w:w="28"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234"/>
        <w:gridCol w:w="692"/>
        <w:gridCol w:w="856"/>
        <w:gridCol w:w="438"/>
        <w:gridCol w:w="833"/>
        <w:gridCol w:w="958"/>
        <w:gridCol w:w="476"/>
        <w:gridCol w:w="476"/>
        <w:gridCol w:w="584"/>
        <w:gridCol w:w="575"/>
        <w:gridCol w:w="476"/>
        <w:gridCol w:w="476"/>
        <w:gridCol w:w="487"/>
        <w:gridCol w:w="578"/>
        <w:gridCol w:w="476"/>
        <w:gridCol w:w="476"/>
        <w:gridCol w:w="487"/>
        <w:gridCol w:w="476"/>
        <w:gridCol w:w="613"/>
        <w:gridCol w:w="476"/>
        <w:gridCol w:w="476"/>
        <w:gridCol w:w="476"/>
        <w:gridCol w:w="476"/>
        <w:gridCol w:w="442"/>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345" w:hRule="atLeast"/>
        </w:trPr>
        <w:tc>
          <w:tcPr>
            <w:tcW w:w="90" w:type="pct"/>
            <w:vMerge w:val="restart"/>
            <w:shd w:val="clear" w:color="auto" w:fill="CCFFFF"/>
            <w:noWrap w:val="0"/>
            <w:vAlign w:val="center"/>
          </w:tcPr>
          <w:p>
            <w:pPr>
              <w:jc w:val="center"/>
              <w:rPr>
                <w:b/>
                <w:bCs/>
                <w:szCs w:val="21"/>
              </w:rPr>
            </w:pPr>
            <w:r>
              <w:rPr>
                <w:b/>
                <w:bCs/>
                <w:szCs w:val="21"/>
              </w:rPr>
              <w:t>序号</w:t>
            </w:r>
          </w:p>
        </w:tc>
        <w:tc>
          <w:tcPr>
            <w:tcW w:w="266" w:type="pct"/>
            <w:vMerge w:val="restart"/>
            <w:shd w:val="clear" w:color="auto" w:fill="CCFFFF"/>
            <w:noWrap w:val="0"/>
            <w:vAlign w:val="center"/>
          </w:tcPr>
          <w:p>
            <w:pPr>
              <w:jc w:val="center"/>
              <w:rPr>
                <w:b/>
                <w:bCs/>
                <w:szCs w:val="21"/>
              </w:rPr>
            </w:pPr>
            <w:r>
              <w:rPr>
                <w:b/>
                <w:bCs/>
                <w:szCs w:val="21"/>
              </w:rPr>
              <w:t>建筑物名称</w:t>
            </w:r>
          </w:p>
        </w:tc>
        <w:tc>
          <w:tcPr>
            <w:tcW w:w="329" w:type="pct"/>
            <w:vMerge w:val="restart"/>
            <w:shd w:val="clear" w:color="auto" w:fill="CCFFFF"/>
            <w:noWrap w:val="0"/>
            <w:vAlign w:val="center"/>
          </w:tcPr>
          <w:p>
            <w:pPr>
              <w:jc w:val="center"/>
              <w:rPr>
                <w:b/>
                <w:bCs/>
                <w:szCs w:val="21"/>
              </w:rPr>
            </w:pPr>
            <w:r>
              <w:rPr>
                <w:b/>
                <w:bCs/>
                <w:szCs w:val="21"/>
              </w:rPr>
              <w:t>声源名称</w:t>
            </w:r>
          </w:p>
        </w:tc>
        <w:tc>
          <w:tcPr>
            <w:tcW w:w="168" w:type="pct"/>
            <w:vMerge w:val="restart"/>
            <w:shd w:val="clear" w:color="auto" w:fill="CCFFFF"/>
            <w:noWrap w:val="0"/>
            <w:vAlign w:val="center"/>
          </w:tcPr>
          <w:p>
            <w:pPr>
              <w:jc w:val="center"/>
              <w:rPr>
                <w:b/>
                <w:bCs/>
                <w:szCs w:val="21"/>
              </w:rPr>
            </w:pPr>
            <w:r>
              <w:rPr>
                <w:b/>
                <w:bCs/>
                <w:szCs w:val="21"/>
              </w:rPr>
              <w:t>型号</w:t>
            </w:r>
          </w:p>
        </w:tc>
        <w:tc>
          <w:tcPr>
            <w:tcW w:w="320" w:type="pct"/>
            <w:shd w:val="clear" w:color="auto" w:fill="CCFFFF"/>
            <w:noWrap w:val="0"/>
            <w:vAlign w:val="center"/>
          </w:tcPr>
          <w:p>
            <w:pPr>
              <w:jc w:val="center"/>
              <w:rPr>
                <w:b/>
                <w:bCs/>
                <w:szCs w:val="21"/>
              </w:rPr>
            </w:pPr>
            <w:r>
              <w:rPr>
                <w:b/>
                <w:bCs/>
                <w:szCs w:val="21"/>
              </w:rPr>
              <w:t>声源源强</w:t>
            </w:r>
          </w:p>
        </w:tc>
        <w:tc>
          <w:tcPr>
            <w:tcW w:w="368" w:type="pct"/>
            <w:vMerge w:val="restart"/>
            <w:shd w:val="clear" w:color="auto" w:fill="CCFFFF"/>
            <w:noWrap w:val="0"/>
            <w:vAlign w:val="center"/>
          </w:tcPr>
          <w:p>
            <w:pPr>
              <w:jc w:val="center"/>
              <w:rPr>
                <w:b/>
                <w:bCs/>
                <w:szCs w:val="21"/>
              </w:rPr>
            </w:pPr>
            <w:r>
              <w:rPr>
                <w:b/>
                <w:bCs/>
                <w:szCs w:val="21"/>
              </w:rPr>
              <w:t>声源控制措施</w:t>
            </w:r>
          </w:p>
        </w:tc>
        <w:tc>
          <w:tcPr>
            <w:tcW w:w="590" w:type="pct"/>
            <w:gridSpan w:val="3"/>
            <w:shd w:val="clear" w:color="auto" w:fill="CCFFFF"/>
            <w:noWrap w:val="0"/>
            <w:vAlign w:val="center"/>
          </w:tcPr>
          <w:p>
            <w:pPr>
              <w:jc w:val="center"/>
              <w:rPr>
                <w:b/>
                <w:bCs/>
                <w:szCs w:val="21"/>
              </w:rPr>
            </w:pPr>
            <w:r>
              <w:rPr>
                <w:b/>
                <w:bCs/>
                <w:szCs w:val="21"/>
              </w:rPr>
              <w:t>空间相对位置/m</w:t>
            </w:r>
          </w:p>
        </w:tc>
        <w:tc>
          <w:tcPr>
            <w:tcW w:w="774" w:type="pct"/>
            <w:gridSpan w:val="4"/>
            <w:shd w:val="clear" w:color="auto" w:fill="CCFFFF"/>
            <w:noWrap w:val="0"/>
            <w:vAlign w:val="center"/>
          </w:tcPr>
          <w:p>
            <w:pPr>
              <w:jc w:val="center"/>
              <w:rPr>
                <w:b/>
                <w:bCs/>
                <w:szCs w:val="21"/>
              </w:rPr>
            </w:pPr>
            <w:r>
              <w:rPr>
                <w:b/>
                <w:bCs/>
                <w:szCs w:val="21"/>
              </w:rPr>
              <w:t>距室内边界距离/m</w:t>
            </w:r>
          </w:p>
        </w:tc>
        <w:tc>
          <w:tcPr>
            <w:tcW w:w="775" w:type="pct"/>
            <w:gridSpan w:val="4"/>
            <w:shd w:val="clear" w:color="auto" w:fill="CCFFFF"/>
            <w:noWrap w:val="0"/>
            <w:vAlign w:val="center"/>
          </w:tcPr>
          <w:p>
            <w:pPr>
              <w:jc w:val="center"/>
              <w:rPr>
                <w:b/>
                <w:bCs/>
                <w:szCs w:val="21"/>
              </w:rPr>
            </w:pPr>
            <w:r>
              <w:rPr>
                <w:b/>
                <w:bCs/>
                <w:szCs w:val="21"/>
              </w:rPr>
              <w:t>室内边界声级/dB(A)</w:t>
            </w:r>
          </w:p>
        </w:tc>
        <w:tc>
          <w:tcPr>
            <w:tcW w:w="183" w:type="pct"/>
            <w:vMerge w:val="restart"/>
            <w:shd w:val="clear" w:color="auto" w:fill="CCFFFF"/>
            <w:noWrap w:val="0"/>
            <w:vAlign w:val="center"/>
          </w:tcPr>
          <w:p>
            <w:pPr>
              <w:jc w:val="center"/>
              <w:rPr>
                <w:b/>
                <w:bCs/>
                <w:szCs w:val="21"/>
              </w:rPr>
            </w:pPr>
            <w:r>
              <w:rPr>
                <w:b/>
                <w:bCs/>
                <w:szCs w:val="21"/>
              </w:rPr>
              <w:t>运行时段</w:t>
            </w:r>
          </w:p>
        </w:tc>
        <w:tc>
          <w:tcPr>
            <w:tcW w:w="235" w:type="pct"/>
            <w:vMerge w:val="restart"/>
            <w:shd w:val="clear" w:color="auto" w:fill="CCFFFF"/>
            <w:noWrap w:val="0"/>
            <w:vAlign w:val="center"/>
          </w:tcPr>
          <w:p>
            <w:pPr>
              <w:jc w:val="center"/>
              <w:rPr>
                <w:b/>
                <w:bCs/>
                <w:szCs w:val="21"/>
              </w:rPr>
            </w:pPr>
            <w:r>
              <w:rPr>
                <w:b/>
                <w:bCs/>
                <w:szCs w:val="21"/>
              </w:rPr>
              <w:t>建筑物插入损失/dB(A)</w:t>
            </w:r>
          </w:p>
        </w:tc>
        <w:tc>
          <w:tcPr>
            <w:tcW w:w="901" w:type="pct"/>
            <w:gridSpan w:val="5"/>
            <w:shd w:val="clear" w:color="auto" w:fill="CCFFFF"/>
            <w:noWrap w:val="0"/>
            <w:vAlign w:val="center"/>
          </w:tcPr>
          <w:p>
            <w:pPr>
              <w:jc w:val="center"/>
              <w:rPr>
                <w:b/>
                <w:bCs/>
                <w:szCs w:val="21"/>
              </w:rPr>
            </w:pPr>
            <w:r>
              <w:rPr>
                <w:b/>
                <w:bCs/>
                <w:szCs w:val="21"/>
              </w:rPr>
              <w:t>建筑物外噪声声压级/dB(A)</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540" w:hRule="atLeast"/>
        </w:trPr>
        <w:tc>
          <w:tcPr>
            <w:tcW w:w="90" w:type="pct"/>
            <w:vMerge w:val="continue"/>
            <w:shd w:val="clear" w:color="auto" w:fill="CCFFFF"/>
            <w:noWrap w:val="0"/>
            <w:vAlign w:val="center"/>
          </w:tcPr>
          <w:p>
            <w:pPr>
              <w:jc w:val="center"/>
              <w:rPr>
                <w:b/>
                <w:bCs/>
                <w:szCs w:val="21"/>
              </w:rPr>
            </w:pPr>
          </w:p>
        </w:tc>
        <w:tc>
          <w:tcPr>
            <w:tcW w:w="266" w:type="pct"/>
            <w:vMerge w:val="continue"/>
            <w:shd w:val="clear" w:color="auto" w:fill="CCFFFF"/>
            <w:noWrap w:val="0"/>
            <w:vAlign w:val="center"/>
          </w:tcPr>
          <w:p>
            <w:pPr>
              <w:jc w:val="center"/>
              <w:rPr>
                <w:b/>
                <w:bCs/>
                <w:szCs w:val="21"/>
              </w:rPr>
            </w:pPr>
          </w:p>
        </w:tc>
        <w:tc>
          <w:tcPr>
            <w:tcW w:w="329" w:type="pct"/>
            <w:vMerge w:val="continue"/>
            <w:shd w:val="clear" w:color="auto" w:fill="CCFFFF"/>
            <w:noWrap w:val="0"/>
            <w:vAlign w:val="center"/>
          </w:tcPr>
          <w:p>
            <w:pPr>
              <w:jc w:val="center"/>
              <w:rPr>
                <w:b/>
                <w:bCs/>
                <w:szCs w:val="21"/>
              </w:rPr>
            </w:pPr>
          </w:p>
        </w:tc>
        <w:tc>
          <w:tcPr>
            <w:tcW w:w="168" w:type="pct"/>
            <w:vMerge w:val="continue"/>
            <w:shd w:val="clear" w:color="auto" w:fill="CCFFFF"/>
            <w:noWrap w:val="0"/>
            <w:vAlign w:val="center"/>
          </w:tcPr>
          <w:p>
            <w:pPr>
              <w:jc w:val="center"/>
              <w:rPr>
                <w:b/>
                <w:bCs/>
                <w:szCs w:val="21"/>
              </w:rPr>
            </w:pPr>
          </w:p>
        </w:tc>
        <w:tc>
          <w:tcPr>
            <w:tcW w:w="320" w:type="pct"/>
            <w:shd w:val="clear" w:color="auto" w:fill="CCFFFF"/>
            <w:noWrap w:val="0"/>
            <w:vAlign w:val="center"/>
          </w:tcPr>
          <w:p>
            <w:pPr>
              <w:jc w:val="center"/>
              <w:rPr>
                <w:b/>
                <w:bCs/>
                <w:szCs w:val="21"/>
              </w:rPr>
            </w:pPr>
            <w:r>
              <w:rPr>
                <w:b/>
                <w:bCs/>
                <w:szCs w:val="21"/>
              </w:rPr>
              <w:t>声功率级/dB(A)</w:t>
            </w:r>
          </w:p>
        </w:tc>
        <w:tc>
          <w:tcPr>
            <w:tcW w:w="368" w:type="pct"/>
            <w:vMerge w:val="continue"/>
            <w:shd w:val="clear" w:color="auto" w:fill="CCFFFF"/>
            <w:noWrap w:val="0"/>
            <w:vAlign w:val="center"/>
          </w:tcPr>
          <w:p>
            <w:pPr>
              <w:jc w:val="center"/>
              <w:rPr>
                <w:b/>
                <w:bCs/>
                <w:szCs w:val="21"/>
              </w:rPr>
            </w:pPr>
          </w:p>
        </w:tc>
        <w:tc>
          <w:tcPr>
            <w:tcW w:w="183" w:type="pct"/>
            <w:shd w:val="clear" w:color="auto" w:fill="CCFFFF"/>
            <w:noWrap w:val="0"/>
            <w:vAlign w:val="center"/>
          </w:tcPr>
          <w:p>
            <w:pPr>
              <w:jc w:val="center"/>
              <w:rPr>
                <w:b/>
                <w:bCs/>
                <w:szCs w:val="21"/>
              </w:rPr>
            </w:pPr>
            <w:r>
              <w:rPr>
                <w:b/>
                <w:bCs/>
                <w:szCs w:val="21"/>
              </w:rPr>
              <w:t>X</w:t>
            </w:r>
          </w:p>
        </w:tc>
        <w:tc>
          <w:tcPr>
            <w:tcW w:w="183" w:type="pct"/>
            <w:shd w:val="clear" w:color="auto" w:fill="CCFFFF"/>
            <w:noWrap w:val="0"/>
            <w:vAlign w:val="center"/>
          </w:tcPr>
          <w:p>
            <w:pPr>
              <w:jc w:val="center"/>
              <w:rPr>
                <w:b/>
                <w:bCs/>
                <w:szCs w:val="21"/>
              </w:rPr>
            </w:pPr>
            <w:r>
              <w:rPr>
                <w:b/>
                <w:bCs/>
                <w:szCs w:val="21"/>
              </w:rPr>
              <w:t>Y</w:t>
            </w:r>
          </w:p>
        </w:tc>
        <w:tc>
          <w:tcPr>
            <w:tcW w:w="224" w:type="pct"/>
            <w:shd w:val="clear" w:color="auto" w:fill="CCFFFF"/>
            <w:noWrap w:val="0"/>
            <w:vAlign w:val="center"/>
          </w:tcPr>
          <w:p>
            <w:pPr>
              <w:jc w:val="center"/>
              <w:rPr>
                <w:b/>
                <w:bCs/>
                <w:szCs w:val="21"/>
              </w:rPr>
            </w:pPr>
            <w:r>
              <w:rPr>
                <w:b/>
                <w:bCs/>
                <w:szCs w:val="21"/>
              </w:rPr>
              <w:t>Z</w:t>
            </w:r>
          </w:p>
        </w:tc>
        <w:tc>
          <w:tcPr>
            <w:tcW w:w="221" w:type="pct"/>
            <w:shd w:val="clear" w:color="auto" w:fill="CCFFFF"/>
            <w:noWrap w:val="0"/>
            <w:vAlign w:val="center"/>
          </w:tcPr>
          <w:p>
            <w:pPr>
              <w:jc w:val="center"/>
              <w:rPr>
                <w:b/>
                <w:bCs/>
                <w:szCs w:val="21"/>
              </w:rPr>
            </w:pPr>
            <w:r>
              <w:rPr>
                <w:b/>
                <w:bCs/>
                <w:szCs w:val="21"/>
              </w:rPr>
              <w:t>东</w:t>
            </w:r>
          </w:p>
        </w:tc>
        <w:tc>
          <w:tcPr>
            <w:tcW w:w="183" w:type="pct"/>
            <w:shd w:val="clear" w:color="auto" w:fill="CCFFFF"/>
            <w:noWrap w:val="0"/>
            <w:vAlign w:val="center"/>
          </w:tcPr>
          <w:p>
            <w:pPr>
              <w:jc w:val="center"/>
              <w:rPr>
                <w:b/>
                <w:bCs/>
                <w:szCs w:val="21"/>
              </w:rPr>
            </w:pPr>
            <w:r>
              <w:rPr>
                <w:b/>
                <w:bCs/>
                <w:szCs w:val="21"/>
              </w:rPr>
              <w:t>南</w:t>
            </w:r>
          </w:p>
        </w:tc>
        <w:tc>
          <w:tcPr>
            <w:tcW w:w="183" w:type="pct"/>
            <w:shd w:val="clear" w:color="auto" w:fill="CCFFFF"/>
            <w:noWrap w:val="0"/>
            <w:vAlign w:val="center"/>
          </w:tcPr>
          <w:p>
            <w:pPr>
              <w:jc w:val="center"/>
              <w:rPr>
                <w:b/>
                <w:bCs/>
                <w:szCs w:val="21"/>
              </w:rPr>
            </w:pPr>
            <w:r>
              <w:rPr>
                <w:b/>
                <w:bCs/>
                <w:szCs w:val="21"/>
              </w:rPr>
              <w:t>西</w:t>
            </w:r>
          </w:p>
        </w:tc>
        <w:tc>
          <w:tcPr>
            <w:tcW w:w="187" w:type="pct"/>
            <w:shd w:val="clear" w:color="auto" w:fill="CCFFFF"/>
            <w:noWrap w:val="0"/>
            <w:vAlign w:val="center"/>
          </w:tcPr>
          <w:p>
            <w:pPr>
              <w:jc w:val="center"/>
              <w:rPr>
                <w:b/>
                <w:bCs/>
                <w:szCs w:val="21"/>
              </w:rPr>
            </w:pPr>
            <w:r>
              <w:rPr>
                <w:b/>
                <w:bCs/>
                <w:szCs w:val="21"/>
              </w:rPr>
              <w:t>北</w:t>
            </w:r>
          </w:p>
        </w:tc>
        <w:tc>
          <w:tcPr>
            <w:tcW w:w="222" w:type="pct"/>
            <w:shd w:val="clear" w:color="auto" w:fill="CCFFFF"/>
            <w:noWrap w:val="0"/>
            <w:vAlign w:val="center"/>
          </w:tcPr>
          <w:p>
            <w:pPr>
              <w:jc w:val="center"/>
              <w:rPr>
                <w:b/>
                <w:bCs/>
                <w:szCs w:val="21"/>
              </w:rPr>
            </w:pPr>
            <w:r>
              <w:rPr>
                <w:b/>
                <w:bCs/>
                <w:szCs w:val="21"/>
              </w:rPr>
              <w:t>东</w:t>
            </w:r>
          </w:p>
        </w:tc>
        <w:tc>
          <w:tcPr>
            <w:tcW w:w="183" w:type="pct"/>
            <w:shd w:val="clear" w:color="auto" w:fill="CCFFFF"/>
            <w:noWrap w:val="0"/>
            <w:vAlign w:val="center"/>
          </w:tcPr>
          <w:p>
            <w:pPr>
              <w:jc w:val="center"/>
              <w:rPr>
                <w:b/>
                <w:bCs/>
                <w:szCs w:val="21"/>
              </w:rPr>
            </w:pPr>
            <w:r>
              <w:rPr>
                <w:b/>
                <w:bCs/>
                <w:szCs w:val="21"/>
              </w:rPr>
              <w:t>南</w:t>
            </w:r>
          </w:p>
        </w:tc>
        <w:tc>
          <w:tcPr>
            <w:tcW w:w="183" w:type="pct"/>
            <w:shd w:val="clear" w:color="auto" w:fill="CCFFFF"/>
            <w:noWrap w:val="0"/>
            <w:vAlign w:val="center"/>
          </w:tcPr>
          <w:p>
            <w:pPr>
              <w:jc w:val="center"/>
              <w:rPr>
                <w:b/>
                <w:bCs/>
                <w:szCs w:val="21"/>
              </w:rPr>
            </w:pPr>
            <w:r>
              <w:rPr>
                <w:b/>
                <w:bCs/>
                <w:szCs w:val="21"/>
              </w:rPr>
              <w:t>西</w:t>
            </w:r>
          </w:p>
        </w:tc>
        <w:tc>
          <w:tcPr>
            <w:tcW w:w="187" w:type="pct"/>
            <w:shd w:val="clear" w:color="auto" w:fill="CCFFFF"/>
            <w:noWrap w:val="0"/>
            <w:vAlign w:val="center"/>
          </w:tcPr>
          <w:p>
            <w:pPr>
              <w:jc w:val="center"/>
              <w:rPr>
                <w:b/>
                <w:bCs/>
                <w:szCs w:val="21"/>
              </w:rPr>
            </w:pPr>
            <w:r>
              <w:rPr>
                <w:b/>
                <w:bCs/>
                <w:szCs w:val="21"/>
              </w:rPr>
              <w:t>北</w:t>
            </w:r>
          </w:p>
        </w:tc>
        <w:tc>
          <w:tcPr>
            <w:tcW w:w="183" w:type="pct"/>
            <w:vMerge w:val="continue"/>
            <w:shd w:val="clear" w:color="auto" w:fill="CCFFFF"/>
            <w:noWrap w:val="0"/>
            <w:vAlign w:val="center"/>
          </w:tcPr>
          <w:p>
            <w:pPr>
              <w:jc w:val="center"/>
              <w:rPr>
                <w:b/>
                <w:bCs/>
                <w:szCs w:val="21"/>
              </w:rPr>
            </w:pPr>
          </w:p>
        </w:tc>
        <w:tc>
          <w:tcPr>
            <w:tcW w:w="235" w:type="pct"/>
            <w:vMerge w:val="continue"/>
            <w:shd w:val="clear" w:color="auto" w:fill="CCFFFF"/>
            <w:noWrap w:val="0"/>
            <w:vAlign w:val="center"/>
          </w:tcPr>
          <w:p>
            <w:pPr>
              <w:jc w:val="center"/>
              <w:rPr>
                <w:b/>
                <w:bCs/>
                <w:szCs w:val="21"/>
              </w:rPr>
            </w:pPr>
          </w:p>
        </w:tc>
        <w:tc>
          <w:tcPr>
            <w:tcW w:w="183" w:type="pct"/>
            <w:shd w:val="clear" w:color="auto" w:fill="CCFFFF"/>
            <w:noWrap w:val="0"/>
            <w:vAlign w:val="center"/>
          </w:tcPr>
          <w:p>
            <w:pPr>
              <w:jc w:val="center"/>
              <w:rPr>
                <w:b/>
                <w:bCs/>
                <w:szCs w:val="21"/>
              </w:rPr>
            </w:pPr>
            <w:r>
              <w:rPr>
                <w:b/>
                <w:bCs/>
                <w:szCs w:val="21"/>
              </w:rPr>
              <w:t>东</w:t>
            </w:r>
          </w:p>
        </w:tc>
        <w:tc>
          <w:tcPr>
            <w:tcW w:w="183" w:type="pct"/>
            <w:shd w:val="clear" w:color="auto" w:fill="CCFFFF"/>
            <w:noWrap w:val="0"/>
            <w:vAlign w:val="center"/>
          </w:tcPr>
          <w:p>
            <w:pPr>
              <w:jc w:val="center"/>
              <w:rPr>
                <w:b/>
                <w:bCs/>
                <w:szCs w:val="21"/>
              </w:rPr>
            </w:pPr>
            <w:r>
              <w:rPr>
                <w:b/>
                <w:bCs/>
                <w:szCs w:val="21"/>
              </w:rPr>
              <w:t>南</w:t>
            </w:r>
          </w:p>
        </w:tc>
        <w:tc>
          <w:tcPr>
            <w:tcW w:w="183" w:type="pct"/>
            <w:shd w:val="clear" w:color="auto" w:fill="CCFFFF"/>
            <w:noWrap w:val="0"/>
            <w:vAlign w:val="center"/>
          </w:tcPr>
          <w:p>
            <w:pPr>
              <w:jc w:val="center"/>
              <w:rPr>
                <w:b/>
                <w:bCs/>
                <w:szCs w:val="21"/>
              </w:rPr>
            </w:pPr>
            <w:r>
              <w:rPr>
                <w:b/>
                <w:bCs/>
                <w:szCs w:val="21"/>
              </w:rPr>
              <w:t>西</w:t>
            </w:r>
          </w:p>
        </w:tc>
        <w:tc>
          <w:tcPr>
            <w:tcW w:w="183" w:type="pct"/>
            <w:shd w:val="clear" w:color="auto" w:fill="CCFFFF"/>
            <w:noWrap w:val="0"/>
            <w:vAlign w:val="center"/>
          </w:tcPr>
          <w:p>
            <w:pPr>
              <w:jc w:val="center"/>
              <w:rPr>
                <w:b/>
                <w:bCs/>
                <w:szCs w:val="21"/>
              </w:rPr>
            </w:pPr>
            <w:r>
              <w:rPr>
                <w:b/>
                <w:bCs/>
                <w:szCs w:val="21"/>
              </w:rPr>
              <w:t>北</w:t>
            </w:r>
          </w:p>
        </w:tc>
        <w:tc>
          <w:tcPr>
            <w:tcW w:w="170" w:type="pct"/>
            <w:shd w:val="clear" w:color="auto" w:fill="CCFFFF"/>
            <w:noWrap w:val="0"/>
            <w:vAlign w:val="center"/>
          </w:tcPr>
          <w:p>
            <w:pPr>
              <w:jc w:val="center"/>
              <w:rPr>
                <w:b/>
                <w:bCs/>
                <w:szCs w:val="21"/>
              </w:rPr>
            </w:pPr>
            <w:r>
              <w:rPr>
                <w:b/>
                <w:bCs/>
                <w:szCs w:val="21"/>
              </w:rPr>
              <w:t>建筑物外距离</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0" w:type="pct"/>
            <w:noWrap w:val="0"/>
            <w:vAlign w:val="center"/>
          </w:tcPr>
          <w:p>
            <w:pPr>
              <w:jc w:val="center"/>
              <w:rPr>
                <w:szCs w:val="21"/>
              </w:rPr>
            </w:pPr>
            <w:r>
              <w:rPr>
                <w:szCs w:val="21"/>
              </w:rPr>
              <w:t>1</w:t>
            </w:r>
          </w:p>
        </w:tc>
        <w:tc>
          <w:tcPr>
            <w:tcW w:w="266" w:type="pct"/>
            <w:vMerge w:val="restart"/>
            <w:noWrap w:val="0"/>
            <w:vAlign w:val="center"/>
          </w:tcPr>
          <w:p>
            <w:pPr>
              <w:jc w:val="center"/>
              <w:rPr>
                <w:szCs w:val="21"/>
              </w:rPr>
            </w:pPr>
            <w:r>
              <w:rPr>
                <w:szCs w:val="21"/>
              </w:rPr>
              <w:t>脱水机房</w:t>
            </w:r>
          </w:p>
        </w:tc>
        <w:tc>
          <w:tcPr>
            <w:tcW w:w="329" w:type="pct"/>
            <w:noWrap w:val="0"/>
            <w:vAlign w:val="center"/>
          </w:tcPr>
          <w:p>
            <w:pPr>
              <w:jc w:val="center"/>
              <w:rPr>
                <w:szCs w:val="21"/>
              </w:rPr>
            </w:pPr>
            <w:r>
              <w:rPr>
                <w:szCs w:val="21"/>
                <w:lang w:val="zh-CN"/>
              </w:rPr>
              <w:t>叠螺压滤机</w:t>
            </w:r>
          </w:p>
        </w:tc>
        <w:tc>
          <w:tcPr>
            <w:tcW w:w="168" w:type="pct"/>
            <w:noWrap w:val="0"/>
            <w:vAlign w:val="center"/>
          </w:tcPr>
          <w:p>
            <w:pPr>
              <w:jc w:val="center"/>
              <w:rPr>
                <w:szCs w:val="21"/>
              </w:rPr>
            </w:pPr>
            <w:r>
              <w:rPr>
                <w:szCs w:val="21"/>
                <w:lang w:val="zh-CN"/>
              </w:rPr>
              <w:t>301</w:t>
            </w:r>
          </w:p>
        </w:tc>
        <w:tc>
          <w:tcPr>
            <w:tcW w:w="320" w:type="pct"/>
            <w:noWrap w:val="0"/>
            <w:vAlign w:val="center"/>
          </w:tcPr>
          <w:p>
            <w:pPr>
              <w:jc w:val="center"/>
              <w:rPr>
                <w:szCs w:val="21"/>
              </w:rPr>
            </w:pPr>
            <w:r>
              <w:rPr>
                <w:szCs w:val="21"/>
              </w:rPr>
              <w:t>85</w:t>
            </w:r>
          </w:p>
        </w:tc>
        <w:tc>
          <w:tcPr>
            <w:tcW w:w="368" w:type="pct"/>
            <w:vMerge w:val="restart"/>
            <w:noWrap w:val="0"/>
            <w:vAlign w:val="center"/>
          </w:tcPr>
          <w:p>
            <w:pPr>
              <w:jc w:val="center"/>
              <w:rPr>
                <w:szCs w:val="21"/>
              </w:rPr>
            </w:pPr>
            <w:r>
              <w:rPr>
                <w:szCs w:val="21"/>
              </w:rPr>
              <w:t>尽量选用低噪声设备，震动设备设减振器；总图合理布置，防止噪声叠加和干扰，利用距离袁减或减振装置。</w:t>
            </w:r>
          </w:p>
        </w:tc>
        <w:tc>
          <w:tcPr>
            <w:tcW w:w="183" w:type="pct"/>
            <w:noWrap w:val="0"/>
            <w:vAlign w:val="center"/>
          </w:tcPr>
          <w:p>
            <w:pPr>
              <w:jc w:val="center"/>
              <w:rPr>
                <w:szCs w:val="21"/>
              </w:rPr>
            </w:pPr>
            <w:r>
              <w:rPr>
                <w:szCs w:val="21"/>
              </w:rPr>
              <w:t>2</w:t>
            </w:r>
          </w:p>
        </w:tc>
        <w:tc>
          <w:tcPr>
            <w:tcW w:w="183" w:type="pct"/>
            <w:noWrap w:val="0"/>
            <w:vAlign w:val="center"/>
          </w:tcPr>
          <w:p>
            <w:pPr>
              <w:jc w:val="center"/>
              <w:rPr>
                <w:szCs w:val="21"/>
              </w:rPr>
            </w:pPr>
            <w:r>
              <w:rPr>
                <w:szCs w:val="21"/>
              </w:rPr>
              <w:t>-15</w:t>
            </w:r>
          </w:p>
        </w:tc>
        <w:tc>
          <w:tcPr>
            <w:tcW w:w="224" w:type="pct"/>
            <w:noWrap w:val="0"/>
            <w:vAlign w:val="center"/>
          </w:tcPr>
          <w:p>
            <w:pPr>
              <w:jc w:val="center"/>
              <w:rPr>
                <w:szCs w:val="21"/>
              </w:rPr>
            </w:pPr>
            <w:r>
              <w:rPr>
                <w:szCs w:val="21"/>
              </w:rPr>
              <w:t>337.07</w:t>
            </w:r>
          </w:p>
        </w:tc>
        <w:tc>
          <w:tcPr>
            <w:tcW w:w="221" w:type="pct"/>
            <w:noWrap w:val="0"/>
            <w:vAlign w:val="center"/>
          </w:tcPr>
          <w:p>
            <w:pPr>
              <w:jc w:val="center"/>
              <w:rPr>
                <w:szCs w:val="21"/>
              </w:rPr>
            </w:pPr>
            <w:r>
              <w:rPr>
                <w:szCs w:val="21"/>
              </w:rPr>
              <w:t>2</w:t>
            </w:r>
          </w:p>
        </w:tc>
        <w:tc>
          <w:tcPr>
            <w:tcW w:w="183" w:type="pct"/>
            <w:noWrap w:val="0"/>
            <w:vAlign w:val="center"/>
          </w:tcPr>
          <w:p>
            <w:pPr>
              <w:jc w:val="center"/>
              <w:rPr>
                <w:szCs w:val="21"/>
              </w:rPr>
            </w:pPr>
            <w:r>
              <w:rPr>
                <w:szCs w:val="21"/>
              </w:rPr>
              <w:t>3</w:t>
            </w:r>
          </w:p>
        </w:tc>
        <w:tc>
          <w:tcPr>
            <w:tcW w:w="183" w:type="pct"/>
            <w:noWrap w:val="0"/>
            <w:vAlign w:val="center"/>
          </w:tcPr>
          <w:p>
            <w:pPr>
              <w:jc w:val="center"/>
              <w:rPr>
                <w:szCs w:val="21"/>
              </w:rPr>
            </w:pPr>
            <w:r>
              <w:rPr>
                <w:szCs w:val="21"/>
              </w:rPr>
              <w:t>28</w:t>
            </w:r>
          </w:p>
        </w:tc>
        <w:tc>
          <w:tcPr>
            <w:tcW w:w="187" w:type="pct"/>
            <w:noWrap w:val="0"/>
            <w:vAlign w:val="center"/>
          </w:tcPr>
          <w:p>
            <w:pPr>
              <w:jc w:val="center"/>
              <w:rPr>
                <w:szCs w:val="21"/>
              </w:rPr>
            </w:pPr>
            <w:r>
              <w:rPr>
                <w:szCs w:val="21"/>
              </w:rPr>
              <w:t>2</w:t>
            </w:r>
          </w:p>
        </w:tc>
        <w:tc>
          <w:tcPr>
            <w:tcW w:w="222" w:type="pct"/>
            <w:noWrap w:val="0"/>
            <w:vAlign w:val="center"/>
          </w:tcPr>
          <w:p>
            <w:pPr>
              <w:jc w:val="center"/>
              <w:rPr>
                <w:szCs w:val="21"/>
              </w:rPr>
            </w:pPr>
            <w:r>
              <w:rPr>
                <w:sz w:val="22"/>
                <w:szCs w:val="22"/>
              </w:rPr>
              <w:t xml:space="preserve">79.0 </w:t>
            </w:r>
          </w:p>
        </w:tc>
        <w:tc>
          <w:tcPr>
            <w:tcW w:w="183" w:type="pct"/>
            <w:noWrap w:val="0"/>
            <w:vAlign w:val="center"/>
          </w:tcPr>
          <w:p>
            <w:pPr>
              <w:jc w:val="center"/>
              <w:rPr>
                <w:szCs w:val="21"/>
              </w:rPr>
            </w:pPr>
            <w:r>
              <w:rPr>
                <w:sz w:val="22"/>
                <w:szCs w:val="22"/>
              </w:rPr>
              <w:t xml:space="preserve">56.1 </w:t>
            </w:r>
          </w:p>
        </w:tc>
        <w:tc>
          <w:tcPr>
            <w:tcW w:w="183" w:type="pct"/>
            <w:noWrap w:val="0"/>
            <w:vAlign w:val="center"/>
          </w:tcPr>
          <w:p>
            <w:pPr>
              <w:jc w:val="center"/>
              <w:rPr>
                <w:szCs w:val="21"/>
              </w:rPr>
            </w:pPr>
            <w:r>
              <w:rPr>
                <w:sz w:val="22"/>
                <w:szCs w:val="22"/>
              </w:rPr>
              <w:t xml:space="preserve">56.1 </w:t>
            </w:r>
          </w:p>
        </w:tc>
        <w:tc>
          <w:tcPr>
            <w:tcW w:w="187" w:type="pct"/>
            <w:noWrap w:val="0"/>
            <w:vAlign w:val="center"/>
          </w:tcPr>
          <w:p>
            <w:pPr>
              <w:jc w:val="center"/>
              <w:rPr>
                <w:szCs w:val="21"/>
              </w:rPr>
            </w:pPr>
            <w:r>
              <w:rPr>
                <w:sz w:val="22"/>
                <w:szCs w:val="22"/>
              </w:rPr>
              <w:t xml:space="preserve">79.0 </w:t>
            </w:r>
          </w:p>
        </w:tc>
        <w:tc>
          <w:tcPr>
            <w:tcW w:w="183" w:type="pct"/>
            <w:noWrap w:val="0"/>
            <w:vAlign w:val="center"/>
          </w:tcPr>
          <w:p>
            <w:pPr>
              <w:jc w:val="center"/>
              <w:rPr>
                <w:szCs w:val="21"/>
              </w:rPr>
            </w:pPr>
            <w:r>
              <w:rPr>
                <w:szCs w:val="21"/>
              </w:rPr>
              <w:t>连续</w:t>
            </w:r>
          </w:p>
        </w:tc>
        <w:tc>
          <w:tcPr>
            <w:tcW w:w="235" w:type="pct"/>
            <w:noWrap w:val="0"/>
            <w:vAlign w:val="center"/>
          </w:tcPr>
          <w:p>
            <w:pPr>
              <w:jc w:val="center"/>
              <w:rPr>
                <w:szCs w:val="21"/>
              </w:rPr>
            </w:pPr>
            <w:r>
              <w:rPr>
                <w:szCs w:val="21"/>
              </w:rPr>
              <w:t>20</w:t>
            </w:r>
          </w:p>
        </w:tc>
        <w:tc>
          <w:tcPr>
            <w:tcW w:w="183" w:type="pct"/>
            <w:noWrap w:val="0"/>
            <w:vAlign w:val="center"/>
          </w:tcPr>
          <w:p>
            <w:pPr>
              <w:jc w:val="center"/>
              <w:rPr>
                <w:szCs w:val="21"/>
              </w:rPr>
            </w:pPr>
            <w:r>
              <w:rPr>
                <w:szCs w:val="21"/>
              </w:rPr>
              <w:t xml:space="preserve">59.0 </w:t>
            </w:r>
          </w:p>
        </w:tc>
        <w:tc>
          <w:tcPr>
            <w:tcW w:w="183" w:type="pct"/>
            <w:noWrap w:val="0"/>
            <w:vAlign w:val="center"/>
          </w:tcPr>
          <w:p>
            <w:pPr>
              <w:jc w:val="center"/>
              <w:rPr>
                <w:szCs w:val="21"/>
              </w:rPr>
            </w:pPr>
            <w:r>
              <w:rPr>
                <w:szCs w:val="21"/>
              </w:rPr>
              <w:t xml:space="preserve">36.1 </w:t>
            </w:r>
          </w:p>
        </w:tc>
        <w:tc>
          <w:tcPr>
            <w:tcW w:w="183" w:type="pct"/>
            <w:noWrap w:val="0"/>
            <w:vAlign w:val="center"/>
          </w:tcPr>
          <w:p>
            <w:pPr>
              <w:jc w:val="center"/>
              <w:rPr>
                <w:szCs w:val="21"/>
              </w:rPr>
            </w:pPr>
            <w:r>
              <w:rPr>
                <w:szCs w:val="21"/>
              </w:rPr>
              <w:t xml:space="preserve">36.1 </w:t>
            </w:r>
          </w:p>
        </w:tc>
        <w:tc>
          <w:tcPr>
            <w:tcW w:w="183" w:type="pct"/>
            <w:noWrap w:val="0"/>
            <w:vAlign w:val="center"/>
          </w:tcPr>
          <w:p>
            <w:pPr>
              <w:jc w:val="center"/>
              <w:rPr>
                <w:szCs w:val="21"/>
              </w:rPr>
            </w:pPr>
            <w:r>
              <w:rPr>
                <w:szCs w:val="21"/>
              </w:rPr>
              <w:t xml:space="preserve">59.0 </w:t>
            </w:r>
          </w:p>
        </w:tc>
        <w:tc>
          <w:tcPr>
            <w:tcW w:w="170" w:type="pct"/>
            <w:noWrap w:val="0"/>
            <w:vAlign w:val="center"/>
          </w:tcPr>
          <w:p>
            <w:pPr>
              <w:jc w:val="center"/>
              <w:rPr>
                <w:szCs w:val="21"/>
              </w:rPr>
            </w:pPr>
            <w:r>
              <w:rPr>
                <w:szCs w:val="21"/>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0" w:type="pct"/>
            <w:noWrap w:val="0"/>
            <w:vAlign w:val="center"/>
          </w:tcPr>
          <w:p>
            <w:pPr>
              <w:jc w:val="center"/>
              <w:rPr>
                <w:szCs w:val="21"/>
              </w:rPr>
            </w:pPr>
            <w:r>
              <w:rPr>
                <w:szCs w:val="21"/>
              </w:rPr>
              <w:t>2</w:t>
            </w:r>
          </w:p>
        </w:tc>
        <w:tc>
          <w:tcPr>
            <w:tcW w:w="266" w:type="pct"/>
            <w:vMerge w:val="continue"/>
            <w:noWrap w:val="0"/>
            <w:vAlign w:val="center"/>
          </w:tcPr>
          <w:p>
            <w:pPr>
              <w:jc w:val="center"/>
              <w:rPr>
                <w:szCs w:val="21"/>
              </w:rPr>
            </w:pPr>
          </w:p>
        </w:tc>
        <w:tc>
          <w:tcPr>
            <w:tcW w:w="329" w:type="pct"/>
            <w:noWrap w:val="0"/>
            <w:vAlign w:val="center"/>
          </w:tcPr>
          <w:p>
            <w:pPr>
              <w:jc w:val="center"/>
              <w:rPr>
                <w:szCs w:val="21"/>
              </w:rPr>
            </w:pPr>
            <w:r>
              <w:rPr>
                <w:szCs w:val="21"/>
                <w:lang w:val="zh-CN"/>
              </w:rPr>
              <w:t>污泥泵</w:t>
            </w:r>
          </w:p>
        </w:tc>
        <w:tc>
          <w:tcPr>
            <w:tcW w:w="168" w:type="pct"/>
            <w:noWrap w:val="0"/>
            <w:vAlign w:val="center"/>
          </w:tcPr>
          <w:p>
            <w:pPr>
              <w:jc w:val="center"/>
              <w:rPr>
                <w:szCs w:val="21"/>
              </w:rPr>
            </w:pPr>
            <w:r>
              <w:rPr>
                <w:szCs w:val="21"/>
              </w:rPr>
              <w:t>G30-1</w:t>
            </w:r>
          </w:p>
        </w:tc>
        <w:tc>
          <w:tcPr>
            <w:tcW w:w="320" w:type="pct"/>
            <w:noWrap w:val="0"/>
            <w:vAlign w:val="center"/>
          </w:tcPr>
          <w:p>
            <w:pPr>
              <w:jc w:val="center"/>
              <w:rPr>
                <w:szCs w:val="21"/>
              </w:rPr>
            </w:pPr>
            <w:r>
              <w:rPr>
                <w:szCs w:val="21"/>
              </w:rPr>
              <w:t>80</w:t>
            </w:r>
          </w:p>
        </w:tc>
        <w:tc>
          <w:tcPr>
            <w:tcW w:w="368" w:type="pct"/>
            <w:vMerge w:val="continue"/>
            <w:noWrap w:val="0"/>
            <w:vAlign w:val="center"/>
          </w:tcPr>
          <w:p>
            <w:pPr>
              <w:jc w:val="center"/>
              <w:rPr>
                <w:szCs w:val="21"/>
              </w:rPr>
            </w:pPr>
          </w:p>
        </w:tc>
        <w:tc>
          <w:tcPr>
            <w:tcW w:w="183" w:type="pct"/>
            <w:noWrap w:val="0"/>
            <w:vAlign w:val="center"/>
          </w:tcPr>
          <w:p>
            <w:pPr>
              <w:jc w:val="center"/>
              <w:rPr>
                <w:szCs w:val="21"/>
              </w:rPr>
            </w:pPr>
            <w:r>
              <w:rPr>
                <w:szCs w:val="21"/>
              </w:rPr>
              <w:t>4</w:t>
            </w:r>
          </w:p>
        </w:tc>
        <w:tc>
          <w:tcPr>
            <w:tcW w:w="183" w:type="pct"/>
            <w:noWrap w:val="0"/>
            <w:vAlign w:val="center"/>
          </w:tcPr>
          <w:p>
            <w:pPr>
              <w:jc w:val="center"/>
              <w:rPr>
                <w:szCs w:val="21"/>
              </w:rPr>
            </w:pPr>
            <w:r>
              <w:rPr>
                <w:szCs w:val="21"/>
              </w:rPr>
              <w:t>-14</w:t>
            </w:r>
          </w:p>
        </w:tc>
        <w:tc>
          <w:tcPr>
            <w:tcW w:w="224" w:type="pct"/>
            <w:noWrap w:val="0"/>
            <w:vAlign w:val="center"/>
          </w:tcPr>
          <w:p>
            <w:pPr>
              <w:jc w:val="center"/>
              <w:rPr>
                <w:szCs w:val="21"/>
              </w:rPr>
            </w:pPr>
            <w:r>
              <w:rPr>
                <w:szCs w:val="21"/>
              </w:rPr>
              <w:t>337.07</w:t>
            </w:r>
          </w:p>
        </w:tc>
        <w:tc>
          <w:tcPr>
            <w:tcW w:w="221" w:type="pct"/>
            <w:noWrap w:val="0"/>
            <w:vAlign w:val="center"/>
          </w:tcPr>
          <w:p>
            <w:pPr>
              <w:jc w:val="center"/>
              <w:rPr>
                <w:szCs w:val="21"/>
              </w:rPr>
            </w:pPr>
            <w:r>
              <w:rPr>
                <w:szCs w:val="21"/>
              </w:rPr>
              <w:t>3</w:t>
            </w:r>
          </w:p>
        </w:tc>
        <w:tc>
          <w:tcPr>
            <w:tcW w:w="183" w:type="pct"/>
            <w:noWrap w:val="0"/>
            <w:vAlign w:val="center"/>
          </w:tcPr>
          <w:p>
            <w:pPr>
              <w:jc w:val="center"/>
              <w:rPr>
                <w:szCs w:val="21"/>
              </w:rPr>
            </w:pPr>
            <w:r>
              <w:rPr>
                <w:szCs w:val="21"/>
              </w:rPr>
              <w:t>2</w:t>
            </w:r>
          </w:p>
        </w:tc>
        <w:tc>
          <w:tcPr>
            <w:tcW w:w="183" w:type="pct"/>
            <w:noWrap w:val="0"/>
            <w:vAlign w:val="center"/>
          </w:tcPr>
          <w:p>
            <w:pPr>
              <w:jc w:val="center"/>
              <w:rPr>
                <w:szCs w:val="21"/>
              </w:rPr>
            </w:pPr>
            <w:r>
              <w:rPr>
                <w:szCs w:val="21"/>
              </w:rPr>
              <w:t>29</w:t>
            </w:r>
          </w:p>
        </w:tc>
        <w:tc>
          <w:tcPr>
            <w:tcW w:w="187" w:type="pct"/>
            <w:noWrap w:val="0"/>
            <w:vAlign w:val="center"/>
          </w:tcPr>
          <w:p>
            <w:pPr>
              <w:jc w:val="center"/>
              <w:rPr>
                <w:szCs w:val="21"/>
              </w:rPr>
            </w:pPr>
            <w:r>
              <w:rPr>
                <w:szCs w:val="21"/>
              </w:rPr>
              <w:t>3</w:t>
            </w:r>
          </w:p>
        </w:tc>
        <w:tc>
          <w:tcPr>
            <w:tcW w:w="222" w:type="pct"/>
            <w:noWrap w:val="0"/>
            <w:vAlign w:val="center"/>
          </w:tcPr>
          <w:p>
            <w:pPr>
              <w:jc w:val="center"/>
              <w:rPr>
                <w:szCs w:val="21"/>
              </w:rPr>
            </w:pPr>
            <w:r>
              <w:rPr>
                <w:sz w:val="22"/>
                <w:szCs w:val="22"/>
              </w:rPr>
              <w:t xml:space="preserve">70.5 </w:t>
            </w:r>
          </w:p>
        </w:tc>
        <w:tc>
          <w:tcPr>
            <w:tcW w:w="183" w:type="pct"/>
            <w:noWrap w:val="0"/>
            <w:vAlign w:val="center"/>
          </w:tcPr>
          <w:p>
            <w:pPr>
              <w:jc w:val="center"/>
              <w:rPr>
                <w:szCs w:val="21"/>
              </w:rPr>
            </w:pPr>
            <w:r>
              <w:rPr>
                <w:sz w:val="22"/>
                <w:szCs w:val="22"/>
              </w:rPr>
              <w:t xml:space="preserve">50.8 </w:t>
            </w:r>
          </w:p>
        </w:tc>
        <w:tc>
          <w:tcPr>
            <w:tcW w:w="183" w:type="pct"/>
            <w:noWrap w:val="0"/>
            <w:vAlign w:val="center"/>
          </w:tcPr>
          <w:p>
            <w:pPr>
              <w:jc w:val="center"/>
              <w:rPr>
                <w:szCs w:val="21"/>
              </w:rPr>
            </w:pPr>
            <w:r>
              <w:rPr>
                <w:sz w:val="22"/>
                <w:szCs w:val="22"/>
              </w:rPr>
              <w:t xml:space="preserve">50.8 </w:t>
            </w:r>
          </w:p>
        </w:tc>
        <w:tc>
          <w:tcPr>
            <w:tcW w:w="187" w:type="pct"/>
            <w:noWrap w:val="0"/>
            <w:vAlign w:val="center"/>
          </w:tcPr>
          <w:p>
            <w:pPr>
              <w:jc w:val="center"/>
              <w:rPr>
                <w:szCs w:val="21"/>
              </w:rPr>
            </w:pPr>
            <w:r>
              <w:rPr>
                <w:sz w:val="22"/>
                <w:szCs w:val="22"/>
              </w:rPr>
              <w:t xml:space="preserve">70.5 </w:t>
            </w:r>
          </w:p>
        </w:tc>
        <w:tc>
          <w:tcPr>
            <w:tcW w:w="183" w:type="pct"/>
            <w:noWrap w:val="0"/>
            <w:vAlign w:val="center"/>
          </w:tcPr>
          <w:p>
            <w:pPr>
              <w:jc w:val="center"/>
              <w:rPr>
                <w:szCs w:val="21"/>
              </w:rPr>
            </w:pPr>
            <w:r>
              <w:rPr>
                <w:szCs w:val="21"/>
              </w:rPr>
              <w:t>连续</w:t>
            </w:r>
          </w:p>
        </w:tc>
        <w:tc>
          <w:tcPr>
            <w:tcW w:w="235" w:type="pct"/>
            <w:noWrap w:val="0"/>
            <w:vAlign w:val="center"/>
          </w:tcPr>
          <w:p>
            <w:pPr>
              <w:jc w:val="center"/>
              <w:rPr>
                <w:szCs w:val="21"/>
              </w:rPr>
            </w:pPr>
            <w:r>
              <w:rPr>
                <w:szCs w:val="21"/>
              </w:rPr>
              <w:t>20</w:t>
            </w:r>
          </w:p>
        </w:tc>
        <w:tc>
          <w:tcPr>
            <w:tcW w:w="183" w:type="pct"/>
            <w:noWrap w:val="0"/>
            <w:vAlign w:val="center"/>
          </w:tcPr>
          <w:p>
            <w:pPr>
              <w:jc w:val="center"/>
              <w:rPr>
                <w:szCs w:val="21"/>
              </w:rPr>
            </w:pPr>
            <w:r>
              <w:rPr>
                <w:szCs w:val="21"/>
              </w:rPr>
              <w:t xml:space="preserve">50.5 </w:t>
            </w:r>
          </w:p>
        </w:tc>
        <w:tc>
          <w:tcPr>
            <w:tcW w:w="183" w:type="pct"/>
            <w:noWrap w:val="0"/>
            <w:vAlign w:val="center"/>
          </w:tcPr>
          <w:p>
            <w:pPr>
              <w:jc w:val="center"/>
              <w:rPr>
                <w:szCs w:val="21"/>
              </w:rPr>
            </w:pPr>
            <w:r>
              <w:rPr>
                <w:szCs w:val="21"/>
              </w:rPr>
              <w:t xml:space="preserve">30.8 </w:t>
            </w:r>
          </w:p>
        </w:tc>
        <w:tc>
          <w:tcPr>
            <w:tcW w:w="183" w:type="pct"/>
            <w:noWrap w:val="0"/>
            <w:vAlign w:val="center"/>
          </w:tcPr>
          <w:p>
            <w:pPr>
              <w:jc w:val="center"/>
              <w:rPr>
                <w:szCs w:val="21"/>
              </w:rPr>
            </w:pPr>
            <w:r>
              <w:rPr>
                <w:szCs w:val="21"/>
              </w:rPr>
              <w:t xml:space="preserve">30.8 </w:t>
            </w:r>
          </w:p>
        </w:tc>
        <w:tc>
          <w:tcPr>
            <w:tcW w:w="183" w:type="pct"/>
            <w:noWrap w:val="0"/>
            <w:vAlign w:val="center"/>
          </w:tcPr>
          <w:p>
            <w:pPr>
              <w:jc w:val="center"/>
              <w:rPr>
                <w:szCs w:val="21"/>
              </w:rPr>
            </w:pPr>
            <w:r>
              <w:rPr>
                <w:szCs w:val="21"/>
              </w:rPr>
              <w:t xml:space="preserve">50.5 </w:t>
            </w:r>
          </w:p>
        </w:tc>
        <w:tc>
          <w:tcPr>
            <w:tcW w:w="170" w:type="pct"/>
            <w:noWrap w:val="0"/>
            <w:vAlign w:val="center"/>
          </w:tcPr>
          <w:p>
            <w:pPr>
              <w:jc w:val="center"/>
              <w:rPr>
                <w:szCs w:val="21"/>
              </w:rPr>
            </w:pPr>
            <w:r>
              <w:rPr>
                <w:szCs w:val="21"/>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0" w:type="pct"/>
            <w:noWrap w:val="0"/>
            <w:vAlign w:val="center"/>
          </w:tcPr>
          <w:p>
            <w:pPr>
              <w:jc w:val="center"/>
              <w:rPr>
                <w:szCs w:val="21"/>
              </w:rPr>
            </w:pPr>
            <w:r>
              <w:rPr>
                <w:szCs w:val="21"/>
              </w:rPr>
              <w:t>3</w:t>
            </w:r>
          </w:p>
        </w:tc>
        <w:tc>
          <w:tcPr>
            <w:tcW w:w="266" w:type="pct"/>
            <w:vMerge w:val="continue"/>
            <w:noWrap w:val="0"/>
            <w:vAlign w:val="center"/>
          </w:tcPr>
          <w:p>
            <w:pPr>
              <w:jc w:val="center"/>
              <w:rPr>
                <w:szCs w:val="21"/>
              </w:rPr>
            </w:pPr>
          </w:p>
        </w:tc>
        <w:tc>
          <w:tcPr>
            <w:tcW w:w="329" w:type="pct"/>
            <w:noWrap w:val="0"/>
            <w:vAlign w:val="center"/>
          </w:tcPr>
          <w:p>
            <w:pPr>
              <w:jc w:val="center"/>
              <w:rPr>
                <w:szCs w:val="21"/>
              </w:rPr>
            </w:pPr>
            <w:r>
              <w:rPr>
                <w:szCs w:val="21"/>
                <w:lang w:val="zh-CN"/>
              </w:rPr>
              <w:t>加药泵</w:t>
            </w:r>
          </w:p>
        </w:tc>
        <w:tc>
          <w:tcPr>
            <w:tcW w:w="168" w:type="pct"/>
            <w:noWrap w:val="0"/>
            <w:vAlign w:val="center"/>
          </w:tcPr>
          <w:p>
            <w:pPr>
              <w:jc w:val="center"/>
              <w:rPr>
                <w:szCs w:val="21"/>
              </w:rPr>
            </w:pPr>
            <w:r>
              <w:rPr>
                <w:szCs w:val="21"/>
              </w:rPr>
              <w:t>G20-1</w:t>
            </w:r>
          </w:p>
        </w:tc>
        <w:tc>
          <w:tcPr>
            <w:tcW w:w="320" w:type="pct"/>
            <w:noWrap w:val="0"/>
            <w:vAlign w:val="center"/>
          </w:tcPr>
          <w:p>
            <w:pPr>
              <w:jc w:val="center"/>
              <w:rPr>
                <w:szCs w:val="21"/>
              </w:rPr>
            </w:pPr>
            <w:r>
              <w:rPr>
                <w:szCs w:val="21"/>
              </w:rPr>
              <w:t>75</w:t>
            </w:r>
          </w:p>
        </w:tc>
        <w:tc>
          <w:tcPr>
            <w:tcW w:w="368" w:type="pct"/>
            <w:vMerge w:val="continue"/>
            <w:noWrap w:val="0"/>
            <w:vAlign w:val="center"/>
          </w:tcPr>
          <w:p>
            <w:pPr>
              <w:jc w:val="center"/>
              <w:rPr>
                <w:szCs w:val="21"/>
              </w:rPr>
            </w:pPr>
          </w:p>
        </w:tc>
        <w:tc>
          <w:tcPr>
            <w:tcW w:w="183" w:type="pct"/>
            <w:noWrap w:val="0"/>
            <w:vAlign w:val="center"/>
          </w:tcPr>
          <w:p>
            <w:pPr>
              <w:jc w:val="center"/>
              <w:rPr>
                <w:szCs w:val="21"/>
              </w:rPr>
            </w:pPr>
            <w:r>
              <w:rPr>
                <w:szCs w:val="21"/>
              </w:rPr>
              <w:t>2</w:t>
            </w:r>
          </w:p>
        </w:tc>
        <w:tc>
          <w:tcPr>
            <w:tcW w:w="183" w:type="pct"/>
            <w:noWrap w:val="0"/>
            <w:vAlign w:val="center"/>
          </w:tcPr>
          <w:p>
            <w:pPr>
              <w:jc w:val="center"/>
              <w:rPr>
                <w:szCs w:val="21"/>
              </w:rPr>
            </w:pPr>
            <w:r>
              <w:rPr>
                <w:szCs w:val="21"/>
              </w:rPr>
              <w:t>-17</w:t>
            </w:r>
          </w:p>
        </w:tc>
        <w:tc>
          <w:tcPr>
            <w:tcW w:w="224" w:type="pct"/>
            <w:noWrap w:val="0"/>
            <w:vAlign w:val="center"/>
          </w:tcPr>
          <w:p>
            <w:pPr>
              <w:jc w:val="center"/>
              <w:rPr>
                <w:szCs w:val="21"/>
              </w:rPr>
            </w:pPr>
            <w:r>
              <w:rPr>
                <w:szCs w:val="21"/>
              </w:rPr>
              <w:t>337.07</w:t>
            </w:r>
          </w:p>
        </w:tc>
        <w:tc>
          <w:tcPr>
            <w:tcW w:w="221" w:type="pct"/>
            <w:noWrap w:val="0"/>
            <w:vAlign w:val="center"/>
          </w:tcPr>
          <w:p>
            <w:pPr>
              <w:jc w:val="center"/>
              <w:rPr>
                <w:szCs w:val="21"/>
              </w:rPr>
            </w:pPr>
            <w:r>
              <w:rPr>
                <w:szCs w:val="21"/>
              </w:rPr>
              <w:t>3</w:t>
            </w:r>
          </w:p>
        </w:tc>
        <w:tc>
          <w:tcPr>
            <w:tcW w:w="183" w:type="pct"/>
            <w:noWrap w:val="0"/>
            <w:vAlign w:val="center"/>
          </w:tcPr>
          <w:p>
            <w:pPr>
              <w:jc w:val="center"/>
              <w:rPr>
                <w:szCs w:val="21"/>
              </w:rPr>
            </w:pPr>
            <w:r>
              <w:rPr>
                <w:szCs w:val="21"/>
              </w:rPr>
              <w:t>3</w:t>
            </w:r>
          </w:p>
        </w:tc>
        <w:tc>
          <w:tcPr>
            <w:tcW w:w="183" w:type="pct"/>
            <w:noWrap w:val="0"/>
            <w:vAlign w:val="center"/>
          </w:tcPr>
          <w:p>
            <w:pPr>
              <w:jc w:val="center"/>
              <w:rPr>
                <w:szCs w:val="21"/>
              </w:rPr>
            </w:pPr>
            <w:r>
              <w:rPr>
                <w:szCs w:val="21"/>
              </w:rPr>
              <w:t>27</w:t>
            </w:r>
          </w:p>
        </w:tc>
        <w:tc>
          <w:tcPr>
            <w:tcW w:w="187" w:type="pct"/>
            <w:noWrap w:val="0"/>
            <w:vAlign w:val="center"/>
          </w:tcPr>
          <w:p>
            <w:pPr>
              <w:jc w:val="center"/>
              <w:rPr>
                <w:szCs w:val="21"/>
              </w:rPr>
            </w:pPr>
            <w:r>
              <w:rPr>
                <w:szCs w:val="21"/>
              </w:rPr>
              <w:t>2</w:t>
            </w:r>
          </w:p>
        </w:tc>
        <w:tc>
          <w:tcPr>
            <w:tcW w:w="222" w:type="pct"/>
            <w:noWrap w:val="0"/>
            <w:vAlign w:val="center"/>
          </w:tcPr>
          <w:p>
            <w:pPr>
              <w:jc w:val="center"/>
              <w:rPr>
                <w:szCs w:val="21"/>
              </w:rPr>
            </w:pPr>
            <w:r>
              <w:rPr>
                <w:sz w:val="22"/>
                <w:szCs w:val="22"/>
              </w:rPr>
              <w:t xml:space="preserve">65.5 </w:t>
            </w:r>
          </w:p>
        </w:tc>
        <w:tc>
          <w:tcPr>
            <w:tcW w:w="183" w:type="pct"/>
            <w:noWrap w:val="0"/>
            <w:vAlign w:val="center"/>
          </w:tcPr>
          <w:p>
            <w:pPr>
              <w:jc w:val="center"/>
              <w:rPr>
                <w:szCs w:val="21"/>
              </w:rPr>
            </w:pPr>
            <w:r>
              <w:rPr>
                <w:sz w:val="22"/>
                <w:szCs w:val="22"/>
              </w:rPr>
              <w:t xml:space="preserve">46.4 </w:t>
            </w:r>
          </w:p>
        </w:tc>
        <w:tc>
          <w:tcPr>
            <w:tcW w:w="183" w:type="pct"/>
            <w:noWrap w:val="0"/>
            <w:vAlign w:val="center"/>
          </w:tcPr>
          <w:p>
            <w:pPr>
              <w:jc w:val="center"/>
              <w:rPr>
                <w:szCs w:val="21"/>
              </w:rPr>
            </w:pPr>
            <w:r>
              <w:rPr>
                <w:sz w:val="22"/>
                <w:szCs w:val="22"/>
              </w:rPr>
              <w:t xml:space="preserve">46.4 </w:t>
            </w:r>
          </w:p>
        </w:tc>
        <w:tc>
          <w:tcPr>
            <w:tcW w:w="187" w:type="pct"/>
            <w:noWrap w:val="0"/>
            <w:vAlign w:val="center"/>
          </w:tcPr>
          <w:p>
            <w:pPr>
              <w:jc w:val="center"/>
              <w:rPr>
                <w:szCs w:val="21"/>
              </w:rPr>
            </w:pPr>
            <w:r>
              <w:rPr>
                <w:sz w:val="22"/>
                <w:szCs w:val="22"/>
              </w:rPr>
              <w:t xml:space="preserve">69.0 </w:t>
            </w:r>
          </w:p>
        </w:tc>
        <w:tc>
          <w:tcPr>
            <w:tcW w:w="183" w:type="pct"/>
            <w:noWrap w:val="0"/>
            <w:vAlign w:val="center"/>
          </w:tcPr>
          <w:p>
            <w:pPr>
              <w:jc w:val="center"/>
              <w:rPr>
                <w:szCs w:val="21"/>
              </w:rPr>
            </w:pPr>
            <w:r>
              <w:rPr>
                <w:szCs w:val="21"/>
              </w:rPr>
              <w:t>连续</w:t>
            </w:r>
          </w:p>
        </w:tc>
        <w:tc>
          <w:tcPr>
            <w:tcW w:w="235" w:type="pct"/>
            <w:noWrap w:val="0"/>
            <w:vAlign w:val="center"/>
          </w:tcPr>
          <w:p>
            <w:pPr>
              <w:jc w:val="center"/>
              <w:rPr>
                <w:szCs w:val="21"/>
              </w:rPr>
            </w:pPr>
            <w:r>
              <w:rPr>
                <w:szCs w:val="21"/>
              </w:rPr>
              <w:t>20</w:t>
            </w:r>
          </w:p>
        </w:tc>
        <w:tc>
          <w:tcPr>
            <w:tcW w:w="183" w:type="pct"/>
            <w:noWrap w:val="0"/>
            <w:vAlign w:val="center"/>
          </w:tcPr>
          <w:p>
            <w:pPr>
              <w:jc w:val="center"/>
              <w:rPr>
                <w:szCs w:val="21"/>
              </w:rPr>
            </w:pPr>
            <w:r>
              <w:rPr>
                <w:szCs w:val="21"/>
              </w:rPr>
              <w:t xml:space="preserve">45.5 </w:t>
            </w:r>
          </w:p>
        </w:tc>
        <w:tc>
          <w:tcPr>
            <w:tcW w:w="183" w:type="pct"/>
            <w:noWrap w:val="0"/>
            <w:vAlign w:val="center"/>
          </w:tcPr>
          <w:p>
            <w:pPr>
              <w:jc w:val="center"/>
              <w:rPr>
                <w:szCs w:val="21"/>
              </w:rPr>
            </w:pPr>
            <w:r>
              <w:rPr>
                <w:szCs w:val="21"/>
              </w:rPr>
              <w:t xml:space="preserve">26.4 </w:t>
            </w:r>
          </w:p>
        </w:tc>
        <w:tc>
          <w:tcPr>
            <w:tcW w:w="183" w:type="pct"/>
            <w:noWrap w:val="0"/>
            <w:vAlign w:val="center"/>
          </w:tcPr>
          <w:p>
            <w:pPr>
              <w:jc w:val="center"/>
              <w:rPr>
                <w:szCs w:val="21"/>
              </w:rPr>
            </w:pPr>
            <w:r>
              <w:rPr>
                <w:szCs w:val="21"/>
              </w:rPr>
              <w:t xml:space="preserve">26.4 </w:t>
            </w:r>
          </w:p>
        </w:tc>
        <w:tc>
          <w:tcPr>
            <w:tcW w:w="183" w:type="pct"/>
            <w:noWrap w:val="0"/>
            <w:vAlign w:val="center"/>
          </w:tcPr>
          <w:p>
            <w:pPr>
              <w:jc w:val="center"/>
              <w:rPr>
                <w:szCs w:val="21"/>
              </w:rPr>
            </w:pPr>
            <w:r>
              <w:rPr>
                <w:szCs w:val="21"/>
              </w:rPr>
              <w:t xml:space="preserve">49.0 </w:t>
            </w:r>
          </w:p>
        </w:tc>
        <w:tc>
          <w:tcPr>
            <w:tcW w:w="170" w:type="pct"/>
            <w:noWrap w:val="0"/>
            <w:vAlign w:val="center"/>
          </w:tcPr>
          <w:p>
            <w:pPr>
              <w:jc w:val="center"/>
              <w:rPr>
                <w:szCs w:val="21"/>
              </w:rPr>
            </w:pPr>
            <w:r>
              <w:rPr>
                <w:szCs w:val="21"/>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345" w:hRule="atLeast"/>
        </w:trPr>
        <w:tc>
          <w:tcPr>
            <w:tcW w:w="90" w:type="pct"/>
            <w:noWrap w:val="0"/>
            <w:vAlign w:val="center"/>
          </w:tcPr>
          <w:p>
            <w:pPr>
              <w:jc w:val="center"/>
              <w:rPr>
                <w:szCs w:val="21"/>
              </w:rPr>
            </w:pPr>
            <w:r>
              <w:rPr>
                <w:szCs w:val="21"/>
              </w:rPr>
              <w:t>4</w:t>
            </w:r>
          </w:p>
        </w:tc>
        <w:tc>
          <w:tcPr>
            <w:tcW w:w="266" w:type="pct"/>
            <w:vMerge w:val="continue"/>
            <w:noWrap w:val="0"/>
            <w:vAlign w:val="center"/>
          </w:tcPr>
          <w:p>
            <w:pPr>
              <w:jc w:val="center"/>
              <w:rPr>
                <w:szCs w:val="21"/>
              </w:rPr>
            </w:pPr>
          </w:p>
        </w:tc>
        <w:tc>
          <w:tcPr>
            <w:tcW w:w="329" w:type="pct"/>
            <w:noWrap w:val="0"/>
            <w:vAlign w:val="center"/>
          </w:tcPr>
          <w:p>
            <w:pPr>
              <w:jc w:val="center"/>
              <w:rPr>
                <w:szCs w:val="21"/>
              </w:rPr>
            </w:pPr>
            <w:r>
              <w:rPr>
                <w:szCs w:val="21"/>
                <w:lang w:val="zh-CN"/>
              </w:rPr>
              <w:t>PAM溶药储药一体</w:t>
            </w:r>
          </w:p>
        </w:tc>
        <w:tc>
          <w:tcPr>
            <w:tcW w:w="168" w:type="pct"/>
            <w:noWrap w:val="0"/>
            <w:vAlign w:val="center"/>
          </w:tcPr>
          <w:p>
            <w:pPr>
              <w:jc w:val="center"/>
              <w:rPr>
                <w:szCs w:val="21"/>
              </w:rPr>
            </w:pPr>
            <w:r>
              <w:rPr>
                <w:szCs w:val="21"/>
              </w:rPr>
              <w:t>/</w:t>
            </w:r>
          </w:p>
        </w:tc>
        <w:tc>
          <w:tcPr>
            <w:tcW w:w="320" w:type="pct"/>
            <w:noWrap w:val="0"/>
            <w:vAlign w:val="center"/>
          </w:tcPr>
          <w:p>
            <w:pPr>
              <w:jc w:val="center"/>
              <w:rPr>
                <w:szCs w:val="21"/>
              </w:rPr>
            </w:pPr>
            <w:r>
              <w:rPr>
                <w:szCs w:val="21"/>
              </w:rPr>
              <w:t>75</w:t>
            </w:r>
          </w:p>
        </w:tc>
        <w:tc>
          <w:tcPr>
            <w:tcW w:w="368" w:type="pct"/>
            <w:vMerge w:val="continue"/>
            <w:noWrap w:val="0"/>
            <w:vAlign w:val="center"/>
          </w:tcPr>
          <w:p>
            <w:pPr>
              <w:jc w:val="center"/>
              <w:rPr>
                <w:szCs w:val="21"/>
              </w:rPr>
            </w:pPr>
          </w:p>
        </w:tc>
        <w:tc>
          <w:tcPr>
            <w:tcW w:w="183" w:type="pct"/>
            <w:noWrap w:val="0"/>
            <w:vAlign w:val="center"/>
          </w:tcPr>
          <w:p>
            <w:pPr>
              <w:jc w:val="center"/>
              <w:rPr>
                <w:szCs w:val="21"/>
              </w:rPr>
            </w:pPr>
            <w:r>
              <w:rPr>
                <w:szCs w:val="21"/>
              </w:rPr>
              <w:t>4</w:t>
            </w:r>
          </w:p>
        </w:tc>
        <w:tc>
          <w:tcPr>
            <w:tcW w:w="183" w:type="pct"/>
            <w:noWrap w:val="0"/>
            <w:vAlign w:val="center"/>
          </w:tcPr>
          <w:p>
            <w:pPr>
              <w:jc w:val="center"/>
              <w:rPr>
                <w:szCs w:val="21"/>
              </w:rPr>
            </w:pPr>
            <w:r>
              <w:rPr>
                <w:szCs w:val="21"/>
              </w:rPr>
              <w:t>-17</w:t>
            </w:r>
          </w:p>
        </w:tc>
        <w:tc>
          <w:tcPr>
            <w:tcW w:w="224" w:type="pct"/>
            <w:noWrap w:val="0"/>
            <w:vAlign w:val="center"/>
          </w:tcPr>
          <w:p>
            <w:pPr>
              <w:jc w:val="center"/>
              <w:rPr>
                <w:szCs w:val="21"/>
              </w:rPr>
            </w:pPr>
            <w:r>
              <w:rPr>
                <w:szCs w:val="21"/>
              </w:rPr>
              <w:t>337.07</w:t>
            </w:r>
          </w:p>
        </w:tc>
        <w:tc>
          <w:tcPr>
            <w:tcW w:w="221" w:type="pct"/>
            <w:noWrap w:val="0"/>
            <w:vAlign w:val="center"/>
          </w:tcPr>
          <w:p>
            <w:pPr>
              <w:jc w:val="center"/>
              <w:rPr>
                <w:szCs w:val="21"/>
              </w:rPr>
            </w:pPr>
            <w:r>
              <w:rPr>
                <w:szCs w:val="21"/>
              </w:rPr>
              <w:t>1</w:t>
            </w:r>
          </w:p>
        </w:tc>
        <w:tc>
          <w:tcPr>
            <w:tcW w:w="183" w:type="pct"/>
            <w:noWrap w:val="0"/>
            <w:vAlign w:val="center"/>
          </w:tcPr>
          <w:p>
            <w:pPr>
              <w:jc w:val="center"/>
              <w:rPr>
                <w:szCs w:val="21"/>
              </w:rPr>
            </w:pPr>
            <w:r>
              <w:rPr>
                <w:szCs w:val="21"/>
              </w:rPr>
              <w:t>1</w:t>
            </w:r>
          </w:p>
        </w:tc>
        <w:tc>
          <w:tcPr>
            <w:tcW w:w="183" w:type="pct"/>
            <w:noWrap w:val="0"/>
            <w:vAlign w:val="center"/>
          </w:tcPr>
          <w:p>
            <w:pPr>
              <w:jc w:val="center"/>
              <w:rPr>
                <w:szCs w:val="21"/>
              </w:rPr>
            </w:pPr>
            <w:r>
              <w:rPr>
                <w:szCs w:val="21"/>
              </w:rPr>
              <w:t>30</w:t>
            </w:r>
          </w:p>
        </w:tc>
        <w:tc>
          <w:tcPr>
            <w:tcW w:w="187" w:type="pct"/>
            <w:noWrap w:val="0"/>
            <w:vAlign w:val="center"/>
          </w:tcPr>
          <w:p>
            <w:pPr>
              <w:jc w:val="center"/>
              <w:rPr>
                <w:szCs w:val="21"/>
              </w:rPr>
            </w:pPr>
            <w:r>
              <w:rPr>
                <w:szCs w:val="21"/>
              </w:rPr>
              <w:t>4</w:t>
            </w:r>
          </w:p>
        </w:tc>
        <w:tc>
          <w:tcPr>
            <w:tcW w:w="222" w:type="pct"/>
            <w:noWrap w:val="0"/>
            <w:vAlign w:val="center"/>
          </w:tcPr>
          <w:p>
            <w:pPr>
              <w:jc w:val="center"/>
              <w:rPr>
                <w:szCs w:val="21"/>
              </w:rPr>
            </w:pPr>
            <w:r>
              <w:rPr>
                <w:sz w:val="22"/>
                <w:szCs w:val="22"/>
              </w:rPr>
              <w:t xml:space="preserve">75.0 </w:t>
            </w:r>
          </w:p>
        </w:tc>
        <w:tc>
          <w:tcPr>
            <w:tcW w:w="183" w:type="pct"/>
            <w:noWrap w:val="0"/>
            <w:vAlign w:val="center"/>
          </w:tcPr>
          <w:p>
            <w:pPr>
              <w:jc w:val="center"/>
              <w:rPr>
                <w:szCs w:val="21"/>
              </w:rPr>
            </w:pPr>
            <w:r>
              <w:rPr>
                <w:sz w:val="22"/>
                <w:szCs w:val="22"/>
              </w:rPr>
              <w:t xml:space="preserve">45.5 </w:t>
            </w:r>
          </w:p>
        </w:tc>
        <w:tc>
          <w:tcPr>
            <w:tcW w:w="183" w:type="pct"/>
            <w:noWrap w:val="0"/>
            <w:vAlign w:val="center"/>
          </w:tcPr>
          <w:p>
            <w:pPr>
              <w:jc w:val="center"/>
              <w:rPr>
                <w:szCs w:val="21"/>
              </w:rPr>
            </w:pPr>
            <w:r>
              <w:rPr>
                <w:sz w:val="22"/>
                <w:szCs w:val="22"/>
              </w:rPr>
              <w:t xml:space="preserve">45.5 </w:t>
            </w:r>
          </w:p>
        </w:tc>
        <w:tc>
          <w:tcPr>
            <w:tcW w:w="187" w:type="pct"/>
            <w:noWrap w:val="0"/>
            <w:vAlign w:val="center"/>
          </w:tcPr>
          <w:p>
            <w:pPr>
              <w:jc w:val="center"/>
              <w:rPr>
                <w:szCs w:val="21"/>
              </w:rPr>
            </w:pPr>
            <w:r>
              <w:rPr>
                <w:sz w:val="22"/>
                <w:szCs w:val="22"/>
              </w:rPr>
              <w:t xml:space="preserve">63.0 </w:t>
            </w:r>
          </w:p>
        </w:tc>
        <w:tc>
          <w:tcPr>
            <w:tcW w:w="183" w:type="pct"/>
            <w:noWrap w:val="0"/>
            <w:vAlign w:val="center"/>
          </w:tcPr>
          <w:p>
            <w:pPr>
              <w:jc w:val="center"/>
              <w:rPr>
                <w:szCs w:val="21"/>
              </w:rPr>
            </w:pPr>
            <w:r>
              <w:rPr>
                <w:szCs w:val="21"/>
              </w:rPr>
              <w:t>连续</w:t>
            </w:r>
          </w:p>
        </w:tc>
        <w:tc>
          <w:tcPr>
            <w:tcW w:w="235" w:type="pct"/>
            <w:noWrap w:val="0"/>
            <w:vAlign w:val="center"/>
          </w:tcPr>
          <w:p>
            <w:pPr>
              <w:jc w:val="center"/>
              <w:rPr>
                <w:szCs w:val="21"/>
              </w:rPr>
            </w:pPr>
            <w:r>
              <w:rPr>
                <w:szCs w:val="21"/>
              </w:rPr>
              <w:t>20</w:t>
            </w:r>
          </w:p>
        </w:tc>
        <w:tc>
          <w:tcPr>
            <w:tcW w:w="183" w:type="pct"/>
            <w:noWrap w:val="0"/>
            <w:vAlign w:val="center"/>
          </w:tcPr>
          <w:p>
            <w:pPr>
              <w:jc w:val="center"/>
              <w:rPr>
                <w:szCs w:val="21"/>
              </w:rPr>
            </w:pPr>
            <w:r>
              <w:rPr>
                <w:szCs w:val="21"/>
              </w:rPr>
              <w:t xml:space="preserve">55.0 </w:t>
            </w:r>
          </w:p>
        </w:tc>
        <w:tc>
          <w:tcPr>
            <w:tcW w:w="183" w:type="pct"/>
            <w:noWrap w:val="0"/>
            <w:vAlign w:val="center"/>
          </w:tcPr>
          <w:p>
            <w:pPr>
              <w:jc w:val="center"/>
              <w:rPr>
                <w:szCs w:val="21"/>
              </w:rPr>
            </w:pPr>
            <w:r>
              <w:rPr>
                <w:szCs w:val="21"/>
              </w:rPr>
              <w:t xml:space="preserve">25.5 </w:t>
            </w:r>
          </w:p>
        </w:tc>
        <w:tc>
          <w:tcPr>
            <w:tcW w:w="183" w:type="pct"/>
            <w:noWrap w:val="0"/>
            <w:vAlign w:val="center"/>
          </w:tcPr>
          <w:p>
            <w:pPr>
              <w:jc w:val="center"/>
              <w:rPr>
                <w:szCs w:val="21"/>
              </w:rPr>
            </w:pPr>
            <w:r>
              <w:rPr>
                <w:szCs w:val="21"/>
              </w:rPr>
              <w:t xml:space="preserve">25.5 </w:t>
            </w:r>
          </w:p>
        </w:tc>
        <w:tc>
          <w:tcPr>
            <w:tcW w:w="183" w:type="pct"/>
            <w:noWrap w:val="0"/>
            <w:vAlign w:val="center"/>
          </w:tcPr>
          <w:p>
            <w:pPr>
              <w:jc w:val="center"/>
              <w:rPr>
                <w:szCs w:val="21"/>
              </w:rPr>
            </w:pPr>
            <w:r>
              <w:rPr>
                <w:szCs w:val="21"/>
              </w:rPr>
              <w:t xml:space="preserve">43.0 </w:t>
            </w:r>
          </w:p>
        </w:tc>
        <w:tc>
          <w:tcPr>
            <w:tcW w:w="170" w:type="pct"/>
            <w:noWrap w:val="0"/>
            <w:vAlign w:val="center"/>
          </w:tcPr>
          <w:p>
            <w:pPr>
              <w:jc w:val="center"/>
              <w:rPr>
                <w:szCs w:val="21"/>
              </w:rPr>
            </w:pPr>
            <w:r>
              <w:rPr>
                <w:szCs w:val="21"/>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5000" w:type="pct"/>
            <w:gridSpan w:val="24"/>
            <w:noWrap w:val="0"/>
            <w:vAlign w:val="center"/>
          </w:tcPr>
          <w:p>
            <w:pPr>
              <w:jc w:val="left"/>
              <w:rPr>
                <w:szCs w:val="21"/>
              </w:rPr>
            </w:pPr>
            <w:r>
              <w:rPr>
                <w:szCs w:val="21"/>
              </w:rPr>
              <w:t>注：中坐标以项目占地中心为坐标原点（0,0），正东向为X轴正方向，正北向为Y轴正方向。</w:t>
            </w:r>
          </w:p>
        </w:tc>
      </w:tr>
    </w:tbl>
    <w:p>
      <w:pPr>
        <w:adjustRightInd w:val="0"/>
        <w:snapToGrid w:val="0"/>
        <w:spacing w:line="276" w:lineRule="auto"/>
        <w:jc w:val="center"/>
        <w:rPr>
          <w:rFonts w:eastAsia="黑体"/>
          <w:bCs/>
          <w:sz w:val="24"/>
        </w:rPr>
      </w:pPr>
      <w:r>
        <w:rPr>
          <w:rFonts w:eastAsia="黑体"/>
          <w:bCs/>
          <w:sz w:val="24"/>
        </w:rPr>
        <w:t>表4-12  本项目运营期噪声源强调查清单（室外声源）</w:t>
      </w:r>
    </w:p>
    <w:tbl>
      <w:tblPr>
        <w:tblStyle w:val="32"/>
        <w:tblW w:w="5000" w:type="pct"/>
        <w:tblInd w:w="108" w:type="dxa"/>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Layout w:type="autofit"/>
        <w:tblCellMar>
          <w:top w:w="0" w:type="dxa"/>
          <w:left w:w="108" w:type="dxa"/>
          <w:bottom w:w="0" w:type="dxa"/>
          <w:right w:w="108" w:type="dxa"/>
        </w:tblCellMar>
      </w:tblPr>
      <w:tblGrid>
        <w:gridCol w:w="1222"/>
        <w:gridCol w:w="2013"/>
        <w:gridCol w:w="2670"/>
        <w:gridCol w:w="1222"/>
        <w:gridCol w:w="648"/>
        <w:gridCol w:w="1323"/>
        <w:gridCol w:w="1699"/>
        <w:gridCol w:w="1609"/>
        <w:gridCol w:w="823"/>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108" w:type="dxa"/>
            <w:bottom w:w="0" w:type="dxa"/>
            <w:right w:w="108" w:type="dxa"/>
          </w:tblCellMar>
        </w:tblPrEx>
        <w:trPr>
          <w:trHeight w:val="20" w:hRule="atLeast"/>
        </w:trPr>
        <w:tc>
          <w:tcPr>
            <w:tcW w:w="462" w:type="pct"/>
            <w:vMerge w:val="restart"/>
            <w:shd w:val="clear" w:color="auto" w:fill="CCFFFF"/>
            <w:noWrap w:val="0"/>
            <w:vAlign w:val="center"/>
          </w:tcPr>
          <w:p>
            <w:pPr>
              <w:widowControl/>
              <w:jc w:val="center"/>
              <w:rPr>
                <w:b/>
                <w:bCs/>
                <w:kern w:val="0"/>
                <w:szCs w:val="21"/>
              </w:rPr>
            </w:pPr>
            <w:r>
              <w:rPr>
                <w:b/>
                <w:bCs/>
                <w:kern w:val="0"/>
                <w:szCs w:val="21"/>
              </w:rPr>
              <w:t>序号</w:t>
            </w:r>
          </w:p>
        </w:tc>
        <w:tc>
          <w:tcPr>
            <w:tcW w:w="761" w:type="pct"/>
            <w:vMerge w:val="restart"/>
            <w:shd w:val="clear" w:color="auto" w:fill="CCFFFF"/>
            <w:noWrap w:val="0"/>
            <w:vAlign w:val="center"/>
          </w:tcPr>
          <w:p>
            <w:pPr>
              <w:widowControl/>
              <w:jc w:val="center"/>
              <w:rPr>
                <w:b/>
                <w:bCs/>
                <w:kern w:val="0"/>
                <w:szCs w:val="21"/>
              </w:rPr>
            </w:pPr>
            <w:r>
              <w:rPr>
                <w:b/>
                <w:bCs/>
                <w:kern w:val="0"/>
                <w:szCs w:val="21"/>
              </w:rPr>
              <w:t>声源名称</w:t>
            </w:r>
          </w:p>
        </w:tc>
        <w:tc>
          <w:tcPr>
            <w:tcW w:w="1009" w:type="pct"/>
            <w:vMerge w:val="restart"/>
            <w:shd w:val="clear" w:color="auto" w:fill="CCFFFF"/>
            <w:noWrap w:val="0"/>
            <w:vAlign w:val="center"/>
          </w:tcPr>
          <w:p>
            <w:pPr>
              <w:widowControl/>
              <w:jc w:val="center"/>
              <w:rPr>
                <w:b/>
                <w:bCs/>
                <w:kern w:val="0"/>
                <w:szCs w:val="21"/>
              </w:rPr>
            </w:pPr>
            <w:r>
              <w:rPr>
                <w:b/>
                <w:bCs/>
                <w:kern w:val="0"/>
                <w:szCs w:val="21"/>
              </w:rPr>
              <w:t>型号</w:t>
            </w:r>
          </w:p>
        </w:tc>
        <w:tc>
          <w:tcPr>
            <w:tcW w:w="1207" w:type="pct"/>
            <w:gridSpan w:val="3"/>
            <w:shd w:val="clear" w:color="auto" w:fill="CCFFFF"/>
            <w:noWrap w:val="0"/>
            <w:vAlign w:val="center"/>
          </w:tcPr>
          <w:p>
            <w:pPr>
              <w:widowControl/>
              <w:jc w:val="center"/>
              <w:rPr>
                <w:b/>
                <w:bCs/>
                <w:kern w:val="0"/>
                <w:szCs w:val="21"/>
              </w:rPr>
            </w:pPr>
            <w:r>
              <w:rPr>
                <w:b/>
                <w:bCs/>
                <w:kern w:val="0"/>
                <w:szCs w:val="21"/>
              </w:rPr>
              <w:t>空间相对位置/m</w:t>
            </w:r>
          </w:p>
        </w:tc>
        <w:tc>
          <w:tcPr>
            <w:tcW w:w="642" w:type="pct"/>
            <w:shd w:val="clear" w:color="auto" w:fill="CCFFFF"/>
            <w:noWrap w:val="0"/>
            <w:vAlign w:val="center"/>
          </w:tcPr>
          <w:p>
            <w:pPr>
              <w:widowControl/>
              <w:jc w:val="center"/>
              <w:rPr>
                <w:b/>
                <w:bCs/>
                <w:kern w:val="0"/>
                <w:szCs w:val="21"/>
              </w:rPr>
            </w:pPr>
            <w:r>
              <w:rPr>
                <w:b/>
                <w:bCs/>
                <w:kern w:val="0"/>
                <w:szCs w:val="21"/>
              </w:rPr>
              <w:t>声源源强</w:t>
            </w:r>
          </w:p>
        </w:tc>
        <w:tc>
          <w:tcPr>
            <w:tcW w:w="608" w:type="pct"/>
            <w:vMerge w:val="restart"/>
            <w:shd w:val="clear" w:color="auto" w:fill="CCFFFF"/>
            <w:noWrap w:val="0"/>
            <w:vAlign w:val="center"/>
          </w:tcPr>
          <w:p>
            <w:pPr>
              <w:widowControl/>
              <w:jc w:val="center"/>
              <w:rPr>
                <w:b/>
                <w:bCs/>
                <w:kern w:val="0"/>
                <w:szCs w:val="21"/>
              </w:rPr>
            </w:pPr>
            <w:r>
              <w:rPr>
                <w:b/>
                <w:bCs/>
                <w:kern w:val="0"/>
                <w:szCs w:val="21"/>
              </w:rPr>
              <w:t>声源控制措施</w:t>
            </w:r>
          </w:p>
        </w:tc>
        <w:tc>
          <w:tcPr>
            <w:tcW w:w="311" w:type="pct"/>
            <w:vMerge w:val="restart"/>
            <w:shd w:val="clear" w:color="auto" w:fill="CCFFFF"/>
            <w:noWrap w:val="0"/>
            <w:vAlign w:val="center"/>
          </w:tcPr>
          <w:p>
            <w:pPr>
              <w:widowControl/>
              <w:jc w:val="center"/>
              <w:rPr>
                <w:b/>
                <w:bCs/>
                <w:kern w:val="0"/>
                <w:szCs w:val="21"/>
              </w:rPr>
            </w:pPr>
            <w:r>
              <w:rPr>
                <w:b/>
                <w:bCs/>
                <w:kern w:val="0"/>
                <w:szCs w:val="21"/>
              </w:rPr>
              <w:t>运行时段</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108" w:type="dxa"/>
            <w:bottom w:w="0" w:type="dxa"/>
            <w:right w:w="108" w:type="dxa"/>
          </w:tblCellMar>
        </w:tblPrEx>
        <w:trPr>
          <w:trHeight w:val="20" w:hRule="atLeast"/>
        </w:trPr>
        <w:tc>
          <w:tcPr>
            <w:tcW w:w="462" w:type="pct"/>
            <w:vMerge w:val="continue"/>
            <w:shd w:val="clear" w:color="auto" w:fill="CCFFFF"/>
            <w:noWrap w:val="0"/>
            <w:vAlign w:val="center"/>
          </w:tcPr>
          <w:p>
            <w:pPr>
              <w:widowControl/>
              <w:jc w:val="left"/>
              <w:rPr>
                <w:kern w:val="0"/>
                <w:szCs w:val="21"/>
              </w:rPr>
            </w:pPr>
          </w:p>
        </w:tc>
        <w:tc>
          <w:tcPr>
            <w:tcW w:w="761" w:type="pct"/>
            <w:vMerge w:val="continue"/>
            <w:shd w:val="clear" w:color="auto" w:fill="CCFFFF"/>
            <w:noWrap w:val="0"/>
            <w:vAlign w:val="center"/>
          </w:tcPr>
          <w:p>
            <w:pPr>
              <w:widowControl/>
              <w:jc w:val="left"/>
              <w:rPr>
                <w:kern w:val="0"/>
                <w:szCs w:val="21"/>
              </w:rPr>
            </w:pPr>
          </w:p>
        </w:tc>
        <w:tc>
          <w:tcPr>
            <w:tcW w:w="1009" w:type="pct"/>
            <w:vMerge w:val="continue"/>
            <w:shd w:val="clear" w:color="auto" w:fill="CCFFFF"/>
            <w:noWrap w:val="0"/>
            <w:vAlign w:val="center"/>
          </w:tcPr>
          <w:p>
            <w:pPr>
              <w:widowControl/>
              <w:jc w:val="left"/>
              <w:rPr>
                <w:kern w:val="0"/>
                <w:szCs w:val="21"/>
              </w:rPr>
            </w:pPr>
          </w:p>
        </w:tc>
        <w:tc>
          <w:tcPr>
            <w:tcW w:w="462" w:type="pct"/>
            <w:shd w:val="clear" w:color="auto" w:fill="CCFFFF"/>
            <w:noWrap w:val="0"/>
            <w:vAlign w:val="center"/>
          </w:tcPr>
          <w:p>
            <w:pPr>
              <w:widowControl/>
              <w:jc w:val="center"/>
              <w:rPr>
                <w:b/>
                <w:bCs/>
                <w:i/>
                <w:iCs/>
                <w:kern w:val="0"/>
                <w:szCs w:val="21"/>
              </w:rPr>
            </w:pPr>
            <w:r>
              <w:rPr>
                <w:b/>
                <w:bCs/>
                <w:i/>
                <w:iCs/>
                <w:kern w:val="0"/>
                <w:szCs w:val="21"/>
              </w:rPr>
              <w:t>X</w:t>
            </w:r>
          </w:p>
        </w:tc>
        <w:tc>
          <w:tcPr>
            <w:tcW w:w="245" w:type="pct"/>
            <w:shd w:val="clear" w:color="auto" w:fill="CCFFFF"/>
            <w:noWrap w:val="0"/>
            <w:vAlign w:val="center"/>
          </w:tcPr>
          <w:p>
            <w:pPr>
              <w:widowControl/>
              <w:jc w:val="center"/>
              <w:rPr>
                <w:b/>
                <w:bCs/>
                <w:i/>
                <w:iCs/>
                <w:kern w:val="0"/>
                <w:szCs w:val="21"/>
              </w:rPr>
            </w:pPr>
            <w:r>
              <w:rPr>
                <w:b/>
                <w:bCs/>
                <w:i/>
                <w:iCs/>
                <w:kern w:val="0"/>
                <w:szCs w:val="21"/>
              </w:rPr>
              <w:t>Y</w:t>
            </w:r>
          </w:p>
        </w:tc>
        <w:tc>
          <w:tcPr>
            <w:tcW w:w="500" w:type="pct"/>
            <w:shd w:val="clear" w:color="auto" w:fill="CCFFFF"/>
            <w:noWrap w:val="0"/>
            <w:vAlign w:val="center"/>
          </w:tcPr>
          <w:p>
            <w:pPr>
              <w:widowControl/>
              <w:jc w:val="center"/>
              <w:rPr>
                <w:b/>
                <w:bCs/>
                <w:i/>
                <w:iCs/>
                <w:kern w:val="0"/>
                <w:szCs w:val="21"/>
              </w:rPr>
            </w:pPr>
            <w:r>
              <w:rPr>
                <w:b/>
                <w:bCs/>
                <w:i/>
                <w:iCs/>
                <w:kern w:val="0"/>
                <w:szCs w:val="21"/>
              </w:rPr>
              <w:t>Z</w:t>
            </w:r>
          </w:p>
        </w:tc>
        <w:tc>
          <w:tcPr>
            <w:tcW w:w="642" w:type="pct"/>
            <w:shd w:val="clear" w:color="auto" w:fill="CCFFFF"/>
            <w:noWrap w:val="0"/>
            <w:vAlign w:val="center"/>
          </w:tcPr>
          <w:p>
            <w:pPr>
              <w:widowControl/>
              <w:jc w:val="center"/>
              <w:rPr>
                <w:b/>
                <w:bCs/>
                <w:kern w:val="0"/>
                <w:szCs w:val="21"/>
              </w:rPr>
            </w:pPr>
            <w:r>
              <w:rPr>
                <w:b/>
                <w:bCs/>
                <w:kern w:val="0"/>
                <w:szCs w:val="21"/>
              </w:rPr>
              <w:t>声功率级/dB(A)</w:t>
            </w:r>
          </w:p>
        </w:tc>
        <w:tc>
          <w:tcPr>
            <w:tcW w:w="608" w:type="pct"/>
            <w:vMerge w:val="continue"/>
            <w:shd w:val="clear" w:color="auto" w:fill="CCFFFF"/>
            <w:noWrap w:val="0"/>
            <w:vAlign w:val="center"/>
          </w:tcPr>
          <w:p>
            <w:pPr>
              <w:widowControl/>
              <w:jc w:val="left"/>
              <w:rPr>
                <w:kern w:val="0"/>
                <w:szCs w:val="21"/>
              </w:rPr>
            </w:pPr>
          </w:p>
        </w:tc>
        <w:tc>
          <w:tcPr>
            <w:tcW w:w="311" w:type="pct"/>
            <w:vMerge w:val="continue"/>
            <w:shd w:val="clear" w:color="auto" w:fill="CCFFFF"/>
            <w:noWrap w:val="0"/>
            <w:vAlign w:val="center"/>
          </w:tcPr>
          <w:p>
            <w:pPr>
              <w:widowControl/>
              <w:jc w:val="left"/>
              <w:rPr>
                <w:kern w:val="0"/>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108" w:type="dxa"/>
            <w:bottom w:w="0" w:type="dxa"/>
            <w:right w:w="108" w:type="dxa"/>
          </w:tblCellMar>
        </w:tblPrEx>
        <w:trPr>
          <w:trHeight w:val="20" w:hRule="atLeast"/>
        </w:trPr>
        <w:tc>
          <w:tcPr>
            <w:tcW w:w="462" w:type="pct"/>
            <w:noWrap w:val="0"/>
            <w:vAlign w:val="center"/>
          </w:tcPr>
          <w:p>
            <w:pPr>
              <w:widowControl/>
              <w:jc w:val="center"/>
              <w:rPr>
                <w:kern w:val="0"/>
                <w:szCs w:val="21"/>
              </w:rPr>
            </w:pPr>
            <w:r>
              <w:rPr>
                <w:kern w:val="0"/>
                <w:szCs w:val="21"/>
              </w:rPr>
              <w:t>1</w:t>
            </w:r>
          </w:p>
        </w:tc>
        <w:tc>
          <w:tcPr>
            <w:tcW w:w="761" w:type="pct"/>
            <w:noWrap w:val="0"/>
            <w:vAlign w:val="center"/>
          </w:tcPr>
          <w:p>
            <w:pPr>
              <w:widowControl/>
              <w:jc w:val="center"/>
              <w:rPr>
                <w:kern w:val="0"/>
                <w:szCs w:val="21"/>
              </w:rPr>
            </w:pPr>
            <w:r>
              <w:rPr>
                <w:szCs w:val="21"/>
                <w:lang w:val="zh-CN"/>
              </w:rPr>
              <w:t>集水池提升泵</w:t>
            </w:r>
          </w:p>
        </w:tc>
        <w:tc>
          <w:tcPr>
            <w:tcW w:w="1009" w:type="pct"/>
            <w:noWrap w:val="0"/>
            <w:vAlign w:val="center"/>
          </w:tcPr>
          <w:p>
            <w:pPr>
              <w:widowControl/>
              <w:jc w:val="center"/>
              <w:rPr>
                <w:kern w:val="0"/>
                <w:szCs w:val="21"/>
              </w:rPr>
            </w:pPr>
            <w:r>
              <w:rPr>
                <w:kern w:val="0"/>
                <w:szCs w:val="21"/>
              </w:rPr>
              <w:t>/</w:t>
            </w:r>
          </w:p>
        </w:tc>
        <w:tc>
          <w:tcPr>
            <w:tcW w:w="462" w:type="pct"/>
            <w:noWrap w:val="0"/>
            <w:vAlign w:val="center"/>
          </w:tcPr>
          <w:p>
            <w:pPr>
              <w:widowControl/>
              <w:jc w:val="center"/>
              <w:rPr>
                <w:kern w:val="0"/>
                <w:szCs w:val="21"/>
              </w:rPr>
            </w:pPr>
            <w:r>
              <w:rPr>
                <w:kern w:val="0"/>
                <w:szCs w:val="21"/>
              </w:rPr>
              <w:t>-25</w:t>
            </w:r>
          </w:p>
        </w:tc>
        <w:tc>
          <w:tcPr>
            <w:tcW w:w="245" w:type="pct"/>
            <w:noWrap w:val="0"/>
            <w:vAlign w:val="center"/>
          </w:tcPr>
          <w:p>
            <w:pPr>
              <w:widowControl/>
              <w:jc w:val="center"/>
              <w:rPr>
                <w:kern w:val="0"/>
                <w:szCs w:val="21"/>
              </w:rPr>
            </w:pPr>
            <w:r>
              <w:rPr>
                <w:kern w:val="0"/>
                <w:szCs w:val="21"/>
              </w:rPr>
              <w:t>1</w:t>
            </w:r>
          </w:p>
        </w:tc>
        <w:tc>
          <w:tcPr>
            <w:tcW w:w="500" w:type="pct"/>
            <w:noWrap w:val="0"/>
            <w:vAlign w:val="center"/>
          </w:tcPr>
          <w:p>
            <w:pPr>
              <w:widowControl/>
              <w:jc w:val="center"/>
              <w:rPr>
                <w:kern w:val="0"/>
                <w:szCs w:val="21"/>
              </w:rPr>
            </w:pPr>
            <w:r>
              <w:rPr>
                <w:szCs w:val="21"/>
              </w:rPr>
              <w:t>337.07</w:t>
            </w:r>
          </w:p>
        </w:tc>
        <w:tc>
          <w:tcPr>
            <w:tcW w:w="642" w:type="pct"/>
            <w:noWrap w:val="0"/>
            <w:vAlign w:val="center"/>
          </w:tcPr>
          <w:p>
            <w:pPr>
              <w:widowControl/>
              <w:jc w:val="center"/>
              <w:rPr>
                <w:kern w:val="0"/>
                <w:szCs w:val="21"/>
              </w:rPr>
            </w:pPr>
            <w:r>
              <w:rPr>
                <w:kern w:val="0"/>
                <w:szCs w:val="21"/>
              </w:rPr>
              <w:t>80</w:t>
            </w:r>
          </w:p>
        </w:tc>
        <w:tc>
          <w:tcPr>
            <w:tcW w:w="608" w:type="pct"/>
            <w:vMerge w:val="restart"/>
            <w:noWrap w:val="0"/>
            <w:vAlign w:val="center"/>
          </w:tcPr>
          <w:p>
            <w:pPr>
              <w:widowControl/>
              <w:jc w:val="center"/>
              <w:rPr>
                <w:kern w:val="0"/>
                <w:szCs w:val="21"/>
              </w:rPr>
            </w:pPr>
            <w:r>
              <w:rPr>
                <w:kern w:val="0"/>
                <w:szCs w:val="21"/>
              </w:rPr>
              <w:t>选用低噪声设备，基础减震，隔声</w:t>
            </w:r>
          </w:p>
        </w:tc>
        <w:tc>
          <w:tcPr>
            <w:tcW w:w="311" w:type="pct"/>
            <w:noWrap w:val="0"/>
            <w:vAlign w:val="center"/>
          </w:tcPr>
          <w:p>
            <w:pPr>
              <w:widowControl/>
              <w:jc w:val="center"/>
              <w:rPr>
                <w:kern w:val="0"/>
                <w:szCs w:val="21"/>
              </w:rPr>
            </w:pPr>
            <w:r>
              <w:rPr>
                <w:kern w:val="0"/>
                <w:szCs w:val="21"/>
              </w:rPr>
              <w:t>连续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108" w:type="dxa"/>
            <w:bottom w:w="0" w:type="dxa"/>
            <w:right w:w="108" w:type="dxa"/>
          </w:tblCellMar>
        </w:tblPrEx>
        <w:trPr>
          <w:trHeight w:val="20" w:hRule="atLeast"/>
        </w:trPr>
        <w:tc>
          <w:tcPr>
            <w:tcW w:w="462" w:type="pct"/>
            <w:noWrap w:val="0"/>
            <w:vAlign w:val="center"/>
          </w:tcPr>
          <w:p>
            <w:pPr>
              <w:widowControl/>
              <w:jc w:val="center"/>
              <w:rPr>
                <w:kern w:val="0"/>
                <w:szCs w:val="21"/>
              </w:rPr>
            </w:pPr>
            <w:r>
              <w:rPr>
                <w:kern w:val="0"/>
                <w:szCs w:val="21"/>
              </w:rPr>
              <w:t>2</w:t>
            </w:r>
          </w:p>
        </w:tc>
        <w:tc>
          <w:tcPr>
            <w:tcW w:w="761" w:type="pct"/>
            <w:noWrap w:val="0"/>
            <w:vAlign w:val="center"/>
          </w:tcPr>
          <w:p>
            <w:pPr>
              <w:widowControl/>
              <w:jc w:val="center"/>
            </w:pPr>
            <w:r>
              <w:rPr>
                <w:szCs w:val="21"/>
                <w:lang w:val="zh-CN"/>
              </w:rPr>
              <w:t>调节池提升泵</w:t>
            </w:r>
          </w:p>
        </w:tc>
        <w:tc>
          <w:tcPr>
            <w:tcW w:w="1009" w:type="pct"/>
            <w:noWrap w:val="0"/>
            <w:vAlign w:val="center"/>
          </w:tcPr>
          <w:p>
            <w:pPr>
              <w:widowControl/>
              <w:jc w:val="center"/>
              <w:rPr>
                <w:kern w:val="0"/>
                <w:szCs w:val="21"/>
              </w:rPr>
            </w:pPr>
            <w:r>
              <w:rPr>
                <w:kern w:val="0"/>
                <w:szCs w:val="21"/>
              </w:rPr>
              <w:t>/</w:t>
            </w:r>
          </w:p>
        </w:tc>
        <w:tc>
          <w:tcPr>
            <w:tcW w:w="462" w:type="pct"/>
            <w:noWrap w:val="0"/>
            <w:vAlign w:val="center"/>
          </w:tcPr>
          <w:p>
            <w:pPr>
              <w:widowControl/>
              <w:jc w:val="center"/>
            </w:pPr>
            <w:r>
              <w:t>-20</w:t>
            </w:r>
          </w:p>
        </w:tc>
        <w:tc>
          <w:tcPr>
            <w:tcW w:w="245" w:type="pct"/>
            <w:noWrap w:val="0"/>
            <w:vAlign w:val="center"/>
          </w:tcPr>
          <w:p>
            <w:pPr>
              <w:widowControl/>
              <w:jc w:val="center"/>
            </w:pPr>
            <w:r>
              <w:t>2</w:t>
            </w:r>
          </w:p>
        </w:tc>
        <w:tc>
          <w:tcPr>
            <w:tcW w:w="500" w:type="pct"/>
            <w:noWrap w:val="0"/>
            <w:vAlign w:val="center"/>
          </w:tcPr>
          <w:p>
            <w:pPr>
              <w:widowControl/>
              <w:jc w:val="center"/>
              <w:rPr>
                <w:szCs w:val="21"/>
              </w:rPr>
            </w:pPr>
            <w:r>
              <w:rPr>
                <w:szCs w:val="21"/>
              </w:rPr>
              <w:t>337.07</w:t>
            </w:r>
          </w:p>
        </w:tc>
        <w:tc>
          <w:tcPr>
            <w:tcW w:w="642" w:type="pct"/>
            <w:noWrap w:val="0"/>
            <w:vAlign w:val="center"/>
          </w:tcPr>
          <w:p>
            <w:pPr>
              <w:widowControl/>
              <w:jc w:val="center"/>
              <w:rPr>
                <w:kern w:val="0"/>
                <w:szCs w:val="21"/>
              </w:rPr>
            </w:pPr>
            <w:r>
              <w:rPr>
                <w:kern w:val="0"/>
                <w:szCs w:val="21"/>
              </w:rPr>
              <w:t>80</w:t>
            </w:r>
          </w:p>
        </w:tc>
        <w:tc>
          <w:tcPr>
            <w:tcW w:w="608" w:type="pct"/>
            <w:vMerge w:val="continue"/>
            <w:noWrap w:val="0"/>
            <w:vAlign w:val="center"/>
          </w:tcPr>
          <w:p>
            <w:pPr>
              <w:widowControl/>
              <w:jc w:val="center"/>
              <w:rPr>
                <w:kern w:val="0"/>
                <w:szCs w:val="21"/>
              </w:rPr>
            </w:pPr>
          </w:p>
        </w:tc>
        <w:tc>
          <w:tcPr>
            <w:tcW w:w="311" w:type="pct"/>
            <w:noWrap w:val="0"/>
            <w:vAlign w:val="center"/>
          </w:tcPr>
          <w:p>
            <w:pPr>
              <w:widowControl/>
              <w:jc w:val="center"/>
              <w:rPr>
                <w:kern w:val="0"/>
                <w:szCs w:val="21"/>
              </w:rPr>
            </w:pPr>
            <w:r>
              <w:rPr>
                <w:kern w:val="0"/>
                <w:szCs w:val="21"/>
              </w:rPr>
              <w:t>连续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108" w:type="dxa"/>
            <w:bottom w:w="0" w:type="dxa"/>
            <w:right w:w="108" w:type="dxa"/>
          </w:tblCellMar>
        </w:tblPrEx>
        <w:trPr>
          <w:trHeight w:val="20" w:hRule="atLeast"/>
        </w:trPr>
        <w:tc>
          <w:tcPr>
            <w:tcW w:w="462" w:type="pct"/>
            <w:noWrap w:val="0"/>
            <w:vAlign w:val="center"/>
          </w:tcPr>
          <w:p>
            <w:pPr>
              <w:widowControl/>
              <w:jc w:val="center"/>
              <w:rPr>
                <w:kern w:val="0"/>
                <w:szCs w:val="21"/>
              </w:rPr>
            </w:pPr>
            <w:r>
              <w:rPr>
                <w:kern w:val="0"/>
                <w:szCs w:val="21"/>
              </w:rPr>
              <w:t>3</w:t>
            </w:r>
          </w:p>
        </w:tc>
        <w:tc>
          <w:tcPr>
            <w:tcW w:w="761" w:type="pct"/>
            <w:noWrap w:val="0"/>
            <w:vAlign w:val="center"/>
          </w:tcPr>
          <w:p>
            <w:pPr>
              <w:widowControl/>
              <w:jc w:val="center"/>
            </w:pPr>
            <w:r>
              <w:rPr>
                <w:szCs w:val="21"/>
                <w:lang w:val="zh-CN"/>
              </w:rPr>
              <w:t>潜水搅拌机</w:t>
            </w:r>
          </w:p>
        </w:tc>
        <w:tc>
          <w:tcPr>
            <w:tcW w:w="1009" w:type="pct"/>
            <w:noWrap w:val="0"/>
            <w:vAlign w:val="center"/>
          </w:tcPr>
          <w:p>
            <w:pPr>
              <w:widowControl/>
              <w:jc w:val="center"/>
              <w:rPr>
                <w:kern w:val="0"/>
                <w:szCs w:val="21"/>
              </w:rPr>
            </w:pPr>
            <w:r>
              <w:rPr>
                <w:kern w:val="0"/>
                <w:szCs w:val="21"/>
              </w:rPr>
              <w:t>/</w:t>
            </w:r>
          </w:p>
        </w:tc>
        <w:tc>
          <w:tcPr>
            <w:tcW w:w="462" w:type="pct"/>
            <w:noWrap w:val="0"/>
            <w:vAlign w:val="center"/>
          </w:tcPr>
          <w:p>
            <w:pPr>
              <w:widowControl/>
              <w:jc w:val="center"/>
            </w:pPr>
            <w:r>
              <w:t>-6</w:t>
            </w:r>
          </w:p>
        </w:tc>
        <w:tc>
          <w:tcPr>
            <w:tcW w:w="245" w:type="pct"/>
            <w:noWrap w:val="0"/>
            <w:vAlign w:val="center"/>
          </w:tcPr>
          <w:p>
            <w:pPr>
              <w:widowControl/>
              <w:jc w:val="center"/>
            </w:pPr>
            <w:r>
              <w:t>1</w:t>
            </w:r>
          </w:p>
        </w:tc>
        <w:tc>
          <w:tcPr>
            <w:tcW w:w="500" w:type="pct"/>
            <w:noWrap w:val="0"/>
            <w:vAlign w:val="center"/>
          </w:tcPr>
          <w:p>
            <w:pPr>
              <w:widowControl/>
              <w:jc w:val="center"/>
              <w:rPr>
                <w:szCs w:val="21"/>
              </w:rPr>
            </w:pPr>
            <w:r>
              <w:rPr>
                <w:szCs w:val="21"/>
              </w:rPr>
              <w:t>337.07</w:t>
            </w:r>
          </w:p>
        </w:tc>
        <w:tc>
          <w:tcPr>
            <w:tcW w:w="642" w:type="pct"/>
            <w:noWrap w:val="0"/>
            <w:vAlign w:val="center"/>
          </w:tcPr>
          <w:p>
            <w:pPr>
              <w:widowControl/>
              <w:jc w:val="center"/>
              <w:rPr>
                <w:kern w:val="0"/>
                <w:szCs w:val="21"/>
              </w:rPr>
            </w:pPr>
            <w:r>
              <w:rPr>
                <w:kern w:val="0"/>
                <w:szCs w:val="21"/>
              </w:rPr>
              <w:t>70</w:t>
            </w:r>
          </w:p>
        </w:tc>
        <w:tc>
          <w:tcPr>
            <w:tcW w:w="608" w:type="pct"/>
            <w:vMerge w:val="continue"/>
            <w:noWrap w:val="0"/>
            <w:vAlign w:val="center"/>
          </w:tcPr>
          <w:p>
            <w:pPr>
              <w:widowControl/>
              <w:jc w:val="center"/>
              <w:rPr>
                <w:kern w:val="0"/>
                <w:szCs w:val="21"/>
              </w:rPr>
            </w:pPr>
          </w:p>
        </w:tc>
        <w:tc>
          <w:tcPr>
            <w:tcW w:w="311" w:type="pct"/>
            <w:noWrap w:val="0"/>
            <w:vAlign w:val="center"/>
          </w:tcPr>
          <w:p>
            <w:pPr>
              <w:widowControl/>
              <w:jc w:val="center"/>
              <w:rPr>
                <w:kern w:val="0"/>
                <w:szCs w:val="21"/>
              </w:rPr>
            </w:pPr>
            <w:r>
              <w:rPr>
                <w:kern w:val="0"/>
                <w:szCs w:val="21"/>
              </w:rPr>
              <w:t>连续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108" w:type="dxa"/>
            <w:bottom w:w="0" w:type="dxa"/>
            <w:right w:w="108" w:type="dxa"/>
          </w:tblCellMar>
        </w:tblPrEx>
        <w:trPr>
          <w:trHeight w:val="20" w:hRule="atLeast"/>
        </w:trPr>
        <w:tc>
          <w:tcPr>
            <w:tcW w:w="462" w:type="pct"/>
            <w:noWrap w:val="0"/>
            <w:vAlign w:val="center"/>
          </w:tcPr>
          <w:p>
            <w:pPr>
              <w:widowControl/>
              <w:jc w:val="center"/>
              <w:rPr>
                <w:kern w:val="0"/>
                <w:szCs w:val="21"/>
              </w:rPr>
            </w:pPr>
            <w:r>
              <w:rPr>
                <w:kern w:val="0"/>
                <w:szCs w:val="21"/>
              </w:rPr>
              <w:t>4</w:t>
            </w:r>
          </w:p>
        </w:tc>
        <w:tc>
          <w:tcPr>
            <w:tcW w:w="761" w:type="pct"/>
            <w:noWrap w:val="0"/>
            <w:vAlign w:val="center"/>
          </w:tcPr>
          <w:p>
            <w:pPr>
              <w:widowControl/>
              <w:jc w:val="center"/>
            </w:pPr>
            <w:r>
              <w:rPr>
                <w:szCs w:val="21"/>
                <w:lang w:val="zh-CN"/>
              </w:rPr>
              <w:t>框式搅拌机</w:t>
            </w:r>
          </w:p>
        </w:tc>
        <w:tc>
          <w:tcPr>
            <w:tcW w:w="1009" w:type="pct"/>
            <w:noWrap w:val="0"/>
            <w:vAlign w:val="center"/>
          </w:tcPr>
          <w:p>
            <w:pPr>
              <w:widowControl/>
              <w:jc w:val="center"/>
              <w:rPr>
                <w:kern w:val="0"/>
                <w:szCs w:val="21"/>
              </w:rPr>
            </w:pPr>
            <w:r>
              <w:rPr>
                <w:kern w:val="0"/>
                <w:szCs w:val="21"/>
              </w:rPr>
              <w:t>/</w:t>
            </w:r>
          </w:p>
        </w:tc>
        <w:tc>
          <w:tcPr>
            <w:tcW w:w="462" w:type="pct"/>
            <w:noWrap w:val="0"/>
            <w:vAlign w:val="center"/>
          </w:tcPr>
          <w:p>
            <w:pPr>
              <w:widowControl/>
              <w:jc w:val="center"/>
            </w:pPr>
            <w:r>
              <w:t>-12</w:t>
            </w:r>
          </w:p>
        </w:tc>
        <w:tc>
          <w:tcPr>
            <w:tcW w:w="245" w:type="pct"/>
            <w:noWrap w:val="0"/>
            <w:vAlign w:val="center"/>
          </w:tcPr>
          <w:p>
            <w:pPr>
              <w:widowControl/>
              <w:jc w:val="center"/>
            </w:pPr>
            <w:r>
              <w:t>2</w:t>
            </w:r>
          </w:p>
        </w:tc>
        <w:tc>
          <w:tcPr>
            <w:tcW w:w="500" w:type="pct"/>
            <w:noWrap w:val="0"/>
            <w:vAlign w:val="center"/>
          </w:tcPr>
          <w:p>
            <w:pPr>
              <w:widowControl/>
              <w:jc w:val="center"/>
              <w:rPr>
                <w:szCs w:val="21"/>
              </w:rPr>
            </w:pPr>
            <w:r>
              <w:rPr>
                <w:szCs w:val="21"/>
              </w:rPr>
              <w:t>337.07</w:t>
            </w:r>
          </w:p>
        </w:tc>
        <w:tc>
          <w:tcPr>
            <w:tcW w:w="642" w:type="pct"/>
            <w:noWrap w:val="0"/>
            <w:vAlign w:val="center"/>
          </w:tcPr>
          <w:p>
            <w:pPr>
              <w:widowControl/>
              <w:jc w:val="center"/>
              <w:rPr>
                <w:kern w:val="0"/>
                <w:szCs w:val="21"/>
              </w:rPr>
            </w:pPr>
            <w:r>
              <w:rPr>
                <w:kern w:val="0"/>
                <w:szCs w:val="21"/>
              </w:rPr>
              <w:t>70</w:t>
            </w:r>
          </w:p>
        </w:tc>
        <w:tc>
          <w:tcPr>
            <w:tcW w:w="608" w:type="pct"/>
            <w:vMerge w:val="continue"/>
            <w:noWrap w:val="0"/>
            <w:vAlign w:val="center"/>
          </w:tcPr>
          <w:p>
            <w:pPr>
              <w:widowControl/>
              <w:jc w:val="center"/>
              <w:rPr>
                <w:kern w:val="0"/>
                <w:szCs w:val="21"/>
              </w:rPr>
            </w:pPr>
          </w:p>
        </w:tc>
        <w:tc>
          <w:tcPr>
            <w:tcW w:w="311" w:type="pct"/>
            <w:noWrap w:val="0"/>
            <w:vAlign w:val="center"/>
          </w:tcPr>
          <w:p>
            <w:pPr>
              <w:widowControl/>
              <w:jc w:val="center"/>
              <w:rPr>
                <w:kern w:val="0"/>
                <w:szCs w:val="21"/>
              </w:rPr>
            </w:pPr>
            <w:r>
              <w:rPr>
                <w:kern w:val="0"/>
                <w:szCs w:val="21"/>
              </w:rPr>
              <w:t>连续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108" w:type="dxa"/>
            <w:bottom w:w="0" w:type="dxa"/>
            <w:right w:w="108" w:type="dxa"/>
          </w:tblCellMar>
        </w:tblPrEx>
        <w:trPr>
          <w:trHeight w:val="20" w:hRule="atLeast"/>
        </w:trPr>
        <w:tc>
          <w:tcPr>
            <w:tcW w:w="462" w:type="pct"/>
            <w:noWrap w:val="0"/>
            <w:vAlign w:val="center"/>
          </w:tcPr>
          <w:p>
            <w:pPr>
              <w:widowControl/>
              <w:jc w:val="center"/>
              <w:rPr>
                <w:kern w:val="0"/>
                <w:szCs w:val="21"/>
              </w:rPr>
            </w:pPr>
            <w:r>
              <w:rPr>
                <w:kern w:val="0"/>
                <w:szCs w:val="21"/>
              </w:rPr>
              <w:t>5</w:t>
            </w:r>
          </w:p>
        </w:tc>
        <w:tc>
          <w:tcPr>
            <w:tcW w:w="761" w:type="pct"/>
            <w:noWrap w:val="0"/>
            <w:vAlign w:val="center"/>
          </w:tcPr>
          <w:p>
            <w:pPr>
              <w:widowControl/>
              <w:jc w:val="center"/>
            </w:pPr>
            <w:r>
              <w:rPr>
                <w:szCs w:val="21"/>
                <w:lang w:val="zh-CN"/>
              </w:rPr>
              <w:t>一体化处理设备（水泵）</w:t>
            </w:r>
          </w:p>
        </w:tc>
        <w:tc>
          <w:tcPr>
            <w:tcW w:w="1009" w:type="pct"/>
            <w:noWrap w:val="0"/>
            <w:vAlign w:val="center"/>
          </w:tcPr>
          <w:p>
            <w:pPr>
              <w:widowControl/>
              <w:jc w:val="center"/>
              <w:rPr>
                <w:kern w:val="0"/>
                <w:szCs w:val="21"/>
              </w:rPr>
            </w:pPr>
            <w:r>
              <w:rPr>
                <w:kern w:val="0"/>
                <w:szCs w:val="21"/>
              </w:rPr>
              <w:t>/</w:t>
            </w:r>
          </w:p>
        </w:tc>
        <w:tc>
          <w:tcPr>
            <w:tcW w:w="462" w:type="pct"/>
            <w:noWrap w:val="0"/>
            <w:vAlign w:val="center"/>
          </w:tcPr>
          <w:p>
            <w:pPr>
              <w:widowControl/>
              <w:jc w:val="center"/>
            </w:pPr>
            <w:r>
              <w:t>-6</w:t>
            </w:r>
          </w:p>
        </w:tc>
        <w:tc>
          <w:tcPr>
            <w:tcW w:w="245" w:type="pct"/>
            <w:noWrap w:val="0"/>
            <w:vAlign w:val="center"/>
          </w:tcPr>
          <w:p>
            <w:pPr>
              <w:widowControl/>
              <w:jc w:val="center"/>
            </w:pPr>
            <w:r>
              <w:t>6</w:t>
            </w:r>
          </w:p>
        </w:tc>
        <w:tc>
          <w:tcPr>
            <w:tcW w:w="500" w:type="pct"/>
            <w:noWrap w:val="0"/>
            <w:vAlign w:val="center"/>
          </w:tcPr>
          <w:p>
            <w:pPr>
              <w:widowControl/>
              <w:jc w:val="center"/>
              <w:rPr>
                <w:szCs w:val="21"/>
              </w:rPr>
            </w:pPr>
            <w:r>
              <w:rPr>
                <w:szCs w:val="21"/>
              </w:rPr>
              <w:t>337.07</w:t>
            </w:r>
          </w:p>
        </w:tc>
        <w:tc>
          <w:tcPr>
            <w:tcW w:w="642" w:type="pct"/>
            <w:noWrap w:val="0"/>
            <w:vAlign w:val="center"/>
          </w:tcPr>
          <w:p>
            <w:pPr>
              <w:widowControl/>
              <w:jc w:val="center"/>
              <w:rPr>
                <w:kern w:val="0"/>
                <w:szCs w:val="21"/>
              </w:rPr>
            </w:pPr>
            <w:r>
              <w:rPr>
                <w:kern w:val="0"/>
                <w:szCs w:val="21"/>
              </w:rPr>
              <w:t>80</w:t>
            </w:r>
          </w:p>
        </w:tc>
        <w:tc>
          <w:tcPr>
            <w:tcW w:w="608" w:type="pct"/>
            <w:vMerge w:val="continue"/>
            <w:noWrap w:val="0"/>
            <w:vAlign w:val="center"/>
          </w:tcPr>
          <w:p>
            <w:pPr>
              <w:widowControl/>
              <w:jc w:val="center"/>
              <w:rPr>
                <w:kern w:val="0"/>
                <w:szCs w:val="21"/>
              </w:rPr>
            </w:pPr>
          </w:p>
        </w:tc>
        <w:tc>
          <w:tcPr>
            <w:tcW w:w="311" w:type="pct"/>
            <w:noWrap w:val="0"/>
            <w:vAlign w:val="center"/>
          </w:tcPr>
          <w:p>
            <w:pPr>
              <w:widowControl/>
              <w:jc w:val="center"/>
              <w:rPr>
                <w:kern w:val="0"/>
                <w:szCs w:val="21"/>
              </w:rPr>
            </w:pPr>
            <w:r>
              <w:rPr>
                <w:kern w:val="0"/>
                <w:szCs w:val="21"/>
              </w:rPr>
              <w:t>连续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108" w:type="dxa"/>
            <w:bottom w:w="0" w:type="dxa"/>
            <w:right w:w="108" w:type="dxa"/>
          </w:tblCellMar>
        </w:tblPrEx>
        <w:trPr>
          <w:trHeight w:val="20" w:hRule="atLeast"/>
        </w:trPr>
        <w:tc>
          <w:tcPr>
            <w:tcW w:w="5000" w:type="pct"/>
            <w:gridSpan w:val="9"/>
            <w:noWrap w:val="0"/>
            <w:vAlign w:val="center"/>
          </w:tcPr>
          <w:p>
            <w:pPr>
              <w:widowControl/>
              <w:jc w:val="left"/>
              <w:rPr>
                <w:kern w:val="0"/>
                <w:szCs w:val="21"/>
              </w:rPr>
            </w:pPr>
            <w:r>
              <w:rPr>
                <w:kern w:val="0"/>
                <w:szCs w:val="21"/>
              </w:rPr>
              <w:t>注：中坐标以项目占地中心为坐标原点（0,0），正东向为X轴正方向，正北向为Y轴正方向。</w:t>
            </w:r>
          </w:p>
        </w:tc>
      </w:tr>
    </w:tbl>
    <w:p>
      <w:pPr>
        <w:adjustRightInd w:val="0"/>
        <w:snapToGrid w:val="0"/>
        <w:jc w:val="center"/>
        <w:rPr>
          <w:bCs/>
          <w:sz w:val="24"/>
        </w:rPr>
      </w:pPr>
    </w:p>
    <w:p>
      <w:pPr>
        <w:pStyle w:val="2"/>
      </w:pPr>
    </w:p>
    <w:p>
      <w:pPr>
        <w:pStyle w:val="2"/>
        <w:sectPr>
          <w:pgSz w:w="16840" w:h="11907" w:orient="landscape"/>
          <w:pgMar w:top="1531" w:right="1701" w:bottom="1531" w:left="2126" w:header="851" w:footer="851" w:gutter="0"/>
          <w:cols w:space="720" w:num="1"/>
          <w:docGrid w:linePitch="312" w:charSpace="0"/>
        </w:sectPr>
      </w:pPr>
    </w:p>
    <w:tbl>
      <w:tblPr>
        <w:tblStyle w:val="3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27"/>
        <w:gridCol w:w="86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trPr>
        <w:tc>
          <w:tcPr>
            <w:tcW w:w="327" w:type="dxa"/>
            <w:noWrap w:val="0"/>
            <w:tcMar>
              <w:left w:w="28" w:type="dxa"/>
              <w:right w:w="28" w:type="dxa"/>
            </w:tcMar>
            <w:vAlign w:val="center"/>
          </w:tcPr>
          <w:p>
            <w:pPr>
              <w:adjustRightInd w:val="0"/>
              <w:snapToGrid w:val="0"/>
              <w:jc w:val="center"/>
              <w:rPr>
                <w:bCs/>
                <w:sz w:val="24"/>
              </w:rPr>
            </w:pPr>
            <w:r>
              <w:rPr>
                <w:bCs/>
                <w:sz w:val="24"/>
              </w:rPr>
              <w:t>运营</w:t>
            </w:r>
          </w:p>
          <w:p>
            <w:pPr>
              <w:adjustRightInd w:val="0"/>
              <w:snapToGrid w:val="0"/>
              <w:jc w:val="center"/>
              <w:rPr>
                <w:bCs/>
                <w:sz w:val="24"/>
              </w:rPr>
            </w:pPr>
            <w:r>
              <w:rPr>
                <w:bCs/>
                <w:sz w:val="24"/>
              </w:rPr>
              <w:t>期环</w:t>
            </w:r>
          </w:p>
          <w:p>
            <w:pPr>
              <w:adjustRightInd w:val="0"/>
              <w:snapToGrid w:val="0"/>
              <w:jc w:val="center"/>
              <w:rPr>
                <w:bCs/>
                <w:sz w:val="24"/>
              </w:rPr>
            </w:pPr>
            <w:r>
              <w:rPr>
                <w:bCs/>
                <w:sz w:val="24"/>
              </w:rPr>
              <w:t>境影</w:t>
            </w:r>
          </w:p>
          <w:p>
            <w:pPr>
              <w:adjustRightInd w:val="0"/>
              <w:snapToGrid w:val="0"/>
              <w:jc w:val="center"/>
              <w:rPr>
                <w:bCs/>
                <w:sz w:val="24"/>
              </w:rPr>
            </w:pPr>
            <w:r>
              <w:rPr>
                <w:bCs/>
                <w:sz w:val="24"/>
              </w:rPr>
              <w:t>响和</w:t>
            </w:r>
          </w:p>
          <w:p>
            <w:pPr>
              <w:adjustRightInd w:val="0"/>
              <w:snapToGrid w:val="0"/>
              <w:jc w:val="center"/>
              <w:rPr>
                <w:bCs/>
                <w:sz w:val="24"/>
              </w:rPr>
            </w:pPr>
            <w:r>
              <w:rPr>
                <w:bCs/>
                <w:sz w:val="24"/>
              </w:rPr>
              <w:t>保护</w:t>
            </w:r>
          </w:p>
          <w:p>
            <w:pPr>
              <w:adjustRightInd w:val="0"/>
              <w:snapToGrid w:val="0"/>
              <w:jc w:val="center"/>
              <w:rPr>
                <w:bCs/>
                <w:sz w:val="24"/>
              </w:rPr>
            </w:pPr>
            <w:r>
              <w:rPr>
                <w:bCs/>
                <w:sz w:val="24"/>
              </w:rPr>
              <w:t>措施</w:t>
            </w:r>
          </w:p>
        </w:tc>
        <w:tc>
          <w:tcPr>
            <w:tcW w:w="8654" w:type="dxa"/>
            <w:noWrap w:val="0"/>
            <w:vAlign w:val="center"/>
          </w:tcPr>
          <w:p>
            <w:pPr>
              <w:spacing w:line="360" w:lineRule="auto"/>
              <w:ind w:firstLine="482" w:firstLineChars="200"/>
              <w:rPr>
                <w:b/>
                <w:bCs/>
                <w:sz w:val="24"/>
              </w:rPr>
            </w:pPr>
            <w:r>
              <w:rPr>
                <w:b/>
                <w:bCs/>
                <w:sz w:val="24"/>
              </w:rPr>
              <w:t>2、拟采取措施</w:t>
            </w:r>
          </w:p>
          <w:p>
            <w:pPr>
              <w:spacing w:line="360" w:lineRule="auto"/>
              <w:ind w:firstLine="480" w:firstLineChars="200"/>
              <w:rPr>
                <w:sz w:val="24"/>
              </w:rPr>
            </w:pPr>
            <w:r>
              <w:rPr>
                <w:sz w:val="24"/>
              </w:rPr>
              <w:t>针对以上产噪设备运行方式的特点，为确保项目厂界噪声达到《工业企业厂界环境噪声排放标准》（GB12348-2008）中2类标准（昼间60dB（A），夜间50dB（A）），实现达标排放，本项目拟采取以下治理措施：</w:t>
            </w:r>
          </w:p>
          <w:p>
            <w:pPr>
              <w:spacing w:line="360" w:lineRule="auto"/>
              <w:ind w:firstLine="480" w:firstLineChars="200"/>
              <w:rPr>
                <w:sz w:val="24"/>
              </w:rPr>
            </w:pPr>
            <w:r>
              <w:rPr>
                <w:sz w:val="24"/>
              </w:rPr>
              <w:t>①设备选型和招标时优选噪声低、效率高的机电设备，从根本上降低噪声源的强度。</w:t>
            </w:r>
          </w:p>
          <w:p>
            <w:pPr>
              <w:spacing w:line="360" w:lineRule="auto"/>
              <w:ind w:firstLine="480" w:firstLineChars="200"/>
              <w:rPr>
                <w:sz w:val="24"/>
              </w:rPr>
            </w:pPr>
            <w:r>
              <w:rPr>
                <w:sz w:val="24"/>
              </w:rPr>
              <w:t>②隔声：风机房、空压机房采用封闭性结构，窗户采用隔声窗，阻断噪声的传播。机房内部风机等加装隔声罩（其降噪量在10～25dB(A)）。</w:t>
            </w:r>
          </w:p>
          <w:p>
            <w:pPr>
              <w:spacing w:line="360" w:lineRule="auto"/>
              <w:ind w:firstLine="480" w:firstLineChars="200"/>
              <w:rPr>
                <w:sz w:val="24"/>
              </w:rPr>
            </w:pPr>
            <w:r>
              <w:rPr>
                <w:sz w:val="24"/>
              </w:rPr>
              <w:t>③吸声：风机房采用吸声墙面和吸声吊顶，与外界连通的大门后贴吸声材料，风机放置在隔声罩内。</w:t>
            </w:r>
          </w:p>
          <w:p>
            <w:pPr>
              <w:spacing w:line="360" w:lineRule="auto"/>
              <w:ind w:firstLine="480" w:firstLineChars="200"/>
              <w:rPr>
                <w:sz w:val="24"/>
              </w:rPr>
            </w:pPr>
            <w:r>
              <w:rPr>
                <w:sz w:val="24"/>
              </w:rPr>
              <w:t>④消声：在风机风管上，加装阻抗复合消声器，可使气流噪声降低20～40dB（A）。</w:t>
            </w:r>
          </w:p>
          <w:p>
            <w:pPr>
              <w:spacing w:line="360" w:lineRule="auto"/>
              <w:ind w:firstLine="480" w:firstLineChars="200"/>
              <w:rPr>
                <w:sz w:val="24"/>
              </w:rPr>
            </w:pPr>
            <w:r>
              <w:rPr>
                <w:sz w:val="24"/>
              </w:rPr>
              <w:t>⑤隔振：在水泵出水管上，加装可挠曲橡胶接头，阻隔与水泵相连的管道传递振动，降低辐射噪声。</w:t>
            </w:r>
          </w:p>
          <w:p>
            <w:pPr>
              <w:spacing w:line="360" w:lineRule="auto"/>
              <w:ind w:firstLine="480" w:firstLineChars="200"/>
              <w:rPr>
                <w:sz w:val="24"/>
              </w:rPr>
            </w:pPr>
            <w:r>
              <w:rPr>
                <w:sz w:val="24"/>
              </w:rPr>
              <w:t>⑥绿化：机房周围尽量绿化，以减少噪声的干扰程度。</w:t>
            </w:r>
          </w:p>
          <w:p>
            <w:pPr>
              <w:spacing w:line="360" w:lineRule="auto"/>
              <w:ind w:firstLine="480" w:firstLineChars="200"/>
              <w:rPr>
                <w:sz w:val="24"/>
              </w:rPr>
            </w:pPr>
            <w:r>
              <w:rPr>
                <w:sz w:val="24"/>
              </w:rPr>
              <w:t>⑦加强管理：建立设备定期维护、保养管理制度，定期对运行设备进行检修和维护，保持设备正常运行，以防止设备故障形成的非正常生产噪声，杜绝因设备不正常运转时产生的高噪声现象，同时确保环保措施发挥最佳效用；加强职工环保意识教育，倡导文明生产，减少人为噪声。</w:t>
            </w:r>
          </w:p>
          <w:p>
            <w:pPr>
              <w:spacing w:line="360" w:lineRule="auto"/>
              <w:ind w:firstLine="482" w:firstLineChars="200"/>
              <w:rPr>
                <w:b/>
                <w:bCs/>
                <w:sz w:val="24"/>
              </w:rPr>
            </w:pPr>
            <w:r>
              <w:rPr>
                <w:b/>
                <w:bCs/>
                <w:sz w:val="24"/>
              </w:rPr>
              <w:t>3、噪声预测</w:t>
            </w:r>
          </w:p>
          <w:p>
            <w:pPr>
              <w:adjustRightInd w:val="0"/>
              <w:snapToGrid w:val="0"/>
              <w:spacing w:line="360" w:lineRule="auto"/>
              <w:ind w:firstLine="482" w:firstLineChars="200"/>
              <w:rPr>
                <w:b/>
                <w:bCs/>
                <w:sz w:val="24"/>
              </w:rPr>
            </w:pPr>
            <w:r>
              <w:rPr>
                <w:b/>
                <w:bCs/>
                <w:sz w:val="24"/>
              </w:rPr>
              <w:t>（1）预测方法</w:t>
            </w:r>
          </w:p>
          <w:p>
            <w:pPr>
              <w:adjustRightInd w:val="0"/>
              <w:snapToGrid w:val="0"/>
              <w:spacing w:line="360" w:lineRule="auto"/>
              <w:ind w:firstLine="480" w:firstLineChars="200"/>
              <w:rPr>
                <w:sz w:val="24"/>
              </w:rPr>
            </w:pPr>
            <w:r>
              <w:rPr>
                <w:sz w:val="24"/>
              </w:rPr>
              <w:t>根据《环境影响评价技术导则 声环境》（HJ2.4-2021）中推荐的计算模式：噪声源有室外和室内两种声源，应分别计算。一般来讲，进行环境噪声预测时所使用的噪声源都可按点声源处理。</w:t>
            </w:r>
          </w:p>
          <w:p>
            <w:pPr>
              <w:adjustRightInd w:val="0"/>
              <w:snapToGrid w:val="0"/>
              <w:spacing w:line="360" w:lineRule="auto"/>
              <w:ind w:firstLine="482" w:firstLineChars="200"/>
              <w:rPr>
                <w:b/>
                <w:bCs/>
                <w:sz w:val="24"/>
              </w:rPr>
            </w:pPr>
            <w:r>
              <w:rPr>
                <w:b/>
                <w:bCs/>
                <w:sz w:val="24"/>
              </w:rPr>
              <w:t>A、室外声源</w:t>
            </w:r>
          </w:p>
          <w:p>
            <w:pPr>
              <w:adjustRightInd w:val="0"/>
              <w:snapToGrid w:val="0"/>
              <w:spacing w:line="360" w:lineRule="auto"/>
              <w:ind w:firstLine="480" w:firstLineChars="200"/>
              <w:rPr>
                <w:sz w:val="24"/>
              </w:rPr>
            </w:pPr>
            <w:r>
              <w:rPr>
                <w:rFonts w:hint="eastAsia" w:ascii="宋体" w:hAnsi="宋体" w:cs="宋体"/>
                <w:sz w:val="24"/>
              </w:rPr>
              <w:t>①</w:t>
            </w:r>
            <w:r>
              <w:rPr>
                <w:sz w:val="24"/>
              </w:rPr>
              <w:t>计算某个声源在预测点的倍频带声压级</w:t>
            </w:r>
          </w:p>
          <w:p>
            <w:pPr>
              <w:adjustRightInd w:val="0"/>
              <w:snapToGrid w:val="0"/>
              <w:spacing w:line="360" w:lineRule="auto"/>
              <w:jc w:val="center"/>
              <w:rPr>
                <w:sz w:val="24"/>
              </w:rPr>
            </w:pPr>
            <w:r>
              <w:drawing>
                <wp:inline distT="0" distB="0" distL="114300" distR="114300">
                  <wp:extent cx="2268855" cy="450215"/>
                  <wp:effectExtent l="0" t="0" r="17145" b="6985"/>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28"/>
                          <a:stretch>
                            <a:fillRect/>
                          </a:stretch>
                        </pic:blipFill>
                        <pic:spPr>
                          <a:xfrm>
                            <a:off x="0" y="0"/>
                            <a:ext cx="2268855" cy="450215"/>
                          </a:xfrm>
                          <a:prstGeom prst="rect">
                            <a:avLst/>
                          </a:prstGeom>
                          <a:noFill/>
                          <a:ln>
                            <a:noFill/>
                          </a:ln>
                        </pic:spPr>
                      </pic:pic>
                    </a:graphicData>
                  </a:graphic>
                </wp:inline>
              </w:drawing>
            </w:r>
          </w:p>
          <w:p>
            <w:pPr>
              <w:adjustRightInd w:val="0"/>
              <w:snapToGrid w:val="0"/>
              <w:spacing w:line="360" w:lineRule="auto"/>
              <w:ind w:firstLine="480" w:firstLineChars="200"/>
              <w:rPr>
                <w:sz w:val="24"/>
              </w:rPr>
            </w:pPr>
            <w:r>
              <w:rPr>
                <w:sz w:val="24"/>
              </w:rPr>
              <w:t>式中：L</w:t>
            </w:r>
            <w:r>
              <w:rPr>
                <w:sz w:val="24"/>
                <w:vertAlign w:val="subscript"/>
              </w:rPr>
              <w:t>oct</w:t>
            </w:r>
            <w:r>
              <w:rPr>
                <w:sz w:val="24"/>
              </w:rPr>
              <w:t>（r）--点声源在预测点产生的倍频带声压级；</w:t>
            </w:r>
          </w:p>
          <w:p>
            <w:pPr>
              <w:adjustRightInd w:val="0"/>
              <w:snapToGrid w:val="0"/>
              <w:spacing w:line="360" w:lineRule="auto"/>
              <w:ind w:firstLine="1200" w:firstLineChars="500"/>
              <w:rPr>
                <w:sz w:val="24"/>
              </w:rPr>
            </w:pPr>
            <w:r>
              <w:rPr>
                <w:sz w:val="24"/>
              </w:rPr>
              <w:t>L</w:t>
            </w:r>
            <w:r>
              <w:rPr>
                <w:sz w:val="24"/>
                <w:vertAlign w:val="subscript"/>
              </w:rPr>
              <w:t>oct</w:t>
            </w:r>
            <w:r>
              <w:rPr>
                <w:sz w:val="24"/>
              </w:rPr>
              <w:t>（r</w:t>
            </w:r>
            <w:r>
              <w:rPr>
                <w:sz w:val="24"/>
                <w:vertAlign w:val="subscript"/>
              </w:rPr>
              <w:t>0</w:t>
            </w:r>
            <w:r>
              <w:rPr>
                <w:sz w:val="24"/>
              </w:rPr>
              <w:t>）--参考位置r</w:t>
            </w:r>
            <w:r>
              <w:rPr>
                <w:sz w:val="24"/>
                <w:vertAlign w:val="subscript"/>
              </w:rPr>
              <w:t>0</w:t>
            </w:r>
            <w:r>
              <w:rPr>
                <w:sz w:val="24"/>
              </w:rPr>
              <w:t>处的倍频带声压级；</w:t>
            </w:r>
          </w:p>
          <w:p>
            <w:pPr>
              <w:adjustRightInd w:val="0"/>
              <w:snapToGrid w:val="0"/>
              <w:spacing w:line="360" w:lineRule="auto"/>
              <w:ind w:firstLine="1200" w:firstLineChars="500"/>
              <w:rPr>
                <w:sz w:val="24"/>
              </w:rPr>
            </w:pPr>
            <w:r>
              <w:rPr>
                <w:sz w:val="24"/>
              </w:rPr>
              <w:t>r--预测点距声源的距离，m；r</w:t>
            </w:r>
            <w:r>
              <w:rPr>
                <w:sz w:val="24"/>
                <w:vertAlign w:val="subscript"/>
              </w:rPr>
              <w:t>0</w:t>
            </w:r>
            <w:r>
              <w:rPr>
                <w:sz w:val="24"/>
              </w:rPr>
              <w:t>--参考位置距声源的距离，m；</w:t>
            </w:r>
          </w:p>
          <w:p>
            <w:pPr>
              <w:adjustRightInd w:val="0"/>
              <w:snapToGrid w:val="0"/>
              <w:spacing w:line="360" w:lineRule="auto"/>
              <w:ind w:firstLine="1200" w:firstLineChars="500"/>
              <w:rPr>
                <w:sz w:val="24"/>
              </w:rPr>
            </w:pPr>
            <w:r>
              <w:rPr>
                <w:sz w:val="24"/>
              </w:rPr>
              <w:t>ΔL</w:t>
            </w:r>
            <w:r>
              <w:rPr>
                <w:sz w:val="24"/>
                <w:vertAlign w:val="subscript"/>
              </w:rPr>
              <w:t>oct</w:t>
            </w:r>
            <w:r>
              <w:rPr>
                <w:sz w:val="24"/>
              </w:rPr>
              <w:t>--各种因素引起的衰减量（包括声屏障、遮挡物、空气吸收、地面效应等引起的衰减量，其计算方法详见“导则”正文）。</w:t>
            </w:r>
          </w:p>
          <w:p>
            <w:pPr>
              <w:adjustRightInd w:val="0"/>
              <w:snapToGrid w:val="0"/>
              <w:spacing w:line="360" w:lineRule="auto"/>
              <w:ind w:firstLine="480" w:firstLineChars="200"/>
              <w:rPr>
                <w:sz w:val="24"/>
              </w:rPr>
            </w:pPr>
            <w:r>
              <w:rPr>
                <w:sz w:val="24"/>
              </w:rPr>
              <w:t>如果已知声源的倍频带声功率级L</w:t>
            </w:r>
            <w:r>
              <w:rPr>
                <w:sz w:val="24"/>
                <w:vertAlign w:val="subscript"/>
              </w:rPr>
              <w:t>woct</w:t>
            </w:r>
            <w:r>
              <w:rPr>
                <w:sz w:val="24"/>
              </w:rPr>
              <w:t>，且声源可看作是位于地面上的</w:t>
            </w:r>
          </w:p>
          <w:p>
            <w:pPr>
              <w:adjustRightInd w:val="0"/>
              <w:snapToGrid w:val="0"/>
              <w:spacing w:line="360" w:lineRule="auto"/>
              <w:jc w:val="center"/>
              <w:rPr>
                <w:sz w:val="24"/>
              </w:rPr>
            </w:pPr>
            <w:r>
              <w:rPr>
                <w:sz w:val="24"/>
              </w:rPr>
              <w:t>则</w:t>
            </w:r>
            <w:r>
              <w:drawing>
                <wp:inline distT="0" distB="0" distL="114300" distR="114300">
                  <wp:extent cx="2105025" cy="288290"/>
                  <wp:effectExtent l="0" t="0" r="9525" b="1651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29"/>
                          <a:stretch>
                            <a:fillRect/>
                          </a:stretch>
                        </pic:blipFill>
                        <pic:spPr>
                          <a:xfrm>
                            <a:off x="0" y="0"/>
                            <a:ext cx="2105025" cy="288290"/>
                          </a:xfrm>
                          <a:prstGeom prst="rect">
                            <a:avLst/>
                          </a:prstGeom>
                          <a:noFill/>
                          <a:ln>
                            <a:noFill/>
                          </a:ln>
                        </pic:spPr>
                      </pic:pic>
                    </a:graphicData>
                  </a:graphic>
                </wp:inline>
              </w:drawing>
            </w:r>
          </w:p>
          <w:p>
            <w:pPr>
              <w:adjustRightInd w:val="0"/>
              <w:snapToGrid w:val="0"/>
              <w:spacing w:line="360" w:lineRule="auto"/>
              <w:ind w:firstLine="480" w:firstLineChars="200"/>
              <w:rPr>
                <w:sz w:val="24"/>
              </w:rPr>
            </w:pPr>
            <w:r>
              <w:rPr>
                <w:rFonts w:hint="eastAsia" w:ascii="宋体" w:hAnsi="宋体" w:cs="宋体"/>
                <w:sz w:val="24"/>
              </w:rPr>
              <w:t>②</w:t>
            </w:r>
            <w:r>
              <w:rPr>
                <w:sz w:val="24"/>
              </w:rPr>
              <w:t>由各倍频带声压级合成计算出该声源产生的声级LA。</w:t>
            </w:r>
          </w:p>
          <w:p>
            <w:pPr>
              <w:adjustRightInd w:val="0"/>
              <w:snapToGrid w:val="0"/>
              <w:spacing w:line="360" w:lineRule="auto"/>
              <w:ind w:firstLine="482" w:firstLineChars="200"/>
              <w:rPr>
                <w:b/>
                <w:bCs/>
                <w:sz w:val="24"/>
              </w:rPr>
            </w:pPr>
            <w:r>
              <w:rPr>
                <w:b/>
                <w:bCs/>
                <w:sz w:val="24"/>
              </w:rPr>
              <w:t>B、室内声源</w:t>
            </w:r>
          </w:p>
          <w:p>
            <w:pPr>
              <w:adjustRightInd w:val="0"/>
              <w:snapToGrid w:val="0"/>
              <w:spacing w:line="360" w:lineRule="auto"/>
              <w:ind w:firstLine="480" w:firstLineChars="200"/>
              <w:rPr>
                <w:sz w:val="24"/>
              </w:rPr>
            </w:pPr>
            <w:r>
              <w:rPr>
                <w:rFonts w:hint="eastAsia" w:ascii="宋体" w:hAnsi="宋体" w:cs="宋体"/>
                <w:sz w:val="24"/>
              </w:rPr>
              <w:t>①</w:t>
            </w:r>
            <w:r>
              <w:rPr>
                <w:sz w:val="24"/>
              </w:rPr>
              <w:t>首先计算出某个室内靠近围护结构处的倍频带声压级：</w:t>
            </w:r>
          </w:p>
          <w:p>
            <w:pPr>
              <w:adjustRightInd w:val="0"/>
              <w:snapToGrid w:val="0"/>
              <w:spacing w:line="360" w:lineRule="auto"/>
              <w:jc w:val="center"/>
              <w:rPr>
                <w:sz w:val="24"/>
              </w:rPr>
            </w:pPr>
            <w:r>
              <w:drawing>
                <wp:inline distT="0" distB="0" distL="114300" distR="114300">
                  <wp:extent cx="2399665" cy="606425"/>
                  <wp:effectExtent l="0" t="0" r="635" b="3175"/>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30"/>
                          <a:stretch>
                            <a:fillRect/>
                          </a:stretch>
                        </pic:blipFill>
                        <pic:spPr>
                          <a:xfrm>
                            <a:off x="0" y="0"/>
                            <a:ext cx="2399665" cy="606425"/>
                          </a:xfrm>
                          <a:prstGeom prst="rect">
                            <a:avLst/>
                          </a:prstGeom>
                          <a:noFill/>
                          <a:ln>
                            <a:noFill/>
                          </a:ln>
                        </pic:spPr>
                      </pic:pic>
                    </a:graphicData>
                  </a:graphic>
                </wp:inline>
              </w:drawing>
            </w:r>
          </w:p>
          <w:p>
            <w:pPr>
              <w:adjustRightInd w:val="0"/>
              <w:snapToGrid w:val="0"/>
              <w:spacing w:line="360" w:lineRule="auto"/>
              <w:ind w:firstLine="480" w:firstLineChars="200"/>
              <w:rPr>
                <w:sz w:val="24"/>
              </w:rPr>
            </w:pPr>
            <w:r>
              <w:rPr>
                <w:sz w:val="24"/>
              </w:rPr>
              <w:t>式中：L</w:t>
            </w:r>
            <w:r>
              <w:rPr>
                <w:sz w:val="24"/>
                <w:vertAlign w:val="subscript"/>
              </w:rPr>
              <w:t>oct，1</w:t>
            </w:r>
            <w:r>
              <w:rPr>
                <w:sz w:val="24"/>
              </w:rPr>
              <w:t>为某个室内声源在靠近围护结构处产生的倍频带声压级，L</w:t>
            </w:r>
            <w:r>
              <w:rPr>
                <w:sz w:val="24"/>
                <w:vertAlign w:val="subscript"/>
              </w:rPr>
              <w:t>woct</w:t>
            </w:r>
            <w:r>
              <w:rPr>
                <w:sz w:val="24"/>
              </w:rPr>
              <w:t>为某个声源的倍频带声功率级，r</w:t>
            </w:r>
            <w:r>
              <w:rPr>
                <w:sz w:val="24"/>
                <w:vertAlign w:val="subscript"/>
              </w:rPr>
              <w:t>1</w:t>
            </w:r>
            <w:r>
              <w:rPr>
                <w:sz w:val="24"/>
              </w:rPr>
              <w:t>为室内某个声源与靠近围护结构处的距离，R为房间常数，Q为方向因子。</w:t>
            </w:r>
          </w:p>
          <w:p>
            <w:pPr>
              <w:adjustRightInd w:val="0"/>
              <w:snapToGrid w:val="0"/>
              <w:spacing w:line="360" w:lineRule="auto"/>
              <w:jc w:val="center"/>
            </w:pPr>
            <w:r>
              <w:drawing>
                <wp:inline distT="0" distB="0" distL="114300" distR="114300">
                  <wp:extent cx="3157220" cy="1796415"/>
                  <wp:effectExtent l="0" t="0" r="5080" b="13335"/>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31"/>
                          <a:stretch>
                            <a:fillRect/>
                          </a:stretch>
                        </pic:blipFill>
                        <pic:spPr>
                          <a:xfrm>
                            <a:off x="0" y="0"/>
                            <a:ext cx="3157220" cy="1796415"/>
                          </a:xfrm>
                          <a:prstGeom prst="rect">
                            <a:avLst/>
                          </a:prstGeom>
                          <a:noFill/>
                          <a:ln>
                            <a:noFill/>
                          </a:ln>
                        </pic:spPr>
                      </pic:pic>
                    </a:graphicData>
                  </a:graphic>
                </wp:inline>
              </w:drawing>
            </w:r>
          </w:p>
          <w:p>
            <w:pPr>
              <w:adjustRightInd w:val="0"/>
              <w:snapToGrid w:val="0"/>
              <w:spacing w:line="360" w:lineRule="auto"/>
              <w:jc w:val="center"/>
              <w:rPr>
                <w:rFonts w:eastAsia="黑体"/>
                <w:sz w:val="24"/>
              </w:rPr>
            </w:pPr>
            <w:r>
              <w:rPr>
                <w:rFonts w:eastAsia="黑体"/>
                <w:sz w:val="24"/>
              </w:rPr>
              <w:t>图4-3  室内声源等效为室外声源图例</w:t>
            </w:r>
          </w:p>
          <w:p>
            <w:pPr>
              <w:adjustRightInd w:val="0"/>
              <w:snapToGrid w:val="0"/>
              <w:spacing w:line="360" w:lineRule="auto"/>
              <w:ind w:firstLine="480" w:firstLineChars="200"/>
              <w:rPr>
                <w:sz w:val="24"/>
              </w:rPr>
            </w:pPr>
            <w:r>
              <w:rPr>
                <w:rFonts w:hint="eastAsia" w:ascii="宋体" w:hAnsi="宋体" w:cs="宋体"/>
                <w:sz w:val="24"/>
              </w:rPr>
              <w:t>②</w:t>
            </w:r>
            <w:r>
              <w:rPr>
                <w:sz w:val="24"/>
              </w:rPr>
              <w:t>计算出所有室内声源在靠近围护结构处产生的总倍频带声压级：</w:t>
            </w:r>
          </w:p>
          <w:p>
            <w:pPr>
              <w:adjustRightInd w:val="0"/>
              <w:snapToGrid w:val="0"/>
              <w:spacing w:line="360" w:lineRule="auto"/>
              <w:jc w:val="center"/>
              <w:rPr>
                <w:sz w:val="24"/>
              </w:rPr>
            </w:pPr>
            <w:r>
              <w:drawing>
                <wp:inline distT="0" distB="0" distL="114300" distR="114300">
                  <wp:extent cx="2379980" cy="537845"/>
                  <wp:effectExtent l="0" t="0" r="1270" b="14605"/>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32"/>
                          <a:stretch>
                            <a:fillRect/>
                          </a:stretch>
                        </pic:blipFill>
                        <pic:spPr>
                          <a:xfrm>
                            <a:off x="0" y="0"/>
                            <a:ext cx="2379980" cy="537845"/>
                          </a:xfrm>
                          <a:prstGeom prst="rect">
                            <a:avLst/>
                          </a:prstGeom>
                          <a:noFill/>
                          <a:ln>
                            <a:noFill/>
                          </a:ln>
                        </pic:spPr>
                      </pic:pic>
                    </a:graphicData>
                  </a:graphic>
                </wp:inline>
              </w:drawing>
            </w:r>
          </w:p>
          <w:p>
            <w:pPr>
              <w:adjustRightInd w:val="0"/>
              <w:snapToGrid w:val="0"/>
              <w:spacing w:line="360" w:lineRule="auto"/>
              <w:ind w:firstLine="480" w:firstLineChars="200"/>
              <w:rPr>
                <w:sz w:val="24"/>
              </w:rPr>
            </w:pPr>
            <w:r>
              <w:rPr>
                <w:rFonts w:hint="eastAsia" w:ascii="宋体" w:hAnsi="宋体" w:cs="宋体"/>
                <w:sz w:val="24"/>
              </w:rPr>
              <w:t>③</w:t>
            </w:r>
            <w:r>
              <w:rPr>
                <w:sz w:val="24"/>
              </w:rPr>
              <w:t>计算出室外靠近围护结构处的声压级：</w:t>
            </w:r>
          </w:p>
          <w:p>
            <w:pPr>
              <w:adjustRightInd w:val="0"/>
              <w:snapToGrid w:val="0"/>
              <w:spacing w:line="360" w:lineRule="auto"/>
              <w:jc w:val="center"/>
              <w:rPr>
                <w:sz w:val="24"/>
              </w:rPr>
            </w:pPr>
            <w:r>
              <w:drawing>
                <wp:inline distT="0" distB="0" distL="114300" distR="114300">
                  <wp:extent cx="2456815" cy="285750"/>
                  <wp:effectExtent l="0" t="0" r="635" b="0"/>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pic:cNvPicPr>
                        </pic:nvPicPr>
                        <pic:blipFill>
                          <a:blip r:embed="rId33"/>
                          <a:stretch>
                            <a:fillRect/>
                          </a:stretch>
                        </pic:blipFill>
                        <pic:spPr>
                          <a:xfrm>
                            <a:off x="0" y="0"/>
                            <a:ext cx="2456815" cy="285750"/>
                          </a:xfrm>
                          <a:prstGeom prst="rect">
                            <a:avLst/>
                          </a:prstGeom>
                          <a:noFill/>
                          <a:ln>
                            <a:noFill/>
                          </a:ln>
                        </pic:spPr>
                      </pic:pic>
                    </a:graphicData>
                  </a:graphic>
                </wp:inline>
              </w:drawing>
            </w:r>
          </w:p>
          <w:p>
            <w:pPr>
              <w:adjustRightInd w:val="0"/>
              <w:snapToGrid w:val="0"/>
              <w:spacing w:line="360" w:lineRule="auto"/>
              <w:ind w:firstLine="480" w:firstLineChars="200"/>
              <w:rPr>
                <w:sz w:val="24"/>
              </w:rPr>
            </w:pPr>
            <w:r>
              <w:rPr>
                <w:rFonts w:hint="eastAsia" w:ascii="宋体" w:hAnsi="宋体" w:cs="宋体"/>
                <w:sz w:val="24"/>
              </w:rPr>
              <w:t>④</w:t>
            </w:r>
            <w:r>
              <w:rPr>
                <w:sz w:val="24"/>
              </w:rPr>
              <w:t>将室外声级L</w:t>
            </w:r>
            <w:r>
              <w:rPr>
                <w:sz w:val="24"/>
                <w:vertAlign w:val="subscript"/>
              </w:rPr>
              <w:t>oct，2</w:t>
            </w:r>
            <w:r>
              <w:rPr>
                <w:sz w:val="24"/>
              </w:rPr>
              <w:t>（T）和透声面积换算成等效的室外声源，计算出等效声源第i个倍频带的声功率级L</w:t>
            </w:r>
            <w:r>
              <w:rPr>
                <w:sz w:val="24"/>
                <w:vertAlign w:val="subscript"/>
              </w:rPr>
              <w:t>woct</w:t>
            </w:r>
            <w:r>
              <w:rPr>
                <w:sz w:val="24"/>
              </w:rPr>
              <w:t>：</w:t>
            </w:r>
          </w:p>
          <w:p>
            <w:pPr>
              <w:adjustRightInd w:val="0"/>
              <w:snapToGrid w:val="0"/>
              <w:spacing w:line="360" w:lineRule="auto"/>
              <w:jc w:val="center"/>
              <w:rPr>
                <w:sz w:val="24"/>
              </w:rPr>
            </w:pPr>
            <w:r>
              <w:drawing>
                <wp:inline distT="0" distB="0" distL="114300" distR="114300">
                  <wp:extent cx="2084070" cy="382905"/>
                  <wp:effectExtent l="0" t="0" r="11430" b="17145"/>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34"/>
                          <a:stretch>
                            <a:fillRect/>
                          </a:stretch>
                        </pic:blipFill>
                        <pic:spPr>
                          <a:xfrm>
                            <a:off x="0" y="0"/>
                            <a:ext cx="2084070" cy="382905"/>
                          </a:xfrm>
                          <a:prstGeom prst="rect">
                            <a:avLst/>
                          </a:prstGeom>
                          <a:noFill/>
                          <a:ln>
                            <a:noFill/>
                          </a:ln>
                        </pic:spPr>
                      </pic:pic>
                    </a:graphicData>
                  </a:graphic>
                </wp:inline>
              </w:drawing>
            </w:r>
          </w:p>
          <w:p>
            <w:pPr>
              <w:adjustRightInd w:val="0"/>
              <w:snapToGrid w:val="0"/>
              <w:spacing w:line="360" w:lineRule="auto"/>
              <w:ind w:firstLine="480" w:firstLineChars="200"/>
              <w:rPr>
                <w:sz w:val="24"/>
              </w:rPr>
            </w:pPr>
            <w:r>
              <w:rPr>
                <w:sz w:val="24"/>
              </w:rPr>
              <w:t>式中：S为透声面积，m</w:t>
            </w:r>
            <w:r>
              <w:rPr>
                <w:sz w:val="24"/>
                <w:vertAlign w:val="superscript"/>
              </w:rPr>
              <w:t>2</w:t>
            </w:r>
            <w:r>
              <w:rPr>
                <w:sz w:val="24"/>
              </w:rPr>
              <w:t>。</w:t>
            </w:r>
          </w:p>
          <w:p>
            <w:pPr>
              <w:adjustRightInd w:val="0"/>
              <w:snapToGrid w:val="0"/>
              <w:spacing w:line="360" w:lineRule="auto"/>
              <w:ind w:firstLine="480" w:firstLineChars="200"/>
              <w:rPr>
                <w:sz w:val="24"/>
              </w:rPr>
            </w:pPr>
            <w:r>
              <w:rPr>
                <w:rFonts w:hint="eastAsia" w:ascii="宋体" w:hAnsi="宋体" w:cs="宋体"/>
                <w:sz w:val="24"/>
              </w:rPr>
              <w:t>⑤</w:t>
            </w:r>
            <w:r>
              <w:rPr>
                <w:sz w:val="24"/>
              </w:rPr>
              <w:t>等效室外声源的位置为围护结构的位置，其倍频带声功率级为L</w:t>
            </w:r>
            <w:r>
              <w:rPr>
                <w:sz w:val="24"/>
                <w:vertAlign w:val="subscript"/>
              </w:rPr>
              <w:t>woct</w:t>
            </w:r>
            <w:r>
              <w:rPr>
                <w:sz w:val="24"/>
              </w:rPr>
              <w:t>，由此按室外声源方法计算等效室外声源在预测点产生的声级。</w:t>
            </w:r>
          </w:p>
          <w:p>
            <w:pPr>
              <w:adjustRightInd w:val="0"/>
              <w:snapToGrid w:val="0"/>
              <w:spacing w:line="360" w:lineRule="auto"/>
              <w:ind w:firstLine="482" w:firstLineChars="200"/>
              <w:rPr>
                <w:b/>
                <w:bCs/>
                <w:sz w:val="24"/>
              </w:rPr>
            </w:pPr>
            <w:r>
              <w:rPr>
                <w:b/>
                <w:bCs/>
                <w:sz w:val="24"/>
              </w:rPr>
              <w:t>C、计算总声压级</w:t>
            </w:r>
          </w:p>
          <w:p>
            <w:pPr>
              <w:adjustRightInd w:val="0"/>
              <w:snapToGrid w:val="0"/>
              <w:spacing w:line="360" w:lineRule="auto"/>
              <w:ind w:firstLine="480" w:firstLineChars="200"/>
              <w:rPr>
                <w:sz w:val="24"/>
              </w:rPr>
            </w:pPr>
            <w:r>
              <w:rPr>
                <w:sz w:val="24"/>
              </w:rPr>
              <w:t>设第i个室外声源在预测点产生的A声级为L</w:t>
            </w:r>
            <w:r>
              <w:rPr>
                <w:sz w:val="24"/>
                <w:vertAlign w:val="subscript"/>
              </w:rPr>
              <w:t>Ain，i</w:t>
            </w:r>
            <w:r>
              <w:rPr>
                <w:sz w:val="24"/>
              </w:rPr>
              <w:t>，在T时间内该声源工作时间为tin，i；第j个等效室外声源在预测点产生的A声级为L</w:t>
            </w:r>
            <w:r>
              <w:rPr>
                <w:sz w:val="24"/>
                <w:vertAlign w:val="subscript"/>
              </w:rPr>
              <w:t>Aout，j</w:t>
            </w:r>
            <w:r>
              <w:rPr>
                <w:sz w:val="24"/>
              </w:rPr>
              <w:t>，在T时间内该声源工作时间为tout，j，则预测点的总等效声级为：</w:t>
            </w:r>
          </w:p>
          <w:p>
            <w:pPr>
              <w:adjustRightInd w:val="0"/>
              <w:snapToGrid w:val="0"/>
              <w:spacing w:line="360" w:lineRule="auto"/>
              <w:jc w:val="center"/>
              <w:rPr>
                <w:sz w:val="24"/>
              </w:rPr>
            </w:pPr>
            <w:r>
              <w:drawing>
                <wp:inline distT="0" distB="0" distL="114300" distR="114300">
                  <wp:extent cx="4051300" cy="648335"/>
                  <wp:effectExtent l="0" t="0" r="6350" b="18415"/>
                  <wp:docPr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pic:cNvPicPr>
                            <a:picLocks noChangeAspect="1"/>
                          </pic:cNvPicPr>
                        </pic:nvPicPr>
                        <pic:blipFill>
                          <a:blip r:embed="rId35"/>
                          <a:stretch>
                            <a:fillRect/>
                          </a:stretch>
                        </pic:blipFill>
                        <pic:spPr>
                          <a:xfrm>
                            <a:off x="0" y="0"/>
                            <a:ext cx="4051300" cy="648335"/>
                          </a:xfrm>
                          <a:prstGeom prst="rect">
                            <a:avLst/>
                          </a:prstGeom>
                          <a:noFill/>
                          <a:ln>
                            <a:noFill/>
                          </a:ln>
                        </pic:spPr>
                      </pic:pic>
                    </a:graphicData>
                  </a:graphic>
                </wp:inline>
              </w:drawing>
            </w:r>
          </w:p>
          <w:p>
            <w:pPr>
              <w:adjustRightInd w:val="0"/>
              <w:snapToGrid w:val="0"/>
              <w:spacing w:line="360" w:lineRule="auto"/>
              <w:ind w:firstLine="480" w:firstLineChars="200"/>
              <w:rPr>
                <w:sz w:val="24"/>
              </w:rPr>
            </w:pPr>
            <w:r>
              <w:rPr>
                <w:sz w:val="24"/>
              </w:rPr>
              <w:t>式中：T为计算等效声级的时间，N为室外声源个数，M为等效室外声源个数。</w:t>
            </w:r>
          </w:p>
          <w:p>
            <w:pPr>
              <w:widowControl/>
              <w:spacing w:line="360" w:lineRule="auto"/>
              <w:ind w:firstLine="482" w:firstLineChars="200"/>
              <w:jc w:val="left"/>
              <w:rPr>
                <w:b/>
                <w:bCs/>
                <w:sz w:val="24"/>
              </w:rPr>
            </w:pPr>
            <w:r>
              <w:rPr>
                <w:b/>
                <w:bCs/>
                <w:sz w:val="24"/>
              </w:rPr>
              <w:t>（2）预测结果及评价</w:t>
            </w:r>
          </w:p>
          <w:p>
            <w:pPr>
              <w:spacing w:line="360" w:lineRule="auto"/>
              <w:ind w:firstLine="480" w:firstLineChars="200"/>
              <w:rPr>
                <w:sz w:val="24"/>
              </w:rPr>
            </w:pPr>
            <w:r>
              <w:rPr>
                <w:sz w:val="24"/>
              </w:rPr>
              <w:t>噪声在室外空间的传播，由于受到遮挡物的隔断，各种介质的吸收与反射，以及空气介质的吸收等物理作用而逐渐减弱。为了简化计算条件并考虑到最不利因素，计算时只考虑噪声随距离的衰减，应用上述预测模式计算厂界各测点处的噪声排放声级，预测其对厂界周围声环境的影响，厂界噪声预测结果见下表。</w:t>
            </w:r>
          </w:p>
          <w:p>
            <w:pPr>
              <w:jc w:val="center"/>
              <w:rPr>
                <w:rFonts w:eastAsia="黑体"/>
                <w:bCs/>
                <w:sz w:val="24"/>
              </w:rPr>
            </w:pPr>
            <w:r>
              <w:rPr>
                <w:rFonts w:eastAsia="黑体"/>
                <w:bCs/>
                <w:sz w:val="24"/>
              </w:rPr>
              <w:t>表4-14  项目厂界噪声预测结果   单位：dB(A)</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094"/>
              <w:gridCol w:w="1586"/>
              <w:gridCol w:w="1586"/>
              <w:gridCol w:w="1586"/>
              <w:gridCol w:w="15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9" w:hRule="exact"/>
              </w:trPr>
              <w:tc>
                <w:tcPr>
                  <w:tcW w:w="1241" w:type="pct"/>
                  <w:shd w:val="clear" w:color="auto" w:fill="CCFFFF"/>
                  <w:noWrap w:val="0"/>
                  <w:vAlign w:val="center"/>
                </w:tcPr>
                <w:p>
                  <w:pPr>
                    <w:jc w:val="center"/>
                    <w:rPr>
                      <w:b/>
                      <w:bCs/>
                      <w:szCs w:val="21"/>
                    </w:rPr>
                  </w:pPr>
                  <w:r>
                    <w:rPr>
                      <w:b/>
                      <w:bCs/>
                      <w:szCs w:val="21"/>
                    </w:rPr>
                    <w:t>项目</w:t>
                  </w:r>
                </w:p>
              </w:tc>
              <w:tc>
                <w:tcPr>
                  <w:tcW w:w="940" w:type="pct"/>
                  <w:shd w:val="clear" w:color="auto" w:fill="CCFFFF"/>
                  <w:noWrap w:val="0"/>
                  <w:vAlign w:val="top"/>
                </w:tcPr>
                <w:p>
                  <w:pPr>
                    <w:spacing w:line="273" w:lineRule="exact"/>
                    <w:jc w:val="center"/>
                    <w:rPr>
                      <w:b/>
                      <w:bCs/>
                      <w:position w:val="-3"/>
                      <w:szCs w:val="21"/>
                    </w:rPr>
                  </w:pPr>
                  <w:r>
                    <w:rPr>
                      <w:b/>
                      <w:bCs/>
                      <w:position w:val="-3"/>
                      <w:szCs w:val="21"/>
                    </w:rPr>
                    <w:t>时段</w:t>
                  </w:r>
                </w:p>
              </w:tc>
              <w:tc>
                <w:tcPr>
                  <w:tcW w:w="940" w:type="pct"/>
                  <w:shd w:val="clear" w:color="auto" w:fill="CCFFFF"/>
                  <w:noWrap w:val="0"/>
                  <w:vAlign w:val="center"/>
                </w:tcPr>
                <w:p>
                  <w:pPr>
                    <w:spacing w:line="273" w:lineRule="exact"/>
                    <w:jc w:val="center"/>
                    <w:rPr>
                      <w:b/>
                      <w:bCs/>
                      <w:szCs w:val="21"/>
                    </w:rPr>
                  </w:pPr>
                  <w:r>
                    <w:rPr>
                      <w:b/>
                      <w:bCs/>
                      <w:position w:val="-3"/>
                      <w:szCs w:val="21"/>
                    </w:rPr>
                    <w:t>贡献值</w:t>
                  </w:r>
                </w:p>
              </w:tc>
              <w:tc>
                <w:tcPr>
                  <w:tcW w:w="940" w:type="pct"/>
                  <w:shd w:val="clear" w:color="auto" w:fill="CCFFFF"/>
                  <w:noWrap w:val="0"/>
                  <w:vAlign w:val="top"/>
                </w:tcPr>
                <w:p>
                  <w:pPr>
                    <w:spacing w:line="273" w:lineRule="exact"/>
                    <w:jc w:val="center"/>
                    <w:rPr>
                      <w:b/>
                      <w:bCs/>
                      <w:position w:val="-3"/>
                      <w:szCs w:val="21"/>
                    </w:rPr>
                  </w:pPr>
                  <w:r>
                    <w:rPr>
                      <w:b/>
                      <w:bCs/>
                      <w:position w:val="-3"/>
                      <w:szCs w:val="21"/>
                    </w:rPr>
                    <w:t>背景值</w:t>
                  </w:r>
                </w:p>
              </w:tc>
              <w:tc>
                <w:tcPr>
                  <w:tcW w:w="939" w:type="pct"/>
                  <w:shd w:val="clear" w:color="auto" w:fill="CCFFFF"/>
                  <w:noWrap w:val="0"/>
                  <w:vAlign w:val="top"/>
                </w:tcPr>
                <w:p>
                  <w:pPr>
                    <w:spacing w:line="273" w:lineRule="exact"/>
                    <w:jc w:val="center"/>
                    <w:rPr>
                      <w:b/>
                      <w:bCs/>
                      <w:position w:val="-3"/>
                      <w:szCs w:val="21"/>
                    </w:rPr>
                  </w:pPr>
                  <w:r>
                    <w:rPr>
                      <w:b/>
                      <w:bCs/>
                      <w:position w:val="-3"/>
                      <w:szCs w:val="21"/>
                    </w:rPr>
                    <w:t>预测值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9" w:hRule="exact"/>
              </w:trPr>
              <w:tc>
                <w:tcPr>
                  <w:tcW w:w="1241" w:type="pct"/>
                  <w:vMerge w:val="restart"/>
                  <w:noWrap w:val="0"/>
                  <w:vAlign w:val="center"/>
                </w:tcPr>
                <w:p>
                  <w:pPr>
                    <w:spacing w:line="273" w:lineRule="exact"/>
                    <w:jc w:val="center"/>
                    <w:rPr>
                      <w:szCs w:val="21"/>
                    </w:rPr>
                  </w:pPr>
                  <w:r>
                    <w:rPr>
                      <w:position w:val="-3"/>
                      <w:szCs w:val="21"/>
                    </w:rPr>
                    <w:t>北厂界</w:t>
                  </w:r>
                </w:p>
              </w:tc>
              <w:tc>
                <w:tcPr>
                  <w:tcW w:w="940" w:type="pct"/>
                  <w:noWrap w:val="0"/>
                  <w:vAlign w:val="top"/>
                </w:tcPr>
                <w:p>
                  <w:pPr>
                    <w:jc w:val="center"/>
                    <w:rPr>
                      <w:szCs w:val="21"/>
                    </w:rPr>
                  </w:pPr>
                  <w:r>
                    <w:rPr>
                      <w:szCs w:val="21"/>
                    </w:rPr>
                    <w:t>昼间</w:t>
                  </w:r>
                </w:p>
              </w:tc>
              <w:tc>
                <w:tcPr>
                  <w:tcW w:w="940" w:type="pct"/>
                  <w:noWrap w:val="0"/>
                  <w:vAlign w:val="center"/>
                </w:tcPr>
                <w:p>
                  <w:pPr>
                    <w:jc w:val="center"/>
                    <w:rPr>
                      <w:szCs w:val="21"/>
                    </w:rPr>
                  </w:pPr>
                  <w:r>
                    <w:rPr>
                      <w:szCs w:val="21"/>
                    </w:rPr>
                    <w:t>47.2</w:t>
                  </w:r>
                </w:p>
              </w:tc>
              <w:tc>
                <w:tcPr>
                  <w:tcW w:w="940" w:type="pct"/>
                  <w:noWrap w:val="0"/>
                  <w:vAlign w:val="center"/>
                </w:tcPr>
                <w:p>
                  <w:pPr>
                    <w:jc w:val="center"/>
                    <w:rPr>
                      <w:szCs w:val="21"/>
                    </w:rPr>
                  </w:pPr>
                  <w:r>
                    <w:rPr>
                      <w:sz w:val="22"/>
                      <w:szCs w:val="22"/>
                    </w:rPr>
                    <w:t>50</w:t>
                  </w:r>
                </w:p>
              </w:tc>
              <w:tc>
                <w:tcPr>
                  <w:tcW w:w="939" w:type="pct"/>
                  <w:noWrap w:val="0"/>
                  <w:vAlign w:val="top"/>
                </w:tcPr>
                <w:p>
                  <w:pPr>
                    <w:jc w:val="center"/>
                    <w:rPr>
                      <w:szCs w:val="21"/>
                    </w:rPr>
                  </w:pPr>
                  <w:r>
                    <w:rPr>
                      <w:szCs w:val="21"/>
                    </w:rPr>
                    <w:t>51.8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9" w:hRule="exact"/>
              </w:trPr>
              <w:tc>
                <w:tcPr>
                  <w:tcW w:w="1241" w:type="pct"/>
                  <w:vMerge w:val="continue"/>
                  <w:noWrap w:val="0"/>
                  <w:vAlign w:val="center"/>
                </w:tcPr>
                <w:p>
                  <w:pPr>
                    <w:spacing w:line="273" w:lineRule="exact"/>
                    <w:jc w:val="center"/>
                    <w:rPr>
                      <w:position w:val="-3"/>
                      <w:szCs w:val="21"/>
                    </w:rPr>
                  </w:pPr>
                </w:p>
              </w:tc>
              <w:tc>
                <w:tcPr>
                  <w:tcW w:w="940" w:type="pct"/>
                  <w:noWrap w:val="0"/>
                  <w:vAlign w:val="top"/>
                </w:tcPr>
                <w:p>
                  <w:pPr>
                    <w:jc w:val="center"/>
                    <w:rPr>
                      <w:szCs w:val="21"/>
                    </w:rPr>
                  </w:pPr>
                  <w:r>
                    <w:rPr>
                      <w:szCs w:val="21"/>
                    </w:rPr>
                    <w:t>夜间</w:t>
                  </w:r>
                </w:p>
              </w:tc>
              <w:tc>
                <w:tcPr>
                  <w:tcW w:w="940" w:type="pct"/>
                  <w:noWrap w:val="0"/>
                  <w:vAlign w:val="center"/>
                </w:tcPr>
                <w:p>
                  <w:pPr>
                    <w:jc w:val="center"/>
                    <w:rPr>
                      <w:szCs w:val="21"/>
                    </w:rPr>
                  </w:pPr>
                  <w:r>
                    <w:rPr>
                      <w:szCs w:val="21"/>
                    </w:rPr>
                    <w:t>47.2</w:t>
                  </w:r>
                </w:p>
              </w:tc>
              <w:tc>
                <w:tcPr>
                  <w:tcW w:w="940" w:type="pct"/>
                  <w:noWrap w:val="0"/>
                  <w:vAlign w:val="center"/>
                </w:tcPr>
                <w:p>
                  <w:pPr>
                    <w:jc w:val="center"/>
                    <w:rPr>
                      <w:szCs w:val="21"/>
                    </w:rPr>
                  </w:pPr>
                  <w:r>
                    <w:rPr>
                      <w:sz w:val="22"/>
                      <w:szCs w:val="22"/>
                    </w:rPr>
                    <w:t>46</w:t>
                  </w:r>
                </w:p>
              </w:tc>
              <w:tc>
                <w:tcPr>
                  <w:tcW w:w="939" w:type="pct"/>
                  <w:noWrap w:val="0"/>
                  <w:vAlign w:val="top"/>
                </w:tcPr>
                <w:p>
                  <w:pPr>
                    <w:jc w:val="center"/>
                    <w:rPr>
                      <w:szCs w:val="21"/>
                    </w:rPr>
                  </w:pPr>
                  <w:r>
                    <w:rPr>
                      <w:szCs w:val="21"/>
                    </w:rPr>
                    <w:t>49.7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1" w:hRule="exact"/>
              </w:trPr>
              <w:tc>
                <w:tcPr>
                  <w:tcW w:w="1241" w:type="pct"/>
                  <w:vMerge w:val="restart"/>
                  <w:noWrap w:val="0"/>
                  <w:vAlign w:val="center"/>
                </w:tcPr>
                <w:p>
                  <w:pPr>
                    <w:spacing w:line="275" w:lineRule="exact"/>
                    <w:jc w:val="center"/>
                    <w:rPr>
                      <w:szCs w:val="21"/>
                    </w:rPr>
                  </w:pPr>
                  <w:r>
                    <w:rPr>
                      <w:position w:val="-3"/>
                      <w:szCs w:val="21"/>
                    </w:rPr>
                    <w:t>东厂界</w:t>
                  </w:r>
                </w:p>
              </w:tc>
              <w:tc>
                <w:tcPr>
                  <w:tcW w:w="940" w:type="pct"/>
                  <w:noWrap w:val="0"/>
                  <w:vAlign w:val="top"/>
                </w:tcPr>
                <w:p>
                  <w:pPr>
                    <w:jc w:val="center"/>
                    <w:rPr>
                      <w:szCs w:val="21"/>
                    </w:rPr>
                  </w:pPr>
                  <w:r>
                    <w:rPr>
                      <w:szCs w:val="21"/>
                    </w:rPr>
                    <w:t>昼间</w:t>
                  </w:r>
                </w:p>
              </w:tc>
              <w:tc>
                <w:tcPr>
                  <w:tcW w:w="940" w:type="pct"/>
                  <w:noWrap w:val="0"/>
                  <w:vAlign w:val="center"/>
                </w:tcPr>
                <w:p>
                  <w:pPr>
                    <w:jc w:val="center"/>
                    <w:rPr>
                      <w:szCs w:val="21"/>
                    </w:rPr>
                  </w:pPr>
                  <w:r>
                    <w:rPr>
                      <w:szCs w:val="21"/>
                    </w:rPr>
                    <w:t>43.7</w:t>
                  </w:r>
                </w:p>
              </w:tc>
              <w:tc>
                <w:tcPr>
                  <w:tcW w:w="940" w:type="pct"/>
                  <w:noWrap w:val="0"/>
                  <w:vAlign w:val="center"/>
                </w:tcPr>
                <w:p>
                  <w:pPr>
                    <w:jc w:val="center"/>
                    <w:rPr>
                      <w:szCs w:val="21"/>
                    </w:rPr>
                  </w:pPr>
                  <w:r>
                    <w:rPr>
                      <w:sz w:val="22"/>
                      <w:szCs w:val="22"/>
                    </w:rPr>
                    <w:t>51</w:t>
                  </w:r>
                </w:p>
              </w:tc>
              <w:tc>
                <w:tcPr>
                  <w:tcW w:w="939" w:type="pct"/>
                  <w:noWrap w:val="0"/>
                  <w:vAlign w:val="top"/>
                </w:tcPr>
                <w:p>
                  <w:pPr>
                    <w:jc w:val="center"/>
                    <w:rPr>
                      <w:szCs w:val="21"/>
                    </w:rPr>
                  </w:pPr>
                  <w:r>
                    <w:rPr>
                      <w:szCs w:val="21"/>
                    </w:rPr>
                    <w:t>51.7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51" w:hRule="exact"/>
              </w:trPr>
              <w:tc>
                <w:tcPr>
                  <w:tcW w:w="1241" w:type="pct"/>
                  <w:vMerge w:val="continue"/>
                  <w:noWrap w:val="0"/>
                  <w:vAlign w:val="center"/>
                </w:tcPr>
                <w:p>
                  <w:pPr>
                    <w:spacing w:line="275" w:lineRule="exact"/>
                    <w:jc w:val="center"/>
                    <w:rPr>
                      <w:position w:val="-3"/>
                      <w:szCs w:val="21"/>
                    </w:rPr>
                  </w:pPr>
                </w:p>
              </w:tc>
              <w:tc>
                <w:tcPr>
                  <w:tcW w:w="940" w:type="pct"/>
                  <w:noWrap w:val="0"/>
                  <w:vAlign w:val="top"/>
                </w:tcPr>
                <w:p>
                  <w:pPr>
                    <w:jc w:val="center"/>
                    <w:rPr>
                      <w:szCs w:val="21"/>
                    </w:rPr>
                  </w:pPr>
                  <w:r>
                    <w:rPr>
                      <w:szCs w:val="21"/>
                    </w:rPr>
                    <w:t>夜间</w:t>
                  </w:r>
                </w:p>
              </w:tc>
              <w:tc>
                <w:tcPr>
                  <w:tcW w:w="940" w:type="pct"/>
                  <w:noWrap w:val="0"/>
                  <w:vAlign w:val="center"/>
                </w:tcPr>
                <w:p>
                  <w:pPr>
                    <w:jc w:val="center"/>
                    <w:rPr>
                      <w:szCs w:val="21"/>
                    </w:rPr>
                  </w:pPr>
                  <w:r>
                    <w:rPr>
                      <w:szCs w:val="21"/>
                    </w:rPr>
                    <w:t>43.7</w:t>
                  </w:r>
                </w:p>
              </w:tc>
              <w:tc>
                <w:tcPr>
                  <w:tcW w:w="940" w:type="pct"/>
                  <w:noWrap w:val="0"/>
                  <w:vAlign w:val="center"/>
                </w:tcPr>
                <w:p>
                  <w:pPr>
                    <w:jc w:val="center"/>
                    <w:rPr>
                      <w:szCs w:val="21"/>
                    </w:rPr>
                  </w:pPr>
                  <w:r>
                    <w:rPr>
                      <w:sz w:val="22"/>
                      <w:szCs w:val="22"/>
                    </w:rPr>
                    <w:t>46</w:t>
                  </w:r>
                </w:p>
              </w:tc>
              <w:tc>
                <w:tcPr>
                  <w:tcW w:w="939" w:type="pct"/>
                  <w:noWrap w:val="0"/>
                  <w:vAlign w:val="top"/>
                </w:tcPr>
                <w:p>
                  <w:pPr>
                    <w:jc w:val="center"/>
                    <w:rPr>
                      <w:szCs w:val="21"/>
                    </w:rPr>
                  </w:pPr>
                  <w:r>
                    <w:rPr>
                      <w:szCs w:val="21"/>
                    </w:rPr>
                    <w:t>48.0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0" w:hRule="exact"/>
              </w:trPr>
              <w:tc>
                <w:tcPr>
                  <w:tcW w:w="1241" w:type="pct"/>
                  <w:vMerge w:val="restart"/>
                  <w:noWrap w:val="0"/>
                  <w:vAlign w:val="center"/>
                </w:tcPr>
                <w:p>
                  <w:pPr>
                    <w:spacing w:line="273" w:lineRule="exact"/>
                    <w:jc w:val="center"/>
                    <w:rPr>
                      <w:szCs w:val="21"/>
                    </w:rPr>
                  </w:pPr>
                  <w:r>
                    <w:rPr>
                      <w:position w:val="-3"/>
                      <w:szCs w:val="21"/>
                    </w:rPr>
                    <w:t>南厂界</w:t>
                  </w:r>
                </w:p>
              </w:tc>
              <w:tc>
                <w:tcPr>
                  <w:tcW w:w="940" w:type="pct"/>
                  <w:noWrap w:val="0"/>
                  <w:vAlign w:val="top"/>
                </w:tcPr>
                <w:p>
                  <w:pPr>
                    <w:jc w:val="center"/>
                    <w:rPr>
                      <w:szCs w:val="21"/>
                    </w:rPr>
                  </w:pPr>
                  <w:r>
                    <w:rPr>
                      <w:szCs w:val="21"/>
                    </w:rPr>
                    <w:t>昼间</w:t>
                  </w:r>
                </w:p>
              </w:tc>
              <w:tc>
                <w:tcPr>
                  <w:tcW w:w="940" w:type="pct"/>
                  <w:noWrap w:val="0"/>
                  <w:vAlign w:val="center"/>
                </w:tcPr>
                <w:p>
                  <w:pPr>
                    <w:jc w:val="center"/>
                    <w:rPr>
                      <w:szCs w:val="21"/>
                    </w:rPr>
                  </w:pPr>
                  <w:r>
                    <w:rPr>
                      <w:szCs w:val="21"/>
                    </w:rPr>
                    <w:t>47.8</w:t>
                  </w:r>
                </w:p>
              </w:tc>
              <w:tc>
                <w:tcPr>
                  <w:tcW w:w="940" w:type="pct"/>
                  <w:noWrap w:val="0"/>
                  <w:vAlign w:val="center"/>
                </w:tcPr>
                <w:p>
                  <w:pPr>
                    <w:jc w:val="center"/>
                    <w:rPr>
                      <w:szCs w:val="21"/>
                    </w:rPr>
                  </w:pPr>
                  <w:r>
                    <w:rPr>
                      <w:sz w:val="22"/>
                      <w:szCs w:val="22"/>
                    </w:rPr>
                    <w:t>51</w:t>
                  </w:r>
                </w:p>
              </w:tc>
              <w:tc>
                <w:tcPr>
                  <w:tcW w:w="939" w:type="pct"/>
                  <w:noWrap w:val="0"/>
                  <w:vAlign w:val="top"/>
                </w:tcPr>
                <w:p>
                  <w:pPr>
                    <w:jc w:val="center"/>
                    <w:rPr>
                      <w:szCs w:val="21"/>
                    </w:rPr>
                  </w:pPr>
                  <w:r>
                    <w:rPr>
                      <w:szCs w:val="21"/>
                    </w:rPr>
                    <w:t>52.0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0" w:hRule="exact"/>
              </w:trPr>
              <w:tc>
                <w:tcPr>
                  <w:tcW w:w="1241" w:type="pct"/>
                  <w:vMerge w:val="continue"/>
                  <w:noWrap w:val="0"/>
                  <w:vAlign w:val="center"/>
                </w:tcPr>
                <w:p>
                  <w:pPr>
                    <w:spacing w:line="273" w:lineRule="exact"/>
                    <w:jc w:val="center"/>
                    <w:rPr>
                      <w:position w:val="-3"/>
                      <w:szCs w:val="21"/>
                    </w:rPr>
                  </w:pPr>
                </w:p>
              </w:tc>
              <w:tc>
                <w:tcPr>
                  <w:tcW w:w="940" w:type="pct"/>
                  <w:noWrap w:val="0"/>
                  <w:vAlign w:val="top"/>
                </w:tcPr>
                <w:p>
                  <w:pPr>
                    <w:jc w:val="center"/>
                    <w:rPr>
                      <w:szCs w:val="21"/>
                    </w:rPr>
                  </w:pPr>
                  <w:r>
                    <w:rPr>
                      <w:szCs w:val="21"/>
                    </w:rPr>
                    <w:t>夜间</w:t>
                  </w:r>
                </w:p>
              </w:tc>
              <w:tc>
                <w:tcPr>
                  <w:tcW w:w="940" w:type="pct"/>
                  <w:noWrap w:val="0"/>
                  <w:vAlign w:val="center"/>
                </w:tcPr>
                <w:p>
                  <w:pPr>
                    <w:jc w:val="center"/>
                    <w:rPr>
                      <w:szCs w:val="21"/>
                    </w:rPr>
                  </w:pPr>
                  <w:r>
                    <w:rPr>
                      <w:szCs w:val="21"/>
                    </w:rPr>
                    <w:t>47.8</w:t>
                  </w:r>
                </w:p>
              </w:tc>
              <w:tc>
                <w:tcPr>
                  <w:tcW w:w="940" w:type="pct"/>
                  <w:noWrap w:val="0"/>
                  <w:vAlign w:val="center"/>
                </w:tcPr>
                <w:p>
                  <w:pPr>
                    <w:jc w:val="center"/>
                    <w:rPr>
                      <w:szCs w:val="21"/>
                    </w:rPr>
                  </w:pPr>
                  <w:r>
                    <w:rPr>
                      <w:sz w:val="22"/>
                      <w:szCs w:val="22"/>
                    </w:rPr>
                    <w:t>45</w:t>
                  </w:r>
                </w:p>
              </w:tc>
              <w:tc>
                <w:tcPr>
                  <w:tcW w:w="939" w:type="pct"/>
                  <w:noWrap w:val="0"/>
                  <w:vAlign w:val="top"/>
                </w:tcPr>
                <w:p>
                  <w:pPr>
                    <w:jc w:val="center"/>
                    <w:rPr>
                      <w:szCs w:val="21"/>
                    </w:rPr>
                  </w:pPr>
                  <w:r>
                    <w:rPr>
                      <w:szCs w:val="21"/>
                    </w:rPr>
                    <w:t>49.6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9" w:hRule="exact"/>
              </w:trPr>
              <w:tc>
                <w:tcPr>
                  <w:tcW w:w="1241" w:type="pct"/>
                  <w:vMerge w:val="restart"/>
                  <w:noWrap w:val="0"/>
                  <w:vAlign w:val="center"/>
                </w:tcPr>
                <w:p>
                  <w:pPr>
                    <w:spacing w:line="273" w:lineRule="exact"/>
                    <w:jc w:val="center"/>
                    <w:rPr>
                      <w:szCs w:val="21"/>
                    </w:rPr>
                  </w:pPr>
                  <w:r>
                    <w:rPr>
                      <w:position w:val="-3"/>
                      <w:szCs w:val="21"/>
                    </w:rPr>
                    <w:t>西厂界</w:t>
                  </w:r>
                </w:p>
              </w:tc>
              <w:tc>
                <w:tcPr>
                  <w:tcW w:w="940" w:type="pct"/>
                  <w:noWrap w:val="0"/>
                  <w:vAlign w:val="top"/>
                </w:tcPr>
                <w:p>
                  <w:pPr>
                    <w:jc w:val="center"/>
                    <w:rPr>
                      <w:szCs w:val="21"/>
                    </w:rPr>
                  </w:pPr>
                  <w:r>
                    <w:rPr>
                      <w:szCs w:val="21"/>
                    </w:rPr>
                    <w:t>昼间</w:t>
                  </w:r>
                </w:p>
              </w:tc>
              <w:tc>
                <w:tcPr>
                  <w:tcW w:w="940" w:type="pct"/>
                  <w:noWrap w:val="0"/>
                  <w:vAlign w:val="center"/>
                </w:tcPr>
                <w:p>
                  <w:pPr>
                    <w:jc w:val="center"/>
                    <w:rPr>
                      <w:szCs w:val="21"/>
                    </w:rPr>
                  </w:pPr>
                  <w:r>
                    <w:rPr>
                      <w:szCs w:val="21"/>
                    </w:rPr>
                    <w:t>46.0</w:t>
                  </w:r>
                </w:p>
              </w:tc>
              <w:tc>
                <w:tcPr>
                  <w:tcW w:w="940" w:type="pct"/>
                  <w:noWrap w:val="0"/>
                  <w:vAlign w:val="center"/>
                </w:tcPr>
                <w:p>
                  <w:pPr>
                    <w:jc w:val="center"/>
                    <w:rPr>
                      <w:szCs w:val="21"/>
                    </w:rPr>
                  </w:pPr>
                  <w:r>
                    <w:rPr>
                      <w:sz w:val="22"/>
                      <w:szCs w:val="22"/>
                    </w:rPr>
                    <w:t>49</w:t>
                  </w:r>
                </w:p>
              </w:tc>
              <w:tc>
                <w:tcPr>
                  <w:tcW w:w="939" w:type="pct"/>
                  <w:noWrap w:val="0"/>
                  <w:vAlign w:val="top"/>
                </w:tcPr>
                <w:p>
                  <w:pPr>
                    <w:jc w:val="center"/>
                    <w:rPr>
                      <w:szCs w:val="21"/>
                    </w:rPr>
                  </w:pPr>
                  <w:r>
                    <w:rPr>
                      <w:szCs w:val="21"/>
                    </w:rPr>
                    <w:t>50.8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9" w:hRule="exact"/>
              </w:trPr>
              <w:tc>
                <w:tcPr>
                  <w:tcW w:w="1241" w:type="pct"/>
                  <w:vMerge w:val="continue"/>
                  <w:noWrap w:val="0"/>
                  <w:vAlign w:val="center"/>
                </w:tcPr>
                <w:p>
                  <w:pPr>
                    <w:spacing w:line="273" w:lineRule="exact"/>
                    <w:jc w:val="center"/>
                    <w:rPr>
                      <w:position w:val="-3"/>
                      <w:szCs w:val="21"/>
                    </w:rPr>
                  </w:pPr>
                </w:p>
              </w:tc>
              <w:tc>
                <w:tcPr>
                  <w:tcW w:w="940" w:type="pct"/>
                  <w:noWrap w:val="0"/>
                  <w:vAlign w:val="top"/>
                </w:tcPr>
                <w:p>
                  <w:pPr>
                    <w:jc w:val="center"/>
                    <w:rPr>
                      <w:szCs w:val="21"/>
                    </w:rPr>
                  </w:pPr>
                  <w:r>
                    <w:rPr>
                      <w:szCs w:val="21"/>
                    </w:rPr>
                    <w:t>夜间</w:t>
                  </w:r>
                </w:p>
              </w:tc>
              <w:tc>
                <w:tcPr>
                  <w:tcW w:w="940" w:type="pct"/>
                  <w:noWrap w:val="0"/>
                  <w:vAlign w:val="center"/>
                </w:tcPr>
                <w:p>
                  <w:pPr>
                    <w:jc w:val="center"/>
                    <w:rPr>
                      <w:szCs w:val="21"/>
                    </w:rPr>
                  </w:pPr>
                  <w:r>
                    <w:rPr>
                      <w:szCs w:val="21"/>
                    </w:rPr>
                    <w:t>46.0</w:t>
                  </w:r>
                </w:p>
              </w:tc>
              <w:tc>
                <w:tcPr>
                  <w:tcW w:w="940" w:type="pct"/>
                  <w:noWrap w:val="0"/>
                  <w:vAlign w:val="center"/>
                </w:tcPr>
                <w:p>
                  <w:pPr>
                    <w:jc w:val="center"/>
                    <w:rPr>
                      <w:szCs w:val="21"/>
                    </w:rPr>
                  </w:pPr>
                  <w:r>
                    <w:rPr>
                      <w:sz w:val="22"/>
                      <w:szCs w:val="22"/>
                    </w:rPr>
                    <w:t>45</w:t>
                  </w:r>
                </w:p>
              </w:tc>
              <w:tc>
                <w:tcPr>
                  <w:tcW w:w="939" w:type="pct"/>
                  <w:noWrap w:val="0"/>
                  <w:vAlign w:val="top"/>
                </w:tcPr>
                <w:p>
                  <w:pPr>
                    <w:jc w:val="center"/>
                    <w:rPr>
                      <w:szCs w:val="21"/>
                    </w:rPr>
                  </w:pPr>
                  <w:r>
                    <w:rPr>
                      <w:szCs w:val="21"/>
                    </w:rPr>
                    <w:t>48.5</w:t>
                  </w:r>
                </w:p>
              </w:tc>
            </w:tr>
          </w:tbl>
          <w:p>
            <w:pPr>
              <w:autoSpaceDE w:val="0"/>
              <w:autoSpaceDN w:val="0"/>
              <w:adjustRightInd w:val="0"/>
              <w:snapToGrid w:val="0"/>
              <w:spacing w:before="120" w:beforeLines="50" w:line="360" w:lineRule="auto"/>
              <w:ind w:firstLine="480" w:firstLineChars="200"/>
              <w:rPr>
                <w:kern w:val="0"/>
                <w:sz w:val="24"/>
              </w:rPr>
            </w:pPr>
            <w:r>
              <w:rPr>
                <w:kern w:val="0"/>
                <w:sz w:val="24"/>
              </w:rPr>
              <w:t>由上表可看出，设备噪声通过基础减振及车间隔声等降噪措施后，再衰减至厂界后，厂界四周噪声贡献值可满足《工业企业厂界环境噪声排放标准》（GB12348-2008）2类标准要求（即昼间&lt;60dB(A)、夜间&lt;50dB(A)）。敏感点噪声预测如下表。</w:t>
            </w:r>
          </w:p>
          <w:p>
            <w:pPr>
              <w:spacing w:after="120"/>
              <w:ind w:left="420" w:leftChars="200" w:firstLine="480" w:firstLineChars="200"/>
              <w:jc w:val="center"/>
              <w:rPr>
                <w:rFonts w:eastAsia="黑体"/>
                <w:sz w:val="24"/>
              </w:rPr>
            </w:pPr>
            <w:r>
              <w:rPr>
                <w:rFonts w:eastAsia="黑体"/>
                <w:sz w:val="24"/>
              </w:rPr>
              <w:t>表4-15  敏感点噪声</w:t>
            </w:r>
            <w:r>
              <w:rPr>
                <w:rFonts w:eastAsia="黑体"/>
                <w:bCs/>
                <w:sz w:val="24"/>
              </w:rPr>
              <w:t>预测结果   单位：dB(A)</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86"/>
              <w:gridCol w:w="1851"/>
              <w:gridCol w:w="1851"/>
              <w:gridCol w:w="18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710" w:type="pct"/>
                  <w:shd w:val="clear" w:color="auto" w:fill="CCFFFF"/>
                  <w:noWrap w:val="0"/>
                  <w:vAlign w:val="center"/>
                </w:tcPr>
                <w:p>
                  <w:pPr>
                    <w:jc w:val="center"/>
                    <w:rPr>
                      <w:b/>
                      <w:bCs/>
                      <w:szCs w:val="21"/>
                    </w:rPr>
                  </w:pPr>
                  <w:r>
                    <w:rPr>
                      <w:b/>
                      <w:bCs/>
                      <w:szCs w:val="21"/>
                    </w:rPr>
                    <w:t>检测点名称</w:t>
                  </w:r>
                </w:p>
              </w:tc>
              <w:tc>
                <w:tcPr>
                  <w:tcW w:w="1097" w:type="pct"/>
                  <w:shd w:val="clear" w:color="auto" w:fill="CCFFFF"/>
                  <w:noWrap w:val="0"/>
                  <w:vAlign w:val="center"/>
                </w:tcPr>
                <w:p>
                  <w:pPr>
                    <w:jc w:val="center"/>
                    <w:rPr>
                      <w:b/>
                      <w:szCs w:val="21"/>
                    </w:rPr>
                  </w:pPr>
                  <w:r>
                    <w:rPr>
                      <w:b/>
                      <w:szCs w:val="21"/>
                    </w:rPr>
                    <w:t>时段</w:t>
                  </w:r>
                </w:p>
              </w:tc>
              <w:tc>
                <w:tcPr>
                  <w:tcW w:w="1097" w:type="pct"/>
                  <w:shd w:val="clear" w:color="auto" w:fill="CCFFFF"/>
                  <w:noWrap w:val="0"/>
                  <w:vAlign w:val="center"/>
                </w:tcPr>
                <w:p>
                  <w:pPr>
                    <w:jc w:val="center"/>
                    <w:rPr>
                      <w:b/>
                      <w:szCs w:val="21"/>
                    </w:rPr>
                  </w:pPr>
                  <w:r>
                    <w:rPr>
                      <w:b/>
                      <w:szCs w:val="21"/>
                    </w:rPr>
                    <w:t>背景值</w:t>
                  </w:r>
                </w:p>
              </w:tc>
              <w:tc>
                <w:tcPr>
                  <w:tcW w:w="1096" w:type="pct"/>
                  <w:shd w:val="clear" w:color="auto" w:fill="CCFFFF"/>
                  <w:noWrap w:val="0"/>
                  <w:vAlign w:val="center"/>
                </w:tcPr>
                <w:p>
                  <w:pPr>
                    <w:jc w:val="center"/>
                    <w:rPr>
                      <w:b/>
                      <w:szCs w:val="21"/>
                    </w:rPr>
                  </w:pPr>
                  <w:r>
                    <w:rPr>
                      <w:b/>
                      <w:szCs w:val="21"/>
                    </w:rPr>
                    <w:t>预测值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10" w:type="pct"/>
                  <w:vMerge w:val="restart"/>
                  <w:noWrap w:val="0"/>
                  <w:vAlign w:val="center"/>
                </w:tcPr>
                <w:p>
                  <w:pPr>
                    <w:jc w:val="center"/>
                    <w:rPr>
                      <w:szCs w:val="21"/>
                    </w:rPr>
                  </w:pPr>
                  <w:r>
                    <w:rPr>
                      <w:sz w:val="22"/>
                      <w:szCs w:val="22"/>
                    </w:rPr>
                    <w:t>项目南侧约25m居民</w:t>
                  </w:r>
                </w:p>
              </w:tc>
              <w:tc>
                <w:tcPr>
                  <w:tcW w:w="1097" w:type="pct"/>
                  <w:noWrap w:val="0"/>
                  <w:vAlign w:val="center"/>
                </w:tcPr>
                <w:p>
                  <w:pPr>
                    <w:jc w:val="center"/>
                    <w:rPr>
                      <w:bCs/>
                      <w:szCs w:val="21"/>
                    </w:rPr>
                  </w:pPr>
                  <w:r>
                    <w:rPr>
                      <w:bCs/>
                      <w:szCs w:val="21"/>
                    </w:rPr>
                    <w:t>昼间</w:t>
                  </w:r>
                </w:p>
              </w:tc>
              <w:tc>
                <w:tcPr>
                  <w:tcW w:w="1097" w:type="pct"/>
                  <w:noWrap w:val="0"/>
                  <w:vAlign w:val="center"/>
                </w:tcPr>
                <w:p>
                  <w:pPr>
                    <w:jc w:val="center"/>
                    <w:rPr>
                      <w:bCs/>
                      <w:szCs w:val="21"/>
                    </w:rPr>
                  </w:pPr>
                  <w:r>
                    <w:rPr>
                      <w:sz w:val="22"/>
                      <w:szCs w:val="22"/>
                    </w:rPr>
                    <w:t>51</w:t>
                  </w:r>
                </w:p>
              </w:tc>
              <w:tc>
                <w:tcPr>
                  <w:tcW w:w="1096" w:type="pct"/>
                  <w:noWrap w:val="0"/>
                  <w:vAlign w:val="top"/>
                </w:tcPr>
                <w:p>
                  <w:pPr>
                    <w:jc w:val="center"/>
                    <w:rPr>
                      <w:bCs/>
                      <w:szCs w:val="21"/>
                    </w:rPr>
                  </w:pPr>
                  <w:r>
                    <w:rPr>
                      <w:bCs/>
                      <w:szCs w:val="21"/>
                    </w:rPr>
                    <w:t>51.1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10" w:type="pct"/>
                  <w:vMerge w:val="continue"/>
                  <w:noWrap w:val="0"/>
                  <w:vAlign w:val="center"/>
                </w:tcPr>
                <w:p>
                  <w:pPr>
                    <w:jc w:val="center"/>
                    <w:rPr>
                      <w:szCs w:val="21"/>
                    </w:rPr>
                  </w:pPr>
                </w:p>
              </w:tc>
              <w:tc>
                <w:tcPr>
                  <w:tcW w:w="1097" w:type="pct"/>
                  <w:noWrap w:val="0"/>
                  <w:vAlign w:val="center"/>
                </w:tcPr>
                <w:p>
                  <w:pPr>
                    <w:jc w:val="center"/>
                    <w:rPr>
                      <w:bCs/>
                      <w:szCs w:val="21"/>
                    </w:rPr>
                  </w:pPr>
                  <w:r>
                    <w:rPr>
                      <w:bCs/>
                      <w:szCs w:val="21"/>
                    </w:rPr>
                    <w:t>夜间</w:t>
                  </w:r>
                </w:p>
              </w:tc>
              <w:tc>
                <w:tcPr>
                  <w:tcW w:w="1097" w:type="pct"/>
                  <w:noWrap w:val="0"/>
                  <w:vAlign w:val="center"/>
                </w:tcPr>
                <w:p>
                  <w:pPr>
                    <w:jc w:val="center"/>
                    <w:rPr>
                      <w:bCs/>
                      <w:szCs w:val="21"/>
                    </w:rPr>
                  </w:pPr>
                  <w:r>
                    <w:rPr>
                      <w:sz w:val="22"/>
                      <w:szCs w:val="22"/>
                    </w:rPr>
                    <w:t>47</w:t>
                  </w:r>
                </w:p>
              </w:tc>
              <w:tc>
                <w:tcPr>
                  <w:tcW w:w="1096" w:type="pct"/>
                  <w:noWrap w:val="0"/>
                  <w:vAlign w:val="top"/>
                </w:tcPr>
                <w:p>
                  <w:pPr>
                    <w:jc w:val="center"/>
                    <w:rPr>
                      <w:bCs/>
                      <w:szCs w:val="21"/>
                    </w:rPr>
                  </w:pPr>
                  <w:r>
                    <w:rPr>
                      <w:bCs/>
                      <w:szCs w:val="21"/>
                    </w:rPr>
                    <w:t>47.2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10" w:type="pct"/>
                  <w:vMerge w:val="restart"/>
                  <w:noWrap w:val="0"/>
                  <w:vAlign w:val="center"/>
                </w:tcPr>
                <w:p>
                  <w:pPr>
                    <w:jc w:val="center"/>
                    <w:rPr>
                      <w:szCs w:val="21"/>
                    </w:rPr>
                  </w:pPr>
                  <w:r>
                    <w:rPr>
                      <w:sz w:val="22"/>
                      <w:szCs w:val="22"/>
                    </w:rPr>
                    <w:t>项目西侧约10m居民</w:t>
                  </w:r>
                </w:p>
              </w:tc>
              <w:tc>
                <w:tcPr>
                  <w:tcW w:w="1097" w:type="pct"/>
                  <w:noWrap w:val="0"/>
                  <w:vAlign w:val="center"/>
                </w:tcPr>
                <w:p>
                  <w:pPr>
                    <w:jc w:val="center"/>
                    <w:rPr>
                      <w:bCs/>
                      <w:szCs w:val="21"/>
                    </w:rPr>
                  </w:pPr>
                  <w:r>
                    <w:rPr>
                      <w:bCs/>
                      <w:szCs w:val="21"/>
                    </w:rPr>
                    <w:t>昼间</w:t>
                  </w:r>
                </w:p>
              </w:tc>
              <w:tc>
                <w:tcPr>
                  <w:tcW w:w="1097" w:type="pct"/>
                  <w:noWrap w:val="0"/>
                  <w:vAlign w:val="center"/>
                </w:tcPr>
                <w:p>
                  <w:pPr>
                    <w:jc w:val="center"/>
                    <w:rPr>
                      <w:bCs/>
                      <w:szCs w:val="21"/>
                    </w:rPr>
                  </w:pPr>
                  <w:r>
                    <w:rPr>
                      <w:sz w:val="22"/>
                      <w:szCs w:val="22"/>
                    </w:rPr>
                    <w:t>52</w:t>
                  </w:r>
                </w:p>
              </w:tc>
              <w:tc>
                <w:tcPr>
                  <w:tcW w:w="1096" w:type="pct"/>
                  <w:noWrap w:val="0"/>
                  <w:vAlign w:val="top"/>
                </w:tcPr>
                <w:p>
                  <w:pPr>
                    <w:jc w:val="center"/>
                    <w:rPr>
                      <w:bCs/>
                      <w:szCs w:val="21"/>
                    </w:rPr>
                  </w:pPr>
                  <w:r>
                    <w:rPr>
                      <w:bCs/>
                      <w:szCs w:val="21"/>
                    </w:rPr>
                    <w:t>52.1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10" w:type="pct"/>
                  <w:vMerge w:val="continue"/>
                  <w:noWrap w:val="0"/>
                  <w:vAlign w:val="center"/>
                </w:tcPr>
                <w:p>
                  <w:pPr>
                    <w:jc w:val="center"/>
                    <w:rPr>
                      <w:szCs w:val="21"/>
                    </w:rPr>
                  </w:pPr>
                </w:p>
              </w:tc>
              <w:tc>
                <w:tcPr>
                  <w:tcW w:w="1097" w:type="pct"/>
                  <w:noWrap w:val="0"/>
                  <w:vAlign w:val="center"/>
                </w:tcPr>
                <w:p>
                  <w:pPr>
                    <w:jc w:val="center"/>
                    <w:rPr>
                      <w:bCs/>
                      <w:szCs w:val="21"/>
                    </w:rPr>
                  </w:pPr>
                  <w:r>
                    <w:rPr>
                      <w:bCs/>
                      <w:szCs w:val="21"/>
                    </w:rPr>
                    <w:t>夜间</w:t>
                  </w:r>
                </w:p>
              </w:tc>
              <w:tc>
                <w:tcPr>
                  <w:tcW w:w="1097" w:type="pct"/>
                  <w:noWrap w:val="0"/>
                  <w:vAlign w:val="center"/>
                </w:tcPr>
                <w:p>
                  <w:pPr>
                    <w:jc w:val="center"/>
                    <w:rPr>
                      <w:bCs/>
                      <w:szCs w:val="21"/>
                    </w:rPr>
                  </w:pPr>
                  <w:r>
                    <w:rPr>
                      <w:sz w:val="22"/>
                      <w:szCs w:val="22"/>
                    </w:rPr>
                    <w:t>46</w:t>
                  </w:r>
                </w:p>
              </w:tc>
              <w:tc>
                <w:tcPr>
                  <w:tcW w:w="1096" w:type="pct"/>
                  <w:noWrap w:val="0"/>
                  <w:vAlign w:val="top"/>
                </w:tcPr>
                <w:p>
                  <w:pPr>
                    <w:jc w:val="center"/>
                    <w:rPr>
                      <w:bCs/>
                      <w:szCs w:val="21"/>
                    </w:rPr>
                  </w:pPr>
                  <w:r>
                    <w:rPr>
                      <w:bCs/>
                      <w:szCs w:val="21"/>
                    </w:rPr>
                    <w:t>46.1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10" w:type="pct"/>
                  <w:vMerge w:val="restart"/>
                  <w:noWrap w:val="0"/>
                  <w:vAlign w:val="center"/>
                </w:tcPr>
                <w:p>
                  <w:pPr>
                    <w:jc w:val="center"/>
                    <w:rPr>
                      <w:szCs w:val="21"/>
                    </w:rPr>
                  </w:pPr>
                  <w:r>
                    <w:rPr>
                      <w:sz w:val="22"/>
                      <w:szCs w:val="22"/>
                    </w:rPr>
                    <w:t>项目北侧约50m居民</w:t>
                  </w:r>
                </w:p>
              </w:tc>
              <w:tc>
                <w:tcPr>
                  <w:tcW w:w="1097" w:type="pct"/>
                  <w:noWrap w:val="0"/>
                  <w:vAlign w:val="center"/>
                </w:tcPr>
                <w:p>
                  <w:pPr>
                    <w:jc w:val="center"/>
                    <w:rPr>
                      <w:bCs/>
                      <w:szCs w:val="21"/>
                    </w:rPr>
                  </w:pPr>
                  <w:r>
                    <w:rPr>
                      <w:bCs/>
                      <w:szCs w:val="21"/>
                    </w:rPr>
                    <w:t>昼间</w:t>
                  </w:r>
                </w:p>
              </w:tc>
              <w:tc>
                <w:tcPr>
                  <w:tcW w:w="1097" w:type="pct"/>
                  <w:noWrap w:val="0"/>
                  <w:vAlign w:val="center"/>
                </w:tcPr>
                <w:p>
                  <w:pPr>
                    <w:jc w:val="center"/>
                    <w:rPr>
                      <w:bCs/>
                      <w:szCs w:val="21"/>
                    </w:rPr>
                  </w:pPr>
                  <w:r>
                    <w:rPr>
                      <w:sz w:val="22"/>
                      <w:szCs w:val="22"/>
                    </w:rPr>
                    <w:t>50</w:t>
                  </w:r>
                </w:p>
              </w:tc>
              <w:tc>
                <w:tcPr>
                  <w:tcW w:w="1096" w:type="pct"/>
                  <w:noWrap w:val="0"/>
                  <w:vAlign w:val="top"/>
                </w:tcPr>
                <w:p>
                  <w:pPr>
                    <w:jc w:val="center"/>
                    <w:rPr>
                      <w:bCs/>
                      <w:szCs w:val="21"/>
                    </w:rPr>
                  </w:pPr>
                  <w:r>
                    <w:rPr>
                      <w:bCs/>
                      <w:szCs w:val="21"/>
                    </w:rPr>
                    <w:t>50.1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10" w:type="pct"/>
                  <w:vMerge w:val="continue"/>
                  <w:noWrap w:val="0"/>
                  <w:vAlign w:val="center"/>
                </w:tcPr>
                <w:p>
                  <w:pPr>
                    <w:jc w:val="center"/>
                    <w:rPr>
                      <w:szCs w:val="21"/>
                    </w:rPr>
                  </w:pPr>
                </w:p>
              </w:tc>
              <w:tc>
                <w:tcPr>
                  <w:tcW w:w="1097" w:type="pct"/>
                  <w:noWrap w:val="0"/>
                  <w:vAlign w:val="center"/>
                </w:tcPr>
                <w:p>
                  <w:pPr>
                    <w:jc w:val="center"/>
                    <w:rPr>
                      <w:bCs/>
                      <w:szCs w:val="21"/>
                    </w:rPr>
                  </w:pPr>
                  <w:r>
                    <w:rPr>
                      <w:bCs/>
                      <w:szCs w:val="21"/>
                    </w:rPr>
                    <w:t>夜间</w:t>
                  </w:r>
                </w:p>
              </w:tc>
              <w:tc>
                <w:tcPr>
                  <w:tcW w:w="1097" w:type="pct"/>
                  <w:noWrap w:val="0"/>
                  <w:vAlign w:val="center"/>
                </w:tcPr>
                <w:p>
                  <w:pPr>
                    <w:jc w:val="center"/>
                    <w:rPr>
                      <w:bCs/>
                      <w:szCs w:val="21"/>
                    </w:rPr>
                  </w:pPr>
                  <w:r>
                    <w:rPr>
                      <w:sz w:val="22"/>
                      <w:szCs w:val="22"/>
                    </w:rPr>
                    <w:t>45</w:t>
                  </w:r>
                </w:p>
              </w:tc>
              <w:tc>
                <w:tcPr>
                  <w:tcW w:w="1096" w:type="pct"/>
                  <w:noWrap w:val="0"/>
                  <w:vAlign w:val="top"/>
                </w:tcPr>
                <w:p>
                  <w:pPr>
                    <w:jc w:val="center"/>
                    <w:rPr>
                      <w:bCs/>
                      <w:szCs w:val="21"/>
                    </w:rPr>
                  </w:pPr>
                  <w:r>
                    <w:rPr>
                      <w:bCs/>
                      <w:szCs w:val="21"/>
                    </w:rPr>
                    <w:t>45.1</w:t>
                  </w:r>
                </w:p>
              </w:tc>
            </w:tr>
          </w:tbl>
          <w:p>
            <w:pPr>
              <w:spacing w:before="120" w:beforeLines="50" w:line="360" w:lineRule="auto"/>
              <w:ind w:firstLine="480" w:firstLineChars="200"/>
              <w:rPr>
                <w:sz w:val="24"/>
              </w:rPr>
            </w:pPr>
            <w:r>
              <w:rPr>
                <w:sz w:val="24"/>
              </w:rPr>
              <w:t>由上表可看出，敏感点噪声昼间、夜间可满足《声环境质量标准》（GB3096-2008）2标准限值。</w:t>
            </w:r>
          </w:p>
          <w:p>
            <w:pPr>
              <w:spacing w:line="360" w:lineRule="auto"/>
              <w:ind w:firstLine="482" w:firstLineChars="200"/>
              <w:rPr>
                <w:b/>
                <w:bCs/>
                <w:sz w:val="24"/>
              </w:rPr>
            </w:pPr>
            <w:r>
              <w:rPr>
                <w:b/>
                <w:bCs/>
                <w:sz w:val="24"/>
              </w:rPr>
              <w:t>4、监测计划</w:t>
            </w:r>
          </w:p>
          <w:p>
            <w:pPr>
              <w:spacing w:line="360" w:lineRule="auto"/>
              <w:ind w:firstLine="480" w:firstLineChars="200"/>
              <w:rPr>
                <w:sz w:val="24"/>
              </w:rPr>
            </w:pPr>
            <w:r>
              <w:rPr>
                <w:sz w:val="24"/>
              </w:rPr>
              <w:t>为减少项目噪声对周围声环境的影响，建设单位应加强对机械设备的维修与保养，避免因老化引起的噪声。根据《排污单位自行监测技术指南 总则》（HJ819-2017），项目投产后，企业应定期组织噪声监测。</w:t>
            </w:r>
          </w:p>
          <w:p>
            <w:pPr>
              <w:adjustRightInd w:val="0"/>
              <w:snapToGrid w:val="0"/>
              <w:jc w:val="center"/>
              <w:rPr>
                <w:rFonts w:eastAsia="黑体"/>
                <w:sz w:val="24"/>
              </w:rPr>
            </w:pPr>
            <w:r>
              <w:rPr>
                <w:rFonts w:eastAsia="黑体"/>
                <w:sz w:val="24"/>
              </w:rPr>
              <w:t>表4-16     噪声监测计划表</w:t>
            </w:r>
          </w:p>
          <w:tbl>
            <w:tblPr>
              <w:tblStyle w:val="32"/>
              <w:tblW w:w="4999" w:type="pct"/>
              <w:tblInd w:w="2"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02"/>
              <w:gridCol w:w="1027"/>
              <w:gridCol w:w="1225"/>
              <w:gridCol w:w="4112"/>
              <w:gridCol w:w="14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577" w:type="dxa"/>
                  <w:shd w:val="clear" w:color="auto" w:fill="CCFFFF"/>
                  <w:noWrap w:val="0"/>
                  <w:vAlign w:val="center"/>
                </w:tcPr>
                <w:p>
                  <w:pPr>
                    <w:autoSpaceDE w:val="0"/>
                    <w:autoSpaceDN w:val="0"/>
                    <w:adjustRightInd w:val="0"/>
                    <w:jc w:val="center"/>
                    <w:rPr>
                      <w:b/>
                      <w:bCs/>
                      <w:kern w:val="0"/>
                      <w:szCs w:val="21"/>
                    </w:rPr>
                  </w:pPr>
                  <w:r>
                    <w:rPr>
                      <w:b/>
                      <w:bCs/>
                      <w:kern w:val="0"/>
                      <w:szCs w:val="21"/>
                    </w:rPr>
                    <w:t>类别</w:t>
                  </w:r>
                </w:p>
              </w:tc>
              <w:tc>
                <w:tcPr>
                  <w:tcW w:w="984" w:type="dxa"/>
                  <w:shd w:val="clear" w:color="auto" w:fill="CCFFFF"/>
                  <w:noWrap w:val="0"/>
                  <w:vAlign w:val="center"/>
                </w:tcPr>
                <w:p>
                  <w:pPr>
                    <w:autoSpaceDE w:val="0"/>
                    <w:autoSpaceDN w:val="0"/>
                    <w:adjustRightInd w:val="0"/>
                    <w:jc w:val="center"/>
                    <w:rPr>
                      <w:b/>
                      <w:bCs/>
                      <w:kern w:val="0"/>
                      <w:szCs w:val="21"/>
                    </w:rPr>
                  </w:pPr>
                  <w:r>
                    <w:rPr>
                      <w:b/>
                      <w:bCs/>
                      <w:kern w:val="0"/>
                      <w:szCs w:val="21"/>
                    </w:rPr>
                    <w:t>监测点位</w:t>
                  </w:r>
                </w:p>
              </w:tc>
              <w:tc>
                <w:tcPr>
                  <w:tcW w:w="1173" w:type="dxa"/>
                  <w:shd w:val="clear" w:color="auto" w:fill="CCFFFF"/>
                  <w:noWrap w:val="0"/>
                  <w:vAlign w:val="center"/>
                </w:tcPr>
                <w:p>
                  <w:pPr>
                    <w:autoSpaceDE w:val="0"/>
                    <w:autoSpaceDN w:val="0"/>
                    <w:adjustRightInd w:val="0"/>
                    <w:jc w:val="center"/>
                    <w:rPr>
                      <w:b/>
                      <w:bCs/>
                      <w:kern w:val="0"/>
                      <w:szCs w:val="21"/>
                    </w:rPr>
                  </w:pPr>
                  <w:r>
                    <w:rPr>
                      <w:b/>
                      <w:bCs/>
                      <w:kern w:val="0"/>
                      <w:szCs w:val="21"/>
                    </w:rPr>
                    <w:t>监测项目</w:t>
                  </w:r>
                </w:p>
              </w:tc>
              <w:tc>
                <w:tcPr>
                  <w:tcW w:w="3938" w:type="dxa"/>
                  <w:shd w:val="clear" w:color="auto" w:fill="CCFFFF"/>
                  <w:noWrap w:val="0"/>
                  <w:vAlign w:val="center"/>
                </w:tcPr>
                <w:p>
                  <w:pPr>
                    <w:autoSpaceDE w:val="0"/>
                    <w:autoSpaceDN w:val="0"/>
                    <w:adjustRightInd w:val="0"/>
                    <w:jc w:val="center"/>
                    <w:rPr>
                      <w:b/>
                      <w:bCs/>
                      <w:kern w:val="0"/>
                      <w:szCs w:val="21"/>
                    </w:rPr>
                  </w:pPr>
                  <w:r>
                    <w:rPr>
                      <w:b/>
                      <w:bCs/>
                      <w:kern w:val="0"/>
                      <w:szCs w:val="21"/>
                    </w:rPr>
                    <w:t>监测频率</w:t>
                  </w:r>
                </w:p>
              </w:tc>
              <w:tc>
                <w:tcPr>
                  <w:tcW w:w="1408" w:type="dxa"/>
                  <w:shd w:val="clear" w:color="auto" w:fill="CCFFFF"/>
                  <w:noWrap w:val="0"/>
                  <w:vAlign w:val="center"/>
                </w:tcPr>
                <w:p>
                  <w:pPr>
                    <w:autoSpaceDE w:val="0"/>
                    <w:autoSpaceDN w:val="0"/>
                    <w:adjustRightInd w:val="0"/>
                    <w:jc w:val="center"/>
                    <w:rPr>
                      <w:b/>
                      <w:bCs/>
                      <w:kern w:val="0"/>
                      <w:szCs w:val="21"/>
                    </w:rPr>
                  </w:pPr>
                  <w:r>
                    <w:rPr>
                      <w:b/>
                      <w:bCs/>
                      <w:kern w:val="0"/>
                      <w:szCs w:val="21"/>
                    </w:rPr>
                    <w:t>监测方法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577" w:type="dxa"/>
                  <w:noWrap w:val="0"/>
                  <w:vAlign w:val="center"/>
                </w:tcPr>
                <w:p>
                  <w:pPr>
                    <w:autoSpaceDE w:val="0"/>
                    <w:autoSpaceDN w:val="0"/>
                    <w:adjustRightInd w:val="0"/>
                    <w:jc w:val="center"/>
                    <w:rPr>
                      <w:kern w:val="0"/>
                      <w:szCs w:val="21"/>
                    </w:rPr>
                  </w:pPr>
                  <w:r>
                    <w:rPr>
                      <w:kern w:val="0"/>
                      <w:szCs w:val="21"/>
                    </w:rPr>
                    <w:t>噪声</w:t>
                  </w:r>
                </w:p>
              </w:tc>
              <w:tc>
                <w:tcPr>
                  <w:tcW w:w="984" w:type="dxa"/>
                  <w:noWrap w:val="0"/>
                  <w:vAlign w:val="center"/>
                </w:tcPr>
                <w:p>
                  <w:pPr>
                    <w:autoSpaceDE w:val="0"/>
                    <w:autoSpaceDN w:val="0"/>
                    <w:adjustRightInd w:val="0"/>
                    <w:jc w:val="center"/>
                    <w:rPr>
                      <w:kern w:val="0"/>
                      <w:szCs w:val="21"/>
                    </w:rPr>
                  </w:pPr>
                  <w:r>
                    <w:rPr>
                      <w:kern w:val="0"/>
                      <w:szCs w:val="21"/>
                    </w:rPr>
                    <w:t>厂界四周</w:t>
                  </w:r>
                </w:p>
              </w:tc>
              <w:tc>
                <w:tcPr>
                  <w:tcW w:w="1173" w:type="dxa"/>
                  <w:noWrap w:val="0"/>
                  <w:vAlign w:val="center"/>
                </w:tcPr>
                <w:p>
                  <w:pPr>
                    <w:autoSpaceDE w:val="0"/>
                    <w:autoSpaceDN w:val="0"/>
                    <w:adjustRightInd w:val="0"/>
                    <w:jc w:val="center"/>
                    <w:rPr>
                      <w:kern w:val="0"/>
                      <w:szCs w:val="21"/>
                    </w:rPr>
                  </w:pPr>
                  <w:r>
                    <w:rPr>
                      <w:kern w:val="0"/>
                      <w:szCs w:val="21"/>
                    </w:rPr>
                    <w:t>等效声级</w:t>
                  </w:r>
                </w:p>
              </w:tc>
              <w:tc>
                <w:tcPr>
                  <w:tcW w:w="3938" w:type="dxa"/>
                  <w:noWrap w:val="0"/>
                  <w:vAlign w:val="center"/>
                </w:tcPr>
                <w:p>
                  <w:pPr>
                    <w:autoSpaceDE w:val="0"/>
                    <w:autoSpaceDN w:val="0"/>
                    <w:adjustRightInd w:val="0"/>
                    <w:jc w:val="center"/>
                    <w:rPr>
                      <w:kern w:val="0"/>
                      <w:szCs w:val="21"/>
                    </w:rPr>
                  </w:pPr>
                  <w:r>
                    <w:rPr>
                      <w:kern w:val="0"/>
                      <w:szCs w:val="21"/>
                    </w:rPr>
                    <w:t>每季度监测1次，昼夜各1次</w:t>
                  </w:r>
                </w:p>
              </w:tc>
              <w:tc>
                <w:tcPr>
                  <w:tcW w:w="1408" w:type="dxa"/>
                  <w:noWrap w:val="0"/>
                  <w:vAlign w:val="center"/>
                </w:tcPr>
                <w:p>
                  <w:pPr>
                    <w:autoSpaceDE w:val="0"/>
                    <w:autoSpaceDN w:val="0"/>
                    <w:adjustRightInd w:val="0"/>
                    <w:jc w:val="center"/>
                    <w:rPr>
                      <w:kern w:val="0"/>
                      <w:szCs w:val="21"/>
                    </w:rPr>
                  </w:pPr>
                  <w:r>
                    <w:rPr>
                      <w:kern w:val="0"/>
                      <w:szCs w:val="21"/>
                    </w:rPr>
                    <w:t>按照国家标准方法进行</w:t>
                  </w:r>
                </w:p>
              </w:tc>
            </w:tr>
          </w:tbl>
          <w:p>
            <w:pPr>
              <w:spacing w:before="120" w:beforeLines="50" w:line="360" w:lineRule="auto"/>
              <w:rPr>
                <w:b/>
                <w:bCs/>
                <w:sz w:val="24"/>
              </w:rPr>
            </w:pPr>
            <w:r>
              <w:rPr>
                <w:b/>
                <w:bCs/>
                <w:sz w:val="24"/>
              </w:rPr>
              <w:t>四、固体废物产生及治理</w:t>
            </w:r>
          </w:p>
          <w:p>
            <w:pPr>
              <w:spacing w:line="360" w:lineRule="auto"/>
              <w:ind w:firstLine="482" w:firstLineChars="200"/>
              <w:rPr>
                <w:b/>
                <w:bCs/>
                <w:sz w:val="24"/>
              </w:rPr>
            </w:pPr>
            <w:r>
              <w:rPr>
                <w:b/>
                <w:bCs/>
                <w:sz w:val="24"/>
              </w:rPr>
              <w:t>1、一般固废</w:t>
            </w:r>
          </w:p>
          <w:p>
            <w:pPr>
              <w:spacing w:line="360" w:lineRule="auto"/>
              <w:ind w:firstLine="480" w:firstLineChars="200"/>
              <w:rPr>
                <w:sz w:val="24"/>
              </w:rPr>
            </w:pPr>
            <w:r>
              <w:rPr>
                <w:sz w:val="24"/>
              </w:rPr>
              <w:t>（1）员工生活垃圾、餐厨垃圾（含油水分离器废油脂）</w:t>
            </w:r>
          </w:p>
          <w:p>
            <w:pPr>
              <w:spacing w:line="360" w:lineRule="auto"/>
              <w:ind w:firstLine="480" w:firstLineChars="200"/>
              <w:rPr>
                <w:sz w:val="24"/>
              </w:rPr>
            </w:pPr>
            <w:r>
              <w:rPr>
                <w:sz w:val="24"/>
              </w:rPr>
              <w:t>本项目职工定员3人，改扩建后不新增员工，按照每人每天产生垃圾0.5kg，年工作日以365d计算，则生活垃圾的产生量为0.5475t/a，生活垃圾设置垃圾袋、桶统一收集后，由市政环卫部门统一清运。</w:t>
            </w:r>
          </w:p>
          <w:p>
            <w:pPr>
              <w:spacing w:line="360" w:lineRule="auto"/>
              <w:ind w:firstLine="480" w:firstLineChars="200"/>
              <w:rPr>
                <w:sz w:val="24"/>
              </w:rPr>
            </w:pPr>
            <w:r>
              <w:rPr>
                <w:sz w:val="24"/>
              </w:rPr>
              <w:t>（2）栅渣</w:t>
            </w:r>
          </w:p>
          <w:p>
            <w:pPr>
              <w:spacing w:line="360" w:lineRule="auto"/>
              <w:ind w:firstLine="480" w:firstLineChars="200"/>
              <w:rPr>
                <w:sz w:val="24"/>
              </w:rPr>
            </w:pPr>
            <w:r>
              <w:rPr>
                <w:sz w:val="24"/>
              </w:rPr>
              <w:t>该项目粗格栅和细格栅可以有效拦截废水中的栅渣（滤渣），栅渣的产生量按照0.1m</w:t>
            </w:r>
            <w:r>
              <w:rPr>
                <w:sz w:val="24"/>
                <w:vertAlign w:val="superscript"/>
              </w:rPr>
              <w:t>3</w:t>
            </w:r>
            <w:r>
              <w:rPr>
                <w:sz w:val="24"/>
              </w:rPr>
              <w:t>/1000m</w:t>
            </w:r>
            <w:r>
              <w:rPr>
                <w:sz w:val="24"/>
                <w:vertAlign w:val="superscript"/>
              </w:rPr>
              <w:t>3</w:t>
            </w:r>
            <w:r>
              <w:rPr>
                <w:sz w:val="24"/>
              </w:rPr>
              <w:t>污水量计算，则该项目栅渣总量为0.15m</w:t>
            </w:r>
            <w:r>
              <w:rPr>
                <w:sz w:val="24"/>
                <w:vertAlign w:val="superscript"/>
              </w:rPr>
              <w:t>3</w:t>
            </w:r>
            <w:r>
              <w:rPr>
                <w:sz w:val="24"/>
              </w:rPr>
              <w:t>/d，容重960kg/m</w:t>
            </w:r>
            <w:r>
              <w:rPr>
                <w:sz w:val="24"/>
                <w:vertAlign w:val="superscript"/>
              </w:rPr>
              <w:t>3</w:t>
            </w:r>
            <w:r>
              <w:rPr>
                <w:sz w:val="24"/>
              </w:rPr>
              <w:t>。栅渣的含水率为85%左右，则改扩建后预计产生栅渣总量约0.144t/d（52.56t/a），压榨后的含水率为60%左右，经压榨后栅渣总量约0.054t/d（19.71t/a），主要成分为塑料类、废纸团块、布料及其它杂质，产生的栅渣送城市垃圾处理场卫生填埋。</w:t>
            </w:r>
          </w:p>
          <w:p>
            <w:pPr>
              <w:spacing w:line="360" w:lineRule="auto"/>
              <w:ind w:firstLine="480" w:firstLineChars="200"/>
              <w:rPr>
                <w:sz w:val="24"/>
              </w:rPr>
            </w:pPr>
            <w:r>
              <w:rPr>
                <w:sz w:val="24"/>
              </w:rPr>
              <w:t>（3）沉砂</w:t>
            </w:r>
          </w:p>
          <w:p>
            <w:pPr>
              <w:adjustRightInd w:val="0"/>
              <w:spacing w:line="360" w:lineRule="auto"/>
              <w:ind w:firstLine="505"/>
              <w:textAlignment w:val="baseline"/>
              <w:rPr>
                <w:kern w:val="0"/>
                <w:sz w:val="24"/>
                <w:szCs w:val="20"/>
              </w:rPr>
            </w:pPr>
            <w:r>
              <w:rPr>
                <w:kern w:val="0"/>
                <w:sz w:val="24"/>
                <w:szCs w:val="20"/>
              </w:rPr>
              <w:t>项目初沉池运作过程中将分离出一定量的沉砂，沉砂的主要成分为大的无机颗粒，主要为泥砂、石子等，沉砂池主要去除污水中油性物质和比重大于2.65，粒径大于0.2mm的沙粒。根据《室外排水设计规范》（GB50101-2005）6.4.5节“每立方污水沉砂量0.03L”，沉砂容重1.5t/m³，含水率95%。则该项目沉砂总量为0.045m</w:t>
            </w:r>
            <w:r>
              <w:rPr>
                <w:kern w:val="0"/>
                <w:sz w:val="24"/>
                <w:szCs w:val="20"/>
                <w:vertAlign w:val="superscript"/>
              </w:rPr>
              <w:t>3</w:t>
            </w:r>
            <w:r>
              <w:rPr>
                <w:kern w:val="0"/>
                <w:sz w:val="24"/>
                <w:szCs w:val="20"/>
              </w:rPr>
              <w:t>/d（16.425m</w:t>
            </w:r>
            <w:r>
              <w:rPr>
                <w:kern w:val="0"/>
                <w:sz w:val="24"/>
                <w:szCs w:val="20"/>
                <w:vertAlign w:val="superscript"/>
              </w:rPr>
              <w:t>3</w:t>
            </w:r>
            <w:r>
              <w:rPr>
                <w:kern w:val="0"/>
                <w:sz w:val="24"/>
                <w:szCs w:val="20"/>
              </w:rPr>
              <w:t>/d），约0.0675t/d（24.6375t/d）；砂水分离后含水率60%，经脱水后沉砂总量约0.0084t/d（3.0797t/a），产生的沉砂送城市垃圾处理场卫生填埋。</w:t>
            </w:r>
          </w:p>
          <w:p>
            <w:pPr>
              <w:adjustRightInd w:val="0"/>
              <w:spacing w:line="360" w:lineRule="auto"/>
              <w:ind w:firstLine="505"/>
              <w:textAlignment w:val="baseline"/>
              <w:rPr>
                <w:kern w:val="0"/>
                <w:sz w:val="24"/>
                <w:szCs w:val="20"/>
              </w:rPr>
            </w:pPr>
            <w:r>
              <w:rPr>
                <w:kern w:val="0"/>
                <w:sz w:val="24"/>
                <w:szCs w:val="20"/>
              </w:rPr>
              <w:t>（4）污泥</w:t>
            </w:r>
          </w:p>
          <w:p>
            <w:pPr>
              <w:adjustRightInd w:val="0"/>
              <w:spacing w:line="360" w:lineRule="auto"/>
              <w:ind w:firstLine="505"/>
              <w:textAlignment w:val="baseline"/>
              <w:rPr>
                <w:kern w:val="0"/>
                <w:sz w:val="24"/>
                <w:szCs w:val="20"/>
              </w:rPr>
            </w:pPr>
            <w:r>
              <w:rPr>
                <w:kern w:val="0"/>
                <w:sz w:val="24"/>
                <w:szCs w:val="20"/>
              </w:rPr>
              <w:t>本项目污泥主要为生化处理后从污泥浓缩工段排出的剩余污泥。根据《排污许可证申请与核发技术规范－水处理（试行）》（HJ978-2018），污泥产生量按下式计算：</w:t>
            </w:r>
          </w:p>
          <w:p>
            <w:pPr>
              <w:adjustRightInd w:val="0"/>
              <w:spacing w:line="360" w:lineRule="auto"/>
              <w:ind w:firstLine="505"/>
              <w:jc w:val="center"/>
              <w:textAlignment w:val="baseline"/>
              <w:rPr>
                <w:kern w:val="0"/>
                <w:sz w:val="24"/>
                <w:szCs w:val="20"/>
              </w:rPr>
            </w:pPr>
            <w:r>
              <w:rPr>
                <w:kern w:val="0"/>
                <w:sz w:val="24"/>
                <w:szCs w:val="20"/>
              </w:rPr>
              <w:t>E</w:t>
            </w:r>
            <w:r>
              <w:rPr>
                <w:kern w:val="0"/>
                <w:sz w:val="24"/>
                <w:szCs w:val="20"/>
                <w:vertAlign w:val="subscript"/>
              </w:rPr>
              <w:t>产生量</w:t>
            </w:r>
            <w:r>
              <w:rPr>
                <w:kern w:val="0"/>
                <w:sz w:val="24"/>
                <w:szCs w:val="20"/>
              </w:rPr>
              <w:t>=1.7×Q×W</w:t>
            </w:r>
            <w:r>
              <w:rPr>
                <w:kern w:val="0"/>
                <w:sz w:val="24"/>
                <w:szCs w:val="20"/>
                <w:vertAlign w:val="subscript"/>
              </w:rPr>
              <w:t>深</w:t>
            </w:r>
            <w:r>
              <w:rPr>
                <w:kern w:val="0"/>
                <w:sz w:val="24"/>
                <w:szCs w:val="20"/>
              </w:rPr>
              <w:t>×10</w:t>
            </w:r>
            <w:r>
              <w:rPr>
                <w:kern w:val="0"/>
                <w:sz w:val="24"/>
                <w:szCs w:val="20"/>
                <w:vertAlign w:val="superscript"/>
              </w:rPr>
              <w:t>-4</w:t>
            </w:r>
          </w:p>
          <w:p>
            <w:pPr>
              <w:adjustRightInd w:val="0"/>
              <w:spacing w:line="360" w:lineRule="auto"/>
              <w:ind w:firstLine="505"/>
              <w:textAlignment w:val="baseline"/>
              <w:rPr>
                <w:kern w:val="0"/>
                <w:sz w:val="24"/>
                <w:szCs w:val="20"/>
              </w:rPr>
            </w:pPr>
            <w:r>
              <w:rPr>
                <w:kern w:val="0"/>
                <w:sz w:val="24"/>
                <w:szCs w:val="20"/>
              </w:rPr>
              <w:t>式中：E产生量—污水处理过程中产生的污泥量，以干泥计，t；</w:t>
            </w:r>
          </w:p>
          <w:p>
            <w:pPr>
              <w:adjustRightInd w:val="0"/>
              <w:spacing w:line="360" w:lineRule="auto"/>
              <w:ind w:firstLine="1200" w:firstLineChars="500"/>
              <w:textAlignment w:val="baseline"/>
              <w:rPr>
                <w:kern w:val="0"/>
                <w:sz w:val="24"/>
                <w:szCs w:val="20"/>
              </w:rPr>
            </w:pPr>
            <w:r>
              <w:rPr>
                <w:kern w:val="0"/>
                <w:sz w:val="24"/>
                <w:szCs w:val="20"/>
              </w:rPr>
              <w:t>Q—核算时段内排污单位废水排放量，m</w:t>
            </w:r>
            <w:r>
              <w:rPr>
                <w:kern w:val="0"/>
                <w:sz w:val="24"/>
                <w:szCs w:val="20"/>
                <w:vertAlign w:val="superscript"/>
              </w:rPr>
              <w:t>3</w:t>
            </w:r>
            <w:r>
              <w:rPr>
                <w:kern w:val="0"/>
                <w:sz w:val="24"/>
                <w:szCs w:val="20"/>
              </w:rPr>
              <w:t>，具有有效出水口实测值按实测值计，无有效出水口实测值按进水口实测值计，无有效进水口实测值按协议进水水量计；</w:t>
            </w:r>
          </w:p>
          <w:p>
            <w:pPr>
              <w:adjustRightInd w:val="0"/>
              <w:spacing w:line="360" w:lineRule="auto"/>
              <w:ind w:firstLine="1200" w:firstLineChars="500"/>
              <w:textAlignment w:val="baseline"/>
              <w:rPr>
                <w:kern w:val="0"/>
                <w:sz w:val="24"/>
                <w:szCs w:val="20"/>
              </w:rPr>
            </w:pPr>
            <w:r>
              <w:rPr>
                <w:kern w:val="0"/>
                <w:sz w:val="24"/>
                <w:szCs w:val="20"/>
              </w:rPr>
              <w:t>W深—有深度处理工艺（添加化学药剂）时按2计，无深度处理工艺时按1计，量纲一。</w:t>
            </w:r>
          </w:p>
          <w:p>
            <w:pPr>
              <w:adjustRightInd w:val="0"/>
              <w:spacing w:line="360" w:lineRule="auto"/>
              <w:ind w:firstLine="505"/>
              <w:textAlignment w:val="baseline"/>
              <w:rPr>
                <w:kern w:val="0"/>
                <w:sz w:val="24"/>
                <w:szCs w:val="20"/>
              </w:rPr>
            </w:pPr>
            <w:r>
              <w:rPr>
                <w:kern w:val="0"/>
                <w:sz w:val="24"/>
                <w:szCs w:val="20"/>
              </w:rPr>
              <w:t>污水处理厂原处理能力1000m</w:t>
            </w:r>
            <w:r>
              <w:rPr>
                <w:kern w:val="0"/>
                <w:sz w:val="24"/>
                <w:szCs w:val="20"/>
                <w:vertAlign w:val="superscript"/>
              </w:rPr>
              <w:t>3</w:t>
            </w:r>
            <w:r>
              <w:rPr>
                <w:kern w:val="0"/>
                <w:sz w:val="24"/>
                <w:szCs w:val="20"/>
              </w:rPr>
              <w:t>/d，污泥产量为0.34t/d，改扩建后污水处理厂处理能力1500m</w:t>
            </w:r>
            <w:r>
              <w:rPr>
                <w:kern w:val="0"/>
                <w:sz w:val="24"/>
                <w:szCs w:val="20"/>
                <w:vertAlign w:val="superscript"/>
              </w:rPr>
              <w:t>3</w:t>
            </w:r>
            <w:r>
              <w:rPr>
                <w:kern w:val="0"/>
                <w:sz w:val="24"/>
                <w:szCs w:val="20"/>
              </w:rPr>
              <w:t>/d，则污泥总产生量为0.51t/d（186.15t/a），根据同类型项目，污泥含水率约为98%，污泥经叠螺压滤机脱水收集处理，脱水后污泥含水量不大于60%。含水率以60%计，则污泥产量为0.0255t/d（9.3075t/a）。脱水后交由渠县万晟同新环保科技有限公司处理。</w:t>
            </w:r>
          </w:p>
          <w:p>
            <w:pPr>
              <w:spacing w:line="360" w:lineRule="auto"/>
              <w:ind w:firstLine="480" w:firstLineChars="200"/>
              <w:rPr>
                <w:sz w:val="24"/>
              </w:rPr>
            </w:pPr>
            <w:r>
              <w:rPr>
                <w:sz w:val="24"/>
              </w:rPr>
              <w:t>根据《城镇污水处理厂污泥处理处置技术规范》和《四川省城镇生活污水处理厂污泥处理处置技术指引（试行）》的要求，将污泥对环境的影响减至最小化。其相关要求具体如下。</w:t>
            </w:r>
          </w:p>
          <w:p>
            <w:pPr>
              <w:spacing w:line="360" w:lineRule="auto"/>
              <w:ind w:firstLine="482" w:firstLineChars="200"/>
              <w:rPr>
                <w:b/>
                <w:bCs/>
                <w:sz w:val="24"/>
              </w:rPr>
            </w:pPr>
            <w:r>
              <w:rPr>
                <w:b/>
                <w:bCs/>
                <w:sz w:val="24"/>
              </w:rPr>
              <w:t>污泥运输与储存要求：</w:t>
            </w:r>
          </w:p>
          <w:p>
            <w:pPr>
              <w:spacing w:line="360" w:lineRule="auto"/>
              <w:ind w:firstLine="480" w:firstLineChars="200"/>
              <w:rPr>
                <w:sz w:val="24"/>
              </w:rPr>
            </w:pPr>
            <w:r>
              <w:rPr>
                <w:sz w:val="24"/>
              </w:rPr>
              <w:t>A.污泥运输应参照执行JT3130、《中华人民共和国道路运输条例》和《道路危险货物运输管理规定》的相关要求。污泥运输应采用陆路运输，禁止采用水路运输。</w:t>
            </w:r>
          </w:p>
          <w:p>
            <w:pPr>
              <w:spacing w:line="360" w:lineRule="auto"/>
              <w:ind w:firstLine="480" w:firstLineChars="200"/>
              <w:rPr>
                <w:sz w:val="24"/>
              </w:rPr>
            </w:pPr>
            <w:r>
              <w:rPr>
                <w:sz w:val="24"/>
              </w:rPr>
              <w:t>B.鼓励采用管道、密闭车辆和密闭驳船等方式运输污泥。运输过程中应进行全过程监控和管理，防止因暴露、洒落或滴漏造成的环境二次污染。严禁随意倾倒、偷排污泥。</w:t>
            </w:r>
          </w:p>
          <w:p>
            <w:pPr>
              <w:spacing w:line="360" w:lineRule="auto"/>
              <w:ind w:firstLine="480" w:firstLineChars="200"/>
              <w:rPr>
                <w:sz w:val="24"/>
              </w:rPr>
            </w:pPr>
            <w:r>
              <w:rPr>
                <w:sz w:val="24"/>
              </w:rPr>
              <w:t>C.污泥运输车辆应密封、防水、不渗漏，四周槽帮牢固可靠、无破损、挡板严密，在驶出装载现场前，应将车辆槽帮和车轮冲洗干净，车轮不得带泥行驶、不得沿途泄漏，运输时发现自身有泄漏的，应及时清扫干净。</w:t>
            </w:r>
          </w:p>
          <w:p>
            <w:pPr>
              <w:spacing w:line="360" w:lineRule="auto"/>
              <w:ind w:firstLine="480" w:firstLineChars="200"/>
              <w:rPr>
                <w:sz w:val="24"/>
              </w:rPr>
            </w:pPr>
            <w:r>
              <w:rPr>
                <w:sz w:val="24"/>
              </w:rPr>
              <w:t>D.运输车辆应按相关市政行政管理部门依法批准的运行线路、时间、装卸地点运输和卸倒。尽可能避开居民聚居点、水源保护区、名胜古迹、风景旅游区等环境敏感区。</w:t>
            </w:r>
          </w:p>
          <w:p>
            <w:pPr>
              <w:spacing w:line="360" w:lineRule="auto"/>
              <w:ind w:firstLine="480" w:firstLineChars="200"/>
              <w:rPr>
                <w:sz w:val="24"/>
              </w:rPr>
            </w:pPr>
            <w:r>
              <w:rPr>
                <w:sz w:val="24"/>
              </w:rPr>
              <w:t>E.运输过程中未经许可严禁将污泥在场外进行中转存放或堆放，严禁将污泥向环境中倾倒、丢弃、遗洒。污泥运输过程中不得进行中间装卸操作。</w:t>
            </w:r>
          </w:p>
          <w:p>
            <w:pPr>
              <w:spacing w:line="360" w:lineRule="auto"/>
              <w:ind w:firstLine="480" w:firstLineChars="200"/>
              <w:rPr>
                <w:sz w:val="24"/>
              </w:rPr>
            </w:pPr>
            <w:r>
              <w:rPr>
                <w:sz w:val="24"/>
              </w:rPr>
              <w:t>F.污泥贮存过程中应避免发生遗洒、泄漏、渗漏，严禁将污泥贮存在市政行政环境主管部门划定的污泥临时中转站和最终处置场所以外的地面水体、沿岸、山谷、洼地、池塘、河滩及溶洞等任何区域。</w:t>
            </w:r>
          </w:p>
          <w:p>
            <w:pPr>
              <w:spacing w:line="360" w:lineRule="auto"/>
              <w:ind w:firstLine="480" w:firstLineChars="200"/>
              <w:rPr>
                <w:sz w:val="24"/>
              </w:rPr>
            </w:pPr>
            <w:r>
              <w:rPr>
                <w:sz w:val="24"/>
              </w:rPr>
              <w:t>G.任何污泥均不能随意堆放。</w:t>
            </w:r>
          </w:p>
          <w:p>
            <w:pPr>
              <w:spacing w:line="360" w:lineRule="auto"/>
              <w:ind w:firstLine="482" w:firstLineChars="200"/>
              <w:rPr>
                <w:b/>
                <w:bCs/>
                <w:sz w:val="24"/>
              </w:rPr>
            </w:pPr>
            <w:r>
              <w:rPr>
                <w:b/>
                <w:bCs/>
                <w:sz w:val="24"/>
              </w:rPr>
              <w:t>污泥处理处置规划和建设要求：</w:t>
            </w:r>
          </w:p>
          <w:p>
            <w:pPr>
              <w:spacing w:line="360" w:lineRule="auto"/>
              <w:ind w:firstLine="480" w:firstLineChars="200"/>
              <w:rPr>
                <w:sz w:val="24"/>
              </w:rPr>
            </w:pPr>
            <w:r>
              <w:rPr>
                <w:sz w:val="24"/>
              </w:rPr>
              <w:t>A.现有污泥处置能力不能满足需求的城市和县城，要加快补齐设施缺口，建制镇与县城污泥处置应统筹考虑，处置设施宜相对集中设置。污泥处理处置规划应符合国土空间规划，并与当地环境卫生、园林绿化、土地利用、园林绿化、生态保护、水资源保护、产业发展等相关专业规划相协调。</w:t>
            </w:r>
          </w:p>
          <w:p>
            <w:pPr>
              <w:spacing w:line="360" w:lineRule="auto"/>
              <w:ind w:firstLine="480" w:firstLineChars="200"/>
              <w:rPr>
                <w:sz w:val="24"/>
              </w:rPr>
            </w:pPr>
            <w:r>
              <w:rPr>
                <w:sz w:val="24"/>
              </w:rPr>
              <w:t>B.地方人民政府应根据城镇生活污水处理厂的规划污泥产生量，合理确定污泥处理处置设施的规模；近期建设规模，应根据当前污水量和进水水质适度超前确定，充分发挥处理设施的投资和运行效益。</w:t>
            </w:r>
          </w:p>
          <w:p>
            <w:pPr>
              <w:spacing w:line="360" w:lineRule="auto"/>
              <w:ind w:firstLine="480" w:firstLineChars="200"/>
              <w:rPr>
                <w:sz w:val="24"/>
              </w:rPr>
            </w:pPr>
            <w:r>
              <w:rPr>
                <w:sz w:val="24"/>
              </w:rPr>
              <w:t>C.城镇生活污水处理厂新建、改建和扩建时，污泥处理处置设施应与污水处理设施同时规划、同时建设、同时投入运行。污泥处理必须满足污泥处置的要求，达不到规定要求的项目不得通过验收；目前污泥处理设施不满足处置要求的，应加快整改，确保污泥安全处置。</w:t>
            </w:r>
          </w:p>
          <w:p>
            <w:pPr>
              <w:spacing w:line="360" w:lineRule="auto"/>
              <w:ind w:firstLine="480" w:firstLineChars="200"/>
              <w:rPr>
                <w:sz w:val="24"/>
              </w:rPr>
            </w:pPr>
            <w:r>
              <w:rPr>
                <w:sz w:val="24"/>
              </w:rPr>
              <w:t>D.鼓励采用焚烧干化、热水解、厌氧消化、好氧发酵等方式进行无害化处理。鼓励采用污泥和餐厨、厨余废弃物共建处理设施方式，提升城市有机废弃物综合处置水平。开展协同处置污泥设施建设时，应充分考虑当地现有污泥处置设施运行情况及工艺使用情况。</w:t>
            </w:r>
          </w:p>
          <w:p>
            <w:pPr>
              <w:spacing w:line="360" w:lineRule="auto"/>
              <w:ind w:firstLine="480" w:firstLineChars="200"/>
              <w:rPr>
                <w:sz w:val="24"/>
              </w:rPr>
            </w:pPr>
            <w:r>
              <w:rPr>
                <w:sz w:val="24"/>
              </w:rPr>
              <w:t>E.在规划建设处理设施时，除作技术经济分析外，应重视碳排放评价。</w:t>
            </w:r>
          </w:p>
          <w:p>
            <w:pPr>
              <w:spacing w:line="360" w:lineRule="auto"/>
              <w:ind w:firstLine="482" w:firstLineChars="200"/>
              <w:rPr>
                <w:b/>
                <w:bCs/>
                <w:sz w:val="24"/>
              </w:rPr>
            </w:pPr>
            <w:r>
              <w:rPr>
                <w:b/>
                <w:bCs/>
                <w:sz w:val="24"/>
              </w:rPr>
              <w:t>污泥处理处置安全运行与监管：</w:t>
            </w:r>
          </w:p>
          <w:p>
            <w:pPr>
              <w:spacing w:line="360" w:lineRule="auto"/>
              <w:ind w:firstLine="480" w:firstLineChars="200"/>
              <w:rPr>
                <w:sz w:val="24"/>
              </w:rPr>
            </w:pPr>
            <w:r>
              <w:rPr>
                <w:sz w:val="24"/>
              </w:rPr>
              <w:t>A.地方相关主管部门应加强对污泥处理处置设施规划、建设和运行的监管。</w:t>
            </w:r>
          </w:p>
          <w:p>
            <w:pPr>
              <w:spacing w:line="360" w:lineRule="auto"/>
              <w:ind w:firstLine="480" w:firstLineChars="200"/>
              <w:rPr>
                <w:sz w:val="24"/>
              </w:rPr>
            </w:pPr>
            <w:r>
              <w:rPr>
                <w:sz w:val="24"/>
              </w:rPr>
              <w:t>污泥处理处置设施运营单位（以下简称运营单位）应保障污泥处理处置设施的安全稳定运行。</w:t>
            </w:r>
          </w:p>
          <w:p>
            <w:pPr>
              <w:spacing w:line="360" w:lineRule="auto"/>
              <w:ind w:firstLine="480" w:firstLineChars="200"/>
              <w:rPr>
                <w:sz w:val="24"/>
              </w:rPr>
            </w:pPr>
            <w:r>
              <w:rPr>
                <w:sz w:val="24"/>
              </w:rPr>
              <w:t>B.污泥处理处置运营单位应严格执行国家有关安全生产法律法规和管理规定，落实安全生产责任制；应执行国家相关职业卫生标准和规范，保证从业人员的卫生健康；应制定相关的应急处置预案，防止危及公共安全的事故发生。</w:t>
            </w:r>
          </w:p>
          <w:p>
            <w:pPr>
              <w:spacing w:line="360" w:lineRule="auto"/>
              <w:ind w:firstLine="480" w:firstLineChars="200"/>
              <w:rPr>
                <w:sz w:val="24"/>
              </w:rPr>
            </w:pPr>
            <w:r>
              <w:rPr>
                <w:sz w:val="24"/>
              </w:rPr>
              <w:t>C.污泥处理处置单位应建立完备的检测、记录、存档和报告制度，并对处理处置后的污泥及其副产物（污泥产品）的去向、用途、用量等进行跟踪、记录和报告，相关资料至少保存5年。</w:t>
            </w:r>
          </w:p>
          <w:p>
            <w:pPr>
              <w:spacing w:line="360" w:lineRule="auto"/>
              <w:ind w:firstLine="480" w:firstLineChars="200"/>
              <w:rPr>
                <w:sz w:val="24"/>
              </w:rPr>
            </w:pPr>
            <w:r>
              <w:rPr>
                <w:sz w:val="24"/>
              </w:rPr>
              <w:t>D.地方相关主管部门应按照各自的职责分工，对污泥土地利用、建材利用等处置方式进行监督和管理。污泥土地利用单位应委托具有相关资质的第三方机构，定期对污泥产品土地利用后的环境质量状况变化进行评价。污泥处理处置场所应禁止放养家畜、家禽。</w:t>
            </w:r>
          </w:p>
          <w:p>
            <w:pPr>
              <w:spacing w:line="360" w:lineRule="auto"/>
              <w:ind w:firstLine="480" w:firstLineChars="200"/>
              <w:rPr>
                <w:sz w:val="24"/>
              </w:rPr>
            </w:pPr>
            <w:r>
              <w:rPr>
                <w:sz w:val="24"/>
              </w:rPr>
              <w:t>E.城市环境卫生主管部门应加强对污泥处置的填埋场、焚烧厂的监督和管理。接收污泥的填埋场运营单位应按照国家相关标准和规范，定期对污泥泥质、填埋场场地的水、气、土壤等本底值及作业影响进行监测。污泥焚烧运营单位应按照国家相关标准和规范，定期对污泥性质、污泥量、排放废水、烟气、炉渣、飞灰等进行监测。污泥建材综合利用单位还需对污泥产品的性质和数量进行监测和记录。</w:t>
            </w:r>
          </w:p>
          <w:p>
            <w:pPr>
              <w:spacing w:line="360" w:lineRule="auto"/>
              <w:ind w:firstLine="482" w:firstLineChars="200"/>
              <w:rPr>
                <w:b/>
                <w:bCs/>
                <w:sz w:val="24"/>
              </w:rPr>
            </w:pPr>
            <w:r>
              <w:rPr>
                <w:b/>
                <w:bCs/>
                <w:sz w:val="24"/>
              </w:rPr>
              <w:t>污泥处理处置保障措施：</w:t>
            </w:r>
          </w:p>
          <w:p>
            <w:pPr>
              <w:spacing w:line="360" w:lineRule="auto"/>
              <w:ind w:firstLine="480" w:firstLineChars="200"/>
              <w:rPr>
                <w:sz w:val="24"/>
              </w:rPr>
            </w:pPr>
            <w:r>
              <w:rPr>
                <w:sz w:val="24"/>
              </w:rPr>
              <w:t>A.地方人民政府应按国家要求征收污水处理费，污水处理费应覆盖污泥处理处置运营成本。应通过财政补贴等途径保障污泥处理处置费用，确保污泥处理处置设施正常稳定运行。</w:t>
            </w:r>
          </w:p>
          <w:p>
            <w:pPr>
              <w:spacing w:line="360" w:lineRule="auto"/>
              <w:ind w:firstLine="480" w:firstLineChars="200"/>
              <w:rPr>
                <w:sz w:val="24"/>
              </w:rPr>
            </w:pPr>
            <w:r>
              <w:rPr>
                <w:sz w:val="24"/>
              </w:rPr>
              <w:t>B.各级政府应加大对污泥处理处置设施建设的资金投入，对于列入国家鼓励发展的污泥处理处置技术和设备，按规定给予财政和税收优惠；建立多元化投资和运营机制，鼓励通过特许经营等多种方式，引导社会资金参与污泥处理处置设施建设和运营。</w:t>
            </w:r>
          </w:p>
          <w:p>
            <w:pPr>
              <w:adjustRightInd w:val="0"/>
              <w:spacing w:line="360" w:lineRule="auto"/>
              <w:ind w:firstLine="505"/>
              <w:textAlignment w:val="baseline"/>
              <w:rPr>
                <w:b/>
                <w:bCs/>
                <w:kern w:val="0"/>
                <w:sz w:val="24"/>
                <w:szCs w:val="20"/>
              </w:rPr>
            </w:pPr>
            <w:r>
              <w:rPr>
                <w:b/>
                <w:bCs/>
                <w:kern w:val="0"/>
                <w:sz w:val="24"/>
                <w:szCs w:val="20"/>
              </w:rPr>
              <w:t>2、危险废物</w:t>
            </w:r>
          </w:p>
          <w:p>
            <w:pPr>
              <w:adjustRightInd w:val="0"/>
              <w:spacing w:line="360" w:lineRule="auto"/>
              <w:ind w:firstLine="505"/>
              <w:textAlignment w:val="baseline"/>
              <w:rPr>
                <w:b/>
                <w:bCs/>
                <w:kern w:val="0"/>
                <w:sz w:val="24"/>
                <w:szCs w:val="20"/>
              </w:rPr>
            </w:pPr>
            <w:r>
              <w:rPr>
                <w:b/>
                <w:bCs/>
                <w:kern w:val="0"/>
                <w:sz w:val="24"/>
                <w:szCs w:val="20"/>
              </w:rPr>
              <w:t>（1）在线监测废液（危险废物）</w:t>
            </w:r>
          </w:p>
          <w:p>
            <w:pPr>
              <w:adjustRightInd w:val="0"/>
              <w:spacing w:line="360" w:lineRule="auto"/>
              <w:ind w:firstLine="505"/>
              <w:textAlignment w:val="baseline"/>
              <w:rPr>
                <w:kern w:val="0"/>
                <w:sz w:val="24"/>
                <w:szCs w:val="20"/>
              </w:rPr>
            </w:pPr>
            <w:r>
              <w:rPr>
                <w:kern w:val="0"/>
                <w:sz w:val="24"/>
                <w:szCs w:val="20"/>
              </w:rPr>
              <w:t>本项目的在线监测设备及化验室在检测的过程中会产生检测废液，均为液态，根据已运行的原有工程资料，其产生量约为0.2t/a，本次依托现有在线监测设备，在线监测废液产生量不变；根据《国家危险废物名录》（2021年版），属于该目录中的“HW49-900-047-49”。在线监测废液采用专用塑料桶收集暂存于现有危废暂存间，定期交由成都兴蓉环保科技股份有限公司处置。</w:t>
            </w:r>
          </w:p>
          <w:p>
            <w:pPr>
              <w:adjustRightInd w:val="0"/>
              <w:spacing w:line="360" w:lineRule="auto"/>
              <w:ind w:firstLine="505"/>
              <w:textAlignment w:val="baseline"/>
              <w:rPr>
                <w:b/>
                <w:bCs/>
                <w:kern w:val="0"/>
                <w:sz w:val="24"/>
                <w:szCs w:val="20"/>
              </w:rPr>
            </w:pPr>
            <w:r>
              <w:rPr>
                <w:b/>
                <w:bCs/>
                <w:kern w:val="0"/>
                <w:sz w:val="24"/>
                <w:szCs w:val="20"/>
              </w:rPr>
              <w:t>（2）废机油、废含油手套</w:t>
            </w:r>
          </w:p>
          <w:p>
            <w:pPr>
              <w:adjustRightInd w:val="0"/>
              <w:spacing w:line="360" w:lineRule="auto"/>
              <w:ind w:firstLine="505"/>
              <w:textAlignment w:val="baseline"/>
              <w:rPr>
                <w:kern w:val="0"/>
                <w:sz w:val="24"/>
                <w:szCs w:val="20"/>
              </w:rPr>
            </w:pPr>
            <w:r>
              <w:rPr>
                <w:kern w:val="0"/>
                <w:sz w:val="24"/>
                <w:szCs w:val="20"/>
              </w:rPr>
              <w:t>项目在厂内进行机械设备维修，会产生少量的废机油及废含油手套。改扩建前废机油产量约为0.05t/a，废含油手套总产量约为0.005t/a。改扩建后废机油产量约为0.05t/a，废含油手套约为0.005t/a。废机油总产量为0.1t/a，废含油手套总产量为0.01t/a。</w:t>
            </w:r>
          </w:p>
          <w:p>
            <w:pPr>
              <w:adjustRightInd w:val="0"/>
              <w:spacing w:line="360" w:lineRule="auto"/>
              <w:ind w:firstLine="505"/>
              <w:textAlignment w:val="baseline"/>
              <w:rPr>
                <w:kern w:val="0"/>
                <w:sz w:val="24"/>
                <w:szCs w:val="20"/>
              </w:rPr>
            </w:pPr>
            <w:r>
              <w:rPr>
                <w:kern w:val="0"/>
                <w:sz w:val="24"/>
                <w:szCs w:val="20"/>
              </w:rPr>
              <w:t>废机油及废含油手套经收集后暂存于现有危废暂存间，定期交由成都兴蓉环保科技股份有限公司处置。</w:t>
            </w:r>
          </w:p>
          <w:p>
            <w:pPr>
              <w:adjustRightInd w:val="0"/>
              <w:spacing w:line="360" w:lineRule="auto"/>
              <w:ind w:firstLine="505"/>
              <w:textAlignment w:val="baseline"/>
              <w:rPr>
                <w:kern w:val="0"/>
                <w:sz w:val="24"/>
                <w:szCs w:val="20"/>
              </w:rPr>
            </w:pPr>
            <w:r>
              <w:rPr>
                <w:kern w:val="0"/>
                <w:sz w:val="24"/>
                <w:szCs w:val="20"/>
              </w:rPr>
              <w:t>本项目运行期产生的固体废物、产生量及处置方式见下表。</w:t>
            </w:r>
          </w:p>
          <w:p>
            <w:pPr>
              <w:adjustRightInd w:val="0"/>
              <w:jc w:val="center"/>
              <w:textAlignment w:val="baseline"/>
              <w:rPr>
                <w:rFonts w:eastAsia="黑体"/>
                <w:kern w:val="0"/>
                <w:sz w:val="24"/>
                <w:szCs w:val="20"/>
              </w:rPr>
            </w:pPr>
            <w:r>
              <w:rPr>
                <w:rFonts w:eastAsia="黑体"/>
                <w:kern w:val="0"/>
                <w:sz w:val="24"/>
                <w:szCs w:val="20"/>
              </w:rPr>
              <w:t>表4-17  项目固废产生、排放情况及处置措施</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432"/>
              <w:gridCol w:w="978"/>
              <w:gridCol w:w="839"/>
              <w:gridCol w:w="839"/>
              <w:gridCol w:w="631"/>
              <w:gridCol w:w="1045"/>
              <w:gridCol w:w="822"/>
              <w:gridCol w:w="631"/>
              <w:gridCol w:w="600"/>
              <w:gridCol w:w="161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256" w:type="pct"/>
                  <w:vMerge w:val="restart"/>
                  <w:shd w:val="clear" w:color="auto" w:fill="CCFFFF"/>
                  <w:noWrap w:val="0"/>
                  <w:vAlign w:val="center"/>
                </w:tcPr>
                <w:p>
                  <w:pPr>
                    <w:snapToGrid w:val="0"/>
                    <w:spacing w:line="300" w:lineRule="exact"/>
                    <w:jc w:val="center"/>
                    <w:rPr>
                      <w:b/>
                      <w:szCs w:val="21"/>
                    </w:rPr>
                  </w:pPr>
                  <w:r>
                    <w:rPr>
                      <w:b/>
                      <w:szCs w:val="21"/>
                    </w:rPr>
                    <w:t>序号</w:t>
                  </w:r>
                </w:p>
              </w:tc>
              <w:tc>
                <w:tcPr>
                  <w:tcW w:w="579" w:type="pct"/>
                  <w:vMerge w:val="restart"/>
                  <w:shd w:val="clear" w:color="auto" w:fill="CCFFFF"/>
                  <w:noWrap w:val="0"/>
                  <w:vAlign w:val="center"/>
                </w:tcPr>
                <w:p>
                  <w:pPr>
                    <w:snapToGrid w:val="0"/>
                    <w:spacing w:line="300" w:lineRule="exact"/>
                    <w:jc w:val="center"/>
                    <w:rPr>
                      <w:b/>
                      <w:szCs w:val="21"/>
                    </w:rPr>
                  </w:pPr>
                  <w:r>
                    <w:rPr>
                      <w:b/>
                      <w:szCs w:val="21"/>
                    </w:rPr>
                    <w:t>排放源</w:t>
                  </w:r>
                </w:p>
              </w:tc>
              <w:tc>
                <w:tcPr>
                  <w:tcW w:w="497" w:type="pct"/>
                  <w:vMerge w:val="restart"/>
                  <w:shd w:val="clear" w:color="auto" w:fill="CCFFFF"/>
                  <w:noWrap w:val="0"/>
                  <w:vAlign w:val="center"/>
                </w:tcPr>
                <w:p>
                  <w:pPr>
                    <w:snapToGrid w:val="0"/>
                    <w:spacing w:line="300" w:lineRule="exact"/>
                    <w:jc w:val="center"/>
                    <w:rPr>
                      <w:b/>
                      <w:szCs w:val="21"/>
                    </w:rPr>
                  </w:pPr>
                  <w:r>
                    <w:rPr>
                      <w:b/>
                      <w:szCs w:val="21"/>
                    </w:rPr>
                    <w:t>固废名称</w:t>
                  </w:r>
                </w:p>
              </w:tc>
              <w:tc>
                <w:tcPr>
                  <w:tcW w:w="871" w:type="pct"/>
                  <w:gridSpan w:val="2"/>
                  <w:shd w:val="clear" w:color="auto" w:fill="CCFFFF"/>
                  <w:noWrap w:val="0"/>
                  <w:vAlign w:val="center"/>
                </w:tcPr>
                <w:p>
                  <w:pPr>
                    <w:snapToGrid w:val="0"/>
                    <w:spacing w:line="300" w:lineRule="exact"/>
                    <w:jc w:val="center"/>
                    <w:rPr>
                      <w:b/>
                      <w:szCs w:val="21"/>
                    </w:rPr>
                  </w:pPr>
                  <w:r>
                    <w:rPr>
                      <w:b/>
                      <w:szCs w:val="21"/>
                    </w:rPr>
                    <w:t>产生情况</w:t>
                  </w:r>
                </w:p>
              </w:tc>
              <w:tc>
                <w:tcPr>
                  <w:tcW w:w="619" w:type="pct"/>
                  <w:vMerge w:val="restart"/>
                  <w:shd w:val="clear" w:color="auto" w:fill="CCFFFF"/>
                  <w:noWrap w:val="0"/>
                  <w:vAlign w:val="center"/>
                </w:tcPr>
                <w:p>
                  <w:pPr>
                    <w:snapToGrid w:val="0"/>
                    <w:spacing w:line="300" w:lineRule="exact"/>
                    <w:jc w:val="center"/>
                    <w:rPr>
                      <w:b/>
                      <w:szCs w:val="21"/>
                    </w:rPr>
                  </w:pPr>
                  <w:r>
                    <w:rPr>
                      <w:b/>
                      <w:szCs w:val="21"/>
                    </w:rPr>
                    <w:t>厂内处置措施</w:t>
                  </w:r>
                </w:p>
              </w:tc>
              <w:tc>
                <w:tcPr>
                  <w:tcW w:w="861" w:type="pct"/>
                  <w:gridSpan w:val="2"/>
                  <w:shd w:val="clear" w:color="auto" w:fill="CCFFFF"/>
                  <w:noWrap w:val="0"/>
                  <w:vAlign w:val="center"/>
                </w:tcPr>
                <w:p>
                  <w:pPr>
                    <w:snapToGrid w:val="0"/>
                    <w:spacing w:line="300" w:lineRule="exact"/>
                    <w:jc w:val="center"/>
                    <w:rPr>
                      <w:b/>
                      <w:szCs w:val="21"/>
                    </w:rPr>
                  </w:pPr>
                  <w:r>
                    <w:rPr>
                      <w:b/>
                      <w:szCs w:val="21"/>
                    </w:rPr>
                    <w:t>排放情况</w:t>
                  </w:r>
                </w:p>
              </w:tc>
              <w:tc>
                <w:tcPr>
                  <w:tcW w:w="355" w:type="pct"/>
                  <w:vMerge w:val="restart"/>
                  <w:shd w:val="clear" w:color="auto" w:fill="CCFFFF"/>
                  <w:noWrap w:val="0"/>
                  <w:vAlign w:val="center"/>
                </w:tcPr>
                <w:p>
                  <w:pPr>
                    <w:snapToGrid w:val="0"/>
                    <w:spacing w:line="300" w:lineRule="exact"/>
                    <w:jc w:val="center"/>
                    <w:rPr>
                      <w:b/>
                      <w:szCs w:val="21"/>
                    </w:rPr>
                  </w:pPr>
                  <w:r>
                    <w:rPr>
                      <w:b/>
                      <w:szCs w:val="21"/>
                    </w:rPr>
                    <w:t>危废类别</w:t>
                  </w:r>
                </w:p>
              </w:tc>
              <w:tc>
                <w:tcPr>
                  <w:tcW w:w="958" w:type="pct"/>
                  <w:vMerge w:val="restart"/>
                  <w:shd w:val="clear" w:color="auto" w:fill="CCFFFF"/>
                  <w:noWrap w:val="0"/>
                  <w:vAlign w:val="center"/>
                </w:tcPr>
                <w:p>
                  <w:pPr>
                    <w:snapToGrid w:val="0"/>
                    <w:spacing w:line="300" w:lineRule="exact"/>
                    <w:jc w:val="center"/>
                    <w:rPr>
                      <w:b/>
                      <w:szCs w:val="21"/>
                    </w:rPr>
                  </w:pPr>
                  <w:r>
                    <w:rPr>
                      <w:b/>
                      <w:szCs w:val="21"/>
                    </w:rPr>
                    <w:t>出厂去向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256" w:type="pct"/>
                  <w:vMerge w:val="continue"/>
                  <w:shd w:val="clear" w:color="auto" w:fill="auto"/>
                  <w:noWrap w:val="0"/>
                  <w:vAlign w:val="center"/>
                </w:tcPr>
                <w:p>
                  <w:pPr>
                    <w:snapToGrid w:val="0"/>
                    <w:spacing w:line="300" w:lineRule="exact"/>
                    <w:jc w:val="center"/>
                    <w:rPr>
                      <w:szCs w:val="21"/>
                    </w:rPr>
                  </w:pPr>
                </w:p>
              </w:tc>
              <w:tc>
                <w:tcPr>
                  <w:tcW w:w="579" w:type="pct"/>
                  <w:vMerge w:val="continue"/>
                  <w:shd w:val="clear" w:color="auto" w:fill="auto"/>
                  <w:noWrap w:val="0"/>
                  <w:vAlign w:val="center"/>
                </w:tcPr>
                <w:p>
                  <w:pPr>
                    <w:snapToGrid w:val="0"/>
                    <w:spacing w:line="300" w:lineRule="exact"/>
                    <w:jc w:val="center"/>
                    <w:rPr>
                      <w:szCs w:val="21"/>
                    </w:rPr>
                  </w:pPr>
                </w:p>
              </w:tc>
              <w:tc>
                <w:tcPr>
                  <w:tcW w:w="497" w:type="pct"/>
                  <w:vMerge w:val="continue"/>
                  <w:shd w:val="clear" w:color="auto" w:fill="auto"/>
                  <w:noWrap w:val="0"/>
                  <w:vAlign w:val="center"/>
                </w:tcPr>
                <w:p>
                  <w:pPr>
                    <w:snapToGrid w:val="0"/>
                    <w:spacing w:line="300" w:lineRule="exact"/>
                    <w:jc w:val="center"/>
                    <w:rPr>
                      <w:szCs w:val="21"/>
                    </w:rPr>
                  </w:pPr>
                </w:p>
              </w:tc>
              <w:tc>
                <w:tcPr>
                  <w:tcW w:w="497" w:type="pct"/>
                  <w:shd w:val="clear" w:color="auto" w:fill="CCFFFF"/>
                  <w:noWrap w:val="0"/>
                  <w:vAlign w:val="center"/>
                </w:tcPr>
                <w:p>
                  <w:pPr>
                    <w:snapToGrid w:val="0"/>
                    <w:spacing w:line="300" w:lineRule="exact"/>
                    <w:jc w:val="center"/>
                    <w:rPr>
                      <w:b/>
                      <w:szCs w:val="21"/>
                    </w:rPr>
                  </w:pPr>
                  <w:r>
                    <w:rPr>
                      <w:b/>
                      <w:szCs w:val="21"/>
                    </w:rPr>
                    <w:t>量t/a</w:t>
                  </w:r>
                </w:p>
              </w:tc>
              <w:tc>
                <w:tcPr>
                  <w:tcW w:w="374" w:type="pct"/>
                  <w:shd w:val="clear" w:color="auto" w:fill="CCFFFF"/>
                  <w:noWrap w:val="0"/>
                  <w:vAlign w:val="center"/>
                </w:tcPr>
                <w:p>
                  <w:pPr>
                    <w:snapToGrid w:val="0"/>
                    <w:spacing w:line="300" w:lineRule="exact"/>
                    <w:jc w:val="center"/>
                    <w:rPr>
                      <w:b/>
                      <w:szCs w:val="21"/>
                    </w:rPr>
                  </w:pPr>
                  <w:r>
                    <w:rPr>
                      <w:b/>
                      <w:szCs w:val="21"/>
                    </w:rPr>
                    <w:t>含水率</w:t>
                  </w:r>
                </w:p>
              </w:tc>
              <w:tc>
                <w:tcPr>
                  <w:tcW w:w="619" w:type="pct"/>
                  <w:vMerge w:val="continue"/>
                  <w:shd w:val="clear" w:color="auto" w:fill="CCFFFF"/>
                  <w:noWrap w:val="0"/>
                  <w:vAlign w:val="center"/>
                </w:tcPr>
                <w:p>
                  <w:pPr>
                    <w:snapToGrid w:val="0"/>
                    <w:spacing w:line="300" w:lineRule="exact"/>
                    <w:jc w:val="center"/>
                    <w:rPr>
                      <w:b/>
                      <w:szCs w:val="21"/>
                    </w:rPr>
                  </w:pPr>
                </w:p>
              </w:tc>
              <w:tc>
                <w:tcPr>
                  <w:tcW w:w="487" w:type="pct"/>
                  <w:shd w:val="clear" w:color="auto" w:fill="CCFFFF"/>
                  <w:noWrap w:val="0"/>
                  <w:vAlign w:val="center"/>
                </w:tcPr>
                <w:p>
                  <w:pPr>
                    <w:snapToGrid w:val="0"/>
                    <w:spacing w:line="300" w:lineRule="exact"/>
                    <w:jc w:val="center"/>
                    <w:rPr>
                      <w:b/>
                      <w:szCs w:val="21"/>
                    </w:rPr>
                  </w:pPr>
                  <w:r>
                    <w:rPr>
                      <w:b/>
                      <w:szCs w:val="21"/>
                    </w:rPr>
                    <w:t>量t/a</w:t>
                  </w:r>
                </w:p>
              </w:tc>
              <w:tc>
                <w:tcPr>
                  <w:tcW w:w="373" w:type="pct"/>
                  <w:shd w:val="clear" w:color="auto" w:fill="CCFFFF"/>
                  <w:noWrap w:val="0"/>
                  <w:vAlign w:val="center"/>
                </w:tcPr>
                <w:p>
                  <w:pPr>
                    <w:snapToGrid w:val="0"/>
                    <w:spacing w:line="300" w:lineRule="exact"/>
                    <w:jc w:val="center"/>
                    <w:rPr>
                      <w:b/>
                      <w:szCs w:val="21"/>
                    </w:rPr>
                  </w:pPr>
                  <w:r>
                    <w:rPr>
                      <w:b/>
                      <w:szCs w:val="21"/>
                    </w:rPr>
                    <w:t>含水率</w:t>
                  </w:r>
                </w:p>
              </w:tc>
              <w:tc>
                <w:tcPr>
                  <w:tcW w:w="355" w:type="pct"/>
                  <w:vMerge w:val="continue"/>
                  <w:noWrap w:val="0"/>
                  <w:vAlign w:val="center"/>
                </w:tcPr>
                <w:p>
                  <w:pPr>
                    <w:snapToGrid w:val="0"/>
                    <w:spacing w:line="300" w:lineRule="exact"/>
                    <w:jc w:val="center"/>
                    <w:rPr>
                      <w:szCs w:val="21"/>
                    </w:rPr>
                  </w:pPr>
                </w:p>
              </w:tc>
              <w:tc>
                <w:tcPr>
                  <w:tcW w:w="958" w:type="pct"/>
                  <w:vMerge w:val="continue"/>
                  <w:noWrap w:val="0"/>
                  <w:vAlign w:val="center"/>
                </w:tcPr>
                <w:p>
                  <w:pPr>
                    <w:snapToGrid w:val="0"/>
                    <w:spacing w:line="30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256" w:type="pct"/>
                  <w:noWrap w:val="0"/>
                  <w:vAlign w:val="center"/>
                </w:tcPr>
                <w:p>
                  <w:pPr>
                    <w:numPr>
                      <w:ilvl w:val="0"/>
                      <w:numId w:val="8"/>
                    </w:numPr>
                    <w:snapToGrid w:val="0"/>
                    <w:spacing w:line="300" w:lineRule="exact"/>
                    <w:jc w:val="center"/>
                    <w:rPr>
                      <w:szCs w:val="21"/>
                    </w:rPr>
                  </w:pPr>
                </w:p>
              </w:tc>
              <w:tc>
                <w:tcPr>
                  <w:tcW w:w="579" w:type="pct"/>
                  <w:tcBorders>
                    <w:top w:val="single" w:color="auto" w:sz="4" w:space="0"/>
                  </w:tcBorders>
                  <w:noWrap w:val="0"/>
                  <w:vAlign w:val="center"/>
                </w:tcPr>
                <w:p>
                  <w:pPr>
                    <w:snapToGrid w:val="0"/>
                    <w:spacing w:line="300" w:lineRule="exact"/>
                    <w:jc w:val="center"/>
                    <w:rPr>
                      <w:szCs w:val="21"/>
                    </w:rPr>
                  </w:pPr>
                  <w:r>
                    <w:rPr>
                      <w:szCs w:val="21"/>
                    </w:rPr>
                    <w:t>格栅</w:t>
                  </w:r>
                </w:p>
              </w:tc>
              <w:tc>
                <w:tcPr>
                  <w:tcW w:w="497" w:type="pct"/>
                  <w:tcBorders>
                    <w:top w:val="single" w:color="auto" w:sz="4" w:space="0"/>
                  </w:tcBorders>
                  <w:noWrap w:val="0"/>
                  <w:vAlign w:val="center"/>
                </w:tcPr>
                <w:p>
                  <w:pPr>
                    <w:snapToGrid w:val="0"/>
                    <w:spacing w:line="300" w:lineRule="exact"/>
                    <w:jc w:val="center"/>
                    <w:rPr>
                      <w:szCs w:val="21"/>
                    </w:rPr>
                  </w:pPr>
                  <w:r>
                    <w:rPr>
                      <w:szCs w:val="21"/>
                    </w:rPr>
                    <w:t>栅渣</w:t>
                  </w:r>
                </w:p>
              </w:tc>
              <w:tc>
                <w:tcPr>
                  <w:tcW w:w="497" w:type="pct"/>
                  <w:tcBorders>
                    <w:top w:val="single" w:color="auto" w:sz="4" w:space="0"/>
                  </w:tcBorders>
                  <w:noWrap w:val="0"/>
                  <w:vAlign w:val="center"/>
                </w:tcPr>
                <w:p>
                  <w:pPr>
                    <w:snapToGrid w:val="0"/>
                    <w:spacing w:line="300" w:lineRule="exact"/>
                    <w:jc w:val="center"/>
                    <w:rPr>
                      <w:szCs w:val="21"/>
                    </w:rPr>
                  </w:pPr>
                  <w:r>
                    <w:rPr>
                      <w:szCs w:val="21"/>
                    </w:rPr>
                    <w:t>52.56</w:t>
                  </w:r>
                </w:p>
              </w:tc>
              <w:tc>
                <w:tcPr>
                  <w:tcW w:w="374" w:type="pct"/>
                  <w:tcBorders>
                    <w:top w:val="single" w:color="auto" w:sz="4" w:space="0"/>
                  </w:tcBorders>
                  <w:noWrap w:val="0"/>
                  <w:vAlign w:val="center"/>
                </w:tcPr>
                <w:p>
                  <w:pPr>
                    <w:snapToGrid w:val="0"/>
                    <w:spacing w:line="300" w:lineRule="exact"/>
                    <w:jc w:val="center"/>
                    <w:rPr>
                      <w:szCs w:val="21"/>
                    </w:rPr>
                  </w:pPr>
                  <w:r>
                    <w:rPr>
                      <w:szCs w:val="21"/>
                    </w:rPr>
                    <w:t>80%</w:t>
                  </w:r>
                </w:p>
              </w:tc>
              <w:tc>
                <w:tcPr>
                  <w:tcW w:w="619" w:type="pct"/>
                  <w:tcBorders>
                    <w:top w:val="single" w:color="auto" w:sz="4" w:space="0"/>
                  </w:tcBorders>
                  <w:noWrap w:val="0"/>
                  <w:vAlign w:val="center"/>
                </w:tcPr>
                <w:p>
                  <w:pPr>
                    <w:snapToGrid w:val="0"/>
                    <w:spacing w:line="300" w:lineRule="exact"/>
                    <w:jc w:val="center"/>
                    <w:rPr>
                      <w:szCs w:val="21"/>
                    </w:rPr>
                  </w:pPr>
                  <w:r>
                    <w:rPr>
                      <w:szCs w:val="21"/>
                    </w:rPr>
                    <w:t>压榨打包</w:t>
                  </w:r>
                </w:p>
              </w:tc>
              <w:tc>
                <w:tcPr>
                  <w:tcW w:w="487" w:type="pct"/>
                  <w:tcBorders>
                    <w:top w:val="single" w:color="auto" w:sz="4" w:space="0"/>
                  </w:tcBorders>
                  <w:noWrap w:val="0"/>
                  <w:vAlign w:val="center"/>
                </w:tcPr>
                <w:p>
                  <w:pPr>
                    <w:snapToGrid w:val="0"/>
                    <w:spacing w:line="300" w:lineRule="exact"/>
                    <w:jc w:val="center"/>
                    <w:rPr>
                      <w:szCs w:val="21"/>
                    </w:rPr>
                  </w:pPr>
                  <w:r>
                    <w:rPr>
                      <w:szCs w:val="21"/>
                    </w:rPr>
                    <w:t>19.71</w:t>
                  </w:r>
                </w:p>
              </w:tc>
              <w:tc>
                <w:tcPr>
                  <w:tcW w:w="373" w:type="pct"/>
                  <w:tcBorders>
                    <w:top w:val="single" w:color="auto" w:sz="4" w:space="0"/>
                  </w:tcBorders>
                  <w:noWrap w:val="0"/>
                  <w:vAlign w:val="center"/>
                </w:tcPr>
                <w:p>
                  <w:pPr>
                    <w:snapToGrid w:val="0"/>
                    <w:spacing w:line="300" w:lineRule="exact"/>
                    <w:jc w:val="center"/>
                    <w:rPr>
                      <w:szCs w:val="21"/>
                    </w:rPr>
                  </w:pPr>
                  <w:r>
                    <w:rPr>
                      <w:szCs w:val="21"/>
                    </w:rPr>
                    <w:t>60%</w:t>
                  </w:r>
                </w:p>
              </w:tc>
              <w:tc>
                <w:tcPr>
                  <w:tcW w:w="355" w:type="pct"/>
                  <w:tcBorders>
                    <w:top w:val="single" w:color="auto" w:sz="4" w:space="0"/>
                  </w:tcBorders>
                  <w:noWrap w:val="0"/>
                  <w:vAlign w:val="center"/>
                </w:tcPr>
                <w:p>
                  <w:pPr>
                    <w:snapToGrid w:val="0"/>
                    <w:spacing w:line="300" w:lineRule="exact"/>
                    <w:jc w:val="center"/>
                    <w:rPr>
                      <w:szCs w:val="21"/>
                    </w:rPr>
                  </w:pPr>
                  <w:r>
                    <w:rPr>
                      <w:szCs w:val="21"/>
                    </w:rPr>
                    <w:t>一般废物</w:t>
                  </w:r>
                </w:p>
              </w:tc>
              <w:tc>
                <w:tcPr>
                  <w:tcW w:w="958" w:type="pct"/>
                  <w:vMerge w:val="restart"/>
                  <w:tcBorders>
                    <w:top w:val="single" w:color="auto" w:sz="4" w:space="0"/>
                  </w:tcBorders>
                  <w:noWrap w:val="0"/>
                  <w:vAlign w:val="center"/>
                </w:tcPr>
                <w:p>
                  <w:pPr>
                    <w:snapToGrid w:val="0"/>
                    <w:spacing w:line="300" w:lineRule="exact"/>
                    <w:jc w:val="center"/>
                    <w:rPr>
                      <w:szCs w:val="21"/>
                    </w:rPr>
                  </w:pPr>
                  <w:r>
                    <w:rPr>
                      <w:szCs w:val="21"/>
                    </w:rPr>
                    <w:t>交市政环卫部门清运处置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256" w:type="pct"/>
                  <w:noWrap w:val="0"/>
                  <w:vAlign w:val="center"/>
                </w:tcPr>
                <w:p>
                  <w:pPr>
                    <w:numPr>
                      <w:ilvl w:val="0"/>
                      <w:numId w:val="8"/>
                    </w:numPr>
                    <w:snapToGrid w:val="0"/>
                    <w:spacing w:line="300" w:lineRule="exact"/>
                    <w:jc w:val="center"/>
                    <w:rPr>
                      <w:szCs w:val="21"/>
                    </w:rPr>
                  </w:pPr>
                </w:p>
              </w:tc>
              <w:tc>
                <w:tcPr>
                  <w:tcW w:w="579" w:type="pct"/>
                  <w:noWrap w:val="0"/>
                  <w:vAlign w:val="center"/>
                </w:tcPr>
                <w:p>
                  <w:pPr>
                    <w:snapToGrid w:val="0"/>
                    <w:spacing w:line="300" w:lineRule="exact"/>
                    <w:jc w:val="center"/>
                    <w:rPr>
                      <w:szCs w:val="21"/>
                    </w:rPr>
                  </w:pPr>
                  <w:r>
                    <w:rPr>
                      <w:szCs w:val="21"/>
                    </w:rPr>
                    <w:t>初沉池</w:t>
                  </w:r>
                </w:p>
              </w:tc>
              <w:tc>
                <w:tcPr>
                  <w:tcW w:w="497" w:type="pct"/>
                  <w:noWrap w:val="0"/>
                  <w:vAlign w:val="center"/>
                </w:tcPr>
                <w:p>
                  <w:pPr>
                    <w:snapToGrid w:val="0"/>
                    <w:spacing w:line="300" w:lineRule="exact"/>
                    <w:jc w:val="center"/>
                    <w:rPr>
                      <w:szCs w:val="21"/>
                    </w:rPr>
                  </w:pPr>
                  <w:r>
                    <w:rPr>
                      <w:szCs w:val="21"/>
                    </w:rPr>
                    <w:t>砂粒</w:t>
                  </w:r>
                </w:p>
              </w:tc>
              <w:tc>
                <w:tcPr>
                  <w:tcW w:w="497" w:type="pct"/>
                  <w:noWrap w:val="0"/>
                  <w:vAlign w:val="center"/>
                </w:tcPr>
                <w:p>
                  <w:pPr>
                    <w:snapToGrid w:val="0"/>
                    <w:spacing w:line="300" w:lineRule="exact"/>
                    <w:jc w:val="center"/>
                    <w:rPr>
                      <w:szCs w:val="21"/>
                    </w:rPr>
                  </w:pPr>
                  <w:r>
                    <w:rPr>
                      <w:szCs w:val="21"/>
                    </w:rPr>
                    <w:t>24.6375</w:t>
                  </w:r>
                </w:p>
              </w:tc>
              <w:tc>
                <w:tcPr>
                  <w:tcW w:w="374" w:type="pct"/>
                  <w:noWrap w:val="0"/>
                  <w:vAlign w:val="center"/>
                </w:tcPr>
                <w:p>
                  <w:pPr>
                    <w:snapToGrid w:val="0"/>
                    <w:spacing w:line="300" w:lineRule="exact"/>
                    <w:jc w:val="center"/>
                    <w:rPr>
                      <w:szCs w:val="21"/>
                    </w:rPr>
                  </w:pPr>
                  <w:r>
                    <w:rPr>
                      <w:szCs w:val="21"/>
                    </w:rPr>
                    <w:t>95%</w:t>
                  </w:r>
                </w:p>
              </w:tc>
              <w:tc>
                <w:tcPr>
                  <w:tcW w:w="619" w:type="pct"/>
                  <w:noWrap w:val="0"/>
                  <w:vAlign w:val="center"/>
                </w:tcPr>
                <w:p>
                  <w:pPr>
                    <w:snapToGrid w:val="0"/>
                    <w:spacing w:line="300" w:lineRule="exact"/>
                    <w:jc w:val="center"/>
                    <w:rPr>
                      <w:szCs w:val="21"/>
                    </w:rPr>
                  </w:pPr>
                  <w:r>
                    <w:rPr>
                      <w:szCs w:val="21"/>
                    </w:rPr>
                    <w:t>砂水分离</w:t>
                  </w:r>
                </w:p>
              </w:tc>
              <w:tc>
                <w:tcPr>
                  <w:tcW w:w="487" w:type="pct"/>
                  <w:noWrap w:val="0"/>
                  <w:vAlign w:val="center"/>
                </w:tcPr>
                <w:p>
                  <w:pPr>
                    <w:snapToGrid w:val="0"/>
                    <w:spacing w:line="300" w:lineRule="exact"/>
                    <w:jc w:val="center"/>
                    <w:rPr>
                      <w:szCs w:val="21"/>
                    </w:rPr>
                  </w:pPr>
                  <w:r>
                    <w:rPr>
                      <w:szCs w:val="21"/>
                    </w:rPr>
                    <w:t>3.0797</w:t>
                  </w:r>
                </w:p>
              </w:tc>
              <w:tc>
                <w:tcPr>
                  <w:tcW w:w="373" w:type="pct"/>
                  <w:noWrap w:val="0"/>
                  <w:vAlign w:val="center"/>
                </w:tcPr>
                <w:p>
                  <w:pPr>
                    <w:snapToGrid w:val="0"/>
                    <w:spacing w:line="300" w:lineRule="exact"/>
                    <w:jc w:val="center"/>
                    <w:rPr>
                      <w:szCs w:val="21"/>
                    </w:rPr>
                  </w:pPr>
                  <w:r>
                    <w:rPr>
                      <w:szCs w:val="21"/>
                    </w:rPr>
                    <w:t>60%</w:t>
                  </w:r>
                </w:p>
              </w:tc>
              <w:tc>
                <w:tcPr>
                  <w:tcW w:w="355" w:type="pct"/>
                  <w:noWrap w:val="0"/>
                  <w:vAlign w:val="center"/>
                </w:tcPr>
                <w:p>
                  <w:pPr>
                    <w:snapToGrid w:val="0"/>
                    <w:spacing w:line="300" w:lineRule="exact"/>
                    <w:jc w:val="center"/>
                    <w:rPr>
                      <w:szCs w:val="21"/>
                    </w:rPr>
                  </w:pPr>
                  <w:r>
                    <w:rPr>
                      <w:szCs w:val="21"/>
                    </w:rPr>
                    <w:t>一般废物</w:t>
                  </w:r>
                </w:p>
              </w:tc>
              <w:tc>
                <w:tcPr>
                  <w:tcW w:w="958" w:type="pct"/>
                  <w:vMerge w:val="continue"/>
                  <w:noWrap w:val="0"/>
                  <w:vAlign w:val="center"/>
                </w:tcPr>
                <w:p>
                  <w:pPr>
                    <w:snapToGrid w:val="0"/>
                    <w:spacing w:line="30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256" w:type="pct"/>
                  <w:noWrap w:val="0"/>
                  <w:vAlign w:val="center"/>
                </w:tcPr>
                <w:p>
                  <w:pPr>
                    <w:numPr>
                      <w:ilvl w:val="0"/>
                      <w:numId w:val="8"/>
                    </w:numPr>
                    <w:snapToGrid w:val="0"/>
                    <w:spacing w:line="300" w:lineRule="exact"/>
                    <w:jc w:val="center"/>
                    <w:rPr>
                      <w:szCs w:val="21"/>
                    </w:rPr>
                  </w:pPr>
                </w:p>
              </w:tc>
              <w:tc>
                <w:tcPr>
                  <w:tcW w:w="579" w:type="pct"/>
                  <w:noWrap w:val="0"/>
                  <w:vAlign w:val="center"/>
                </w:tcPr>
                <w:p>
                  <w:pPr>
                    <w:snapToGrid w:val="0"/>
                    <w:spacing w:line="300" w:lineRule="exact"/>
                    <w:jc w:val="center"/>
                    <w:rPr>
                      <w:szCs w:val="21"/>
                    </w:rPr>
                  </w:pPr>
                  <w:r>
                    <w:rPr>
                      <w:szCs w:val="21"/>
                    </w:rPr>
                    <w:t>污泥浓缩工段</w:t>
                  </w:r>
                </w:p>
              </w:tc>
              <w:tc>
                <w:tcPr>
                  <w:tcW w:w="497" w:type="pct"/>
                  <w:noWrap w:val="0"/>
                  <w:vAlign w:val="center"/>
                </w:tcPr>
                <w:p>
                  <w:pPr>
                    <w:snapToGrid w:val="0"/>
                    <w:spacing w:line="300" w:lineRule="exact"/>
                    <w:jc w:val="center"/>
                    <w:rPr>
                      <w:szCs w:val="21"/>
                    </w:rPr>
                  </w:pPr>
                  <w:r>
                    <w:rPr>
                      <w:szCs w:val="21"/>
                    </w:rPr>
                    <w:t>剩余污泥</w:t>
                  </w:r>
                </w:p>
              </w:tc>
              <w:tc>
                <w:tcPr>
                  <w:tcW w:w="497" w:type="pct"/>
                  <w:noWrap w:val="0"/>
                  <w:vAlign w:val="center"/>
                </w:tcPr>
                <w:p>
                  <w:pPr>
                    <w:snapToGrid w:val="0"/>
                    <w:spacing w:line="300" w:lineRule="exact"/>
                    <w:jc w:val="center"/>
                    <w:rPr>
                      <w:szCs w:val="21"/>
                    </w:rPr>
                  </w:pPr>
                  <w:r>
                    <w:rPr>
                      <w:szCs w:val="21"/>
                    </w:rPr>
                    <w:t>186.15</w:t>
                  </w:r>
                </w:p>
              </w:tc>
              <w:tc>
                <w:tcPr>
                  <w:tcW w:w="374" w:type="pct"/>
                  <w:noWrap w:val="0"/>
                  <w:vAlign w:val="center"/>
                </w:tcPr>
                <w:p>
                  <w:pPr>
                    <w:snapToGrid w:val="0"/>
                    <w:spacing w:line="300" w:lineRule="exact"/>
                    <w:jc w:val="center"/>
                    <w:rPr>
                      <w:szCs w:val="21"/>
                    </w:rPr>
                  </w:pPr>
                  <w:r>
                    <w:rPr>
                      <w:szCs w:val="21"/>
                    </w:rPr>
                    <w:t>97%</w:t>
                  </w:r>
                </w:p>
              </w:tc>
              <w:tc>
                <w:tcPr>
                  <w:tcW w:w="619" w:type="pct"/>
                  <w:noWrap w:val="0"/>
                  <w:vAlign w:val="center"/>
                </w:tcPr>
                <w:p>
                  <w:pPr>
                    <w:snapToGrid w:val="0"/>
                    <w:spacing w:line="300" w:lineRule="exact"/>
                    <w:jc w:val="center"/>
                    <w:rPr>
                      <w:szCs w:val="21"/>
                    </w:rPr>
                  </w:pPr>
                  <w:r>
                    <w:rPr>
                      <w:spacing w:val="-18"/>
                      <w:szCs w:val="21"/>
                    </w:rPr>
                    <w:t>脱水，</w:t>
                  </w:r>
                  <w:r>
                    <w:rPr>
                      <w:szCs w:val="21"/>
                    </w:rPr>
                    <w:t>污泥料仓暂存</w:t>
                  </w:r>
                </w:p>
              </w:tc>
              <w:tc>
                <w:tcPr>
                  <w:tcW w:w="487" w:type="pct"/>
                  <w:noWrap w:val="0"/>
                  <w:vAlign w:val="center"/>
                </w:tcPr>
                <w:p>
                  <w:pPr>
                    <w:snapToGrid w:val="0"/>
                    <w:spacing w:line="300" w:lineRule="exact"/>
                    <w:jc w:val="center"/>
                    <w:rPr>
                      <w:szCs w:val="21"/>
                    </w:rPr>
                  </w:pPr>
                  <w:r>
                    <w:rPr>
                      <w:szCs w:val="21"/>
                    </w:rPr>
                    <w:t>9.3075</w:t>
                  </w:r>
                </w:p>
              </w:tc>
              <w:tc>
                <w:tcPr>
                  <w:tcW w:w="373" w:type="pct"/>
                  <w:noWrap w:val="0"/>
                  <w:vAlign w:val="center"/>
                </w:tcPr>
                <w:p>
                  <w:pPr>
                    <w:snapToGrid w:val="0"/>
                    <w:spacing w:line="300" w:lineRule="exact"/>
                    <w:jc w:val="center"/>
                    <w:rPr>
                      <w:szCs w:val="21"/>
                    </w:rPr>
                  </w:pPr>
                  <w:r>
                    <w:rPr>
                      <w:szCs w:val="21"/>
                    </w:rPr>
                    <w:t>60%</w:t>
                  </w:r>
                </w:p>
              </w:tc>
              <w:tc>
                <w:tcPr>
                  <w:tcW w:w="355" w:type="pct"/>
                  <w:noWrap w:val="0"/>
                  <w:vAlign w:val="center"/>
                </w:tcPr>
                <w:p>
                  <w:pPr>
                    <w:snapToGrid w:val="0"/>
                    <w:spacing w:line="300" w:lineRule="exact"/>
                    <w:jc w:val="center"/>
                    <w:rPr>
                      <w:szCs w:val="21"/>
                    </w:rPr>
                  </w:pPr>
                  <w:r>
                    <w:rPr>
                      <w:szCs w:val="21"/>
                    </w:rPr>
                    <w:t>一般固废</w:t>
                  </w:r>
                </w:p>
              </w:tc>
              <w:tc>
                <w:tcPr>
                  <w:tcW w:w="958" w:type="pct"/>
                  <w:noWrap w:val="0"/>
                  <w:vAlign w:val="center"/>
                </w:tcPr>
                <w:p>
                  <w:pPr>
                    <w:snapToGrid w:val="0"/>
                    <w:spacing w:line="300" w:lineRule="exact"/>
                    <w:jc w:val="center"/>
                    <w:rPr>
                      <w:szCs w:val="21"/>
                    </w:rPr>
                  </w:pPr>
                  <w:r>
                    <w:rPr>
                      <w:szCs w:val="21"/>
                    </w:rPr>
                    <w:t>委托渠县万晟同新环保科技有限公司进行无害化处置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256" w:type="pct"/>
                  <w:noWrap w:val="0"/>
                  <w:vAlign w:val="center"/>
                </w:tcPr>
                <w:p>
                  <w:pPr>
                    <w:numPr>
                      <w:ilvl w:val="0"/>
                      <w:numId w:val="8"/>
                    </w:numPr>
                    <w:snapToGrid w:val="0"/>
                    <w:spacing w:line="300" w:lineRule="exact"/>
                    <w:jc w:val="center"/>
                    <w:rPr>
                      <w:szCs w:val="21"/>
                    </w:rPr>
                  </w:pPr>
                </w:p>
              </w:tc>
              <w:tc>
                <w:tcPr>
                  <w:tcW w:w="579" w:type="pct"/>
                  <w:noWrap w:val="0"/>
                  <w:vAlign w:val="center"/>
                </w:tcPr>
                <w:p>
                  <w:pPr>
                    <w:snapToGrid w:val="0"/>
                    <w:spacing w:line="300" w:lineRule="exact"/>
                    <w:jc w:val="center"/>
                    <w:rPr>
                      <w:szCs w:val="21"/>
                    </w:rPr>
                  </w:pPr>
                  <w:r>
                    <w:rPr>
                      <w:szCs w:val="21"/>
                    </w:rPr>
                    <w:t>厂区员工生活</w:t>
                  </w:r>
                </w:p>
              </w:tc>
              <w:tc>
                <w:tcPr>
                  <w:tcW w:w="497" w:type="pct"/>
                  <w:noWrap w:val="0"/>
                  <w:vAlign w:val="center"/>
                </w:tcPr>
                <w:p>
                  <w:pPr>
                    <w:snapToGrid w:val="0"/>
                    <w:spacing w:line="300" w:lineRule="exact"/>
                    <w:jc w:val="center"/>
                    <w:rPr>
                      <w:szCs w:val="21"/>
                    </w:rPr>
                  </w:pPr>
                  <w:r>
                    <w:rPr>
                      <w:szCs w:val="21"/>
                    </w:rPr>
                    <w:t>生活垃圾</w:t>
                  </w:r>
                </w:p>
              </w:tc>
              <w:tc>
                <w:tcPr>
                  <w:tcW w:w="497" w:type="pct"/>
                  <w:noWrap w:val="0"/>
                  <w:vAlign w:val="center"/>
                </w:tcPr>
                <w:p>
                  <w:pPr>
                    <w:snapToGrid w:val="0"/>
                    <w:spacing w:line="300" w:lineRule="exact"/>
                    <w:jc w:val="center"/>
                    <w:rPr>
                      <w:szCs w:val="21"/>
                    </w:rPr>
                  </w:pPr>
                  <w:r>
                    <w:rPr>
                      <w:szCs w:val="21"/>
                    </w:rPr>
                    <w:t>0.5475</w:t>
                  </w:r>
                </w:p>
              </w:tc>
              <w:tc>
                <w:tcPr>
                  <w:tcW w:w="374" w:type="pct"/>
                  <w:noWrap w:val="0"/>
                  <w:vAlign w:val="center"/>
                </w:tcPr>
                <w:p>
                  <w:pPr>
                    <w:snapToGrid w:val="0"/>
                    <w:spacing w:line="300" w:lineRule="exact"/>
                    <w:jc w:val="center"/>
                    <w:rPr>
                      <w:szCs w:val="21"/>
                    </w:rPr>
                  </w:pPr>
                  <w:r>
                    <w:rPr>
                      <w:szCs w:val="21"/>
                    </w:rPr>
                    <w:t>/</w:t>
                  </w:r>
                </w:p>
              </w:tc>
              <w:tc>
                <w:tcPr>
                  <w:tcW w:w="619" w:type="pct"/>
                  <w:noWrap w:val="0"/>
                  <w:vAlign w:val="center"/>
                </w:tcPr>
                <w:p>
                  <w:pPr>
                    <w:snapToGrid w:val="0"/>
                    <w:spacing w:line="300" w:lineRule="exact"/>
                    <w:jc w:val="center"/>
                    <w:rPr>
                      <w:szCs w:val="21"/>
                    </w:rPr>
                  </w:pPr>
                  <w:r>
                    <w:rPr>
                      <w:szCs w:val="21"/>
                    </w:rPr>
                    <w:t>合理暂存</w:t>
                  </w:r>
                </w:p>
              </w:tc>
              <w:tc>
                <w:tcPr>
                  <w:tcW w:w="487" w:type="pct"/>
                  <w:noWrap w:val="0"/>
                  <w:vAlign w:val="center"/>
                </w:tcPr>
                <w:p>
                  <w:pPr>
                    <w:snapToGrid w:val="0"/>
                    <w:spacing w:line="300" w:lineRule="exact"/>
                    <w:jc w:val="center"/>
                    <w:rPr>
                      <w:szCs w:val="21"/>
                    </w:rPr>
                  </w:pPr>
                  <w:r>
                    <w:rPr>
                      <w:szCs w:val="21"/>
                    </w:rPr>
                    <w:t>0.5475</w:t>
                  </w:r>
                </w:p>
              </w:tc>
              <w:tc>
                <w:tcPr>
                  <w:tcW w:w="373" w:type="pct"/>
                  <w:noWrap w:val="0"/>
                  <w:vAlign w:val="center"/>
                </w:tcPr>
                <w:p>
                  <w:pPr>
                    <w:snapToGrid w:val="0"/>
                    <w:spacing w:line="300" w:lineRule="exact"/>
                    <w:jc w:val="center"/>
                    <w:rPr>
                      <w:szCs w:val="21"/>
                    </w:rPr>
                  </w:pPr>
                  <w:r>
                    <w:rPr>
                      <w:szCs w:val="21"/>
                    </w:rPr>
                    <w:t>/</w:t>
                  </w:r>
                </w:p>
              </w:tc>
              <w:tc>
                <w:tcPr>
                  <w:tcW w:w="355" w:type="pct"/>
                  <w:noWrap w:val="0"/>
                  <w:vAlign w:val="center"/>
                </w:tcPr>
                <w:p>
                  <w:pPr>
                    <w:snapToGrid w:val="0"/>
                    <w:spacing w:line="300" w:lineRule="exact"/>
                    <w:jc w:val="center"/>
                    <w:rPr>
                      <w:szCs w:val="21"/>
                    </w:rPr>
                  </w:pPr>
                  <w:r>
                    <w:rPr>
                      <w:szCs w:val="21"/>
                    </w:rPr>
                    <w:t>生活垃圾</w:t>
                  </w:r>
                </w:p>
              </w:tc>
              <w:tc>
                <w:tcPr>
                  <w:tcW w:w="958" w:type="pct"/>
                  <w:noWrap w:val="0"/>
                  <w:vAlign w:val="center"/>
                </w:tcPr>
                <w:p>
                  <w:pPr>
                    <w:snapToGrid w:val="0"/>
                    <w:spacing w:line="300" w:lineRule="exact"/>
                    <w:jc w:val="center"/>
                    <w:rPr>
                      <w:szCs w:val="21"/>
                    </w:rPr>
                  </w:pPr>
                  <w:r>
                    <w:rPr>
                      <w:szCs w:val="21"/>
                    </w:rPr>
                    <w:t>生活垃圾由环卫部门定期收集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256" w:type="pct"/>
                  <w:noWrap w:val="0"/>
                  <w:vAlign w:val="center"/>
                </w:tcPr>
                <w:p>
                  <w:pPr>
                    <w:numPr>
                      <w:ilvl w:val="0"/>
                      <w:numId w:val="8"/>
                    </w:numPr>
                    <w:snapToGrid w:val="0"/>
                    <w:spacing w:line="300" w:lineRule="exact"/>
                    <w:jc w:val="center"/>
                    <w:rPr>
                      <w:szCs w:val="21"/>
                    </w:rPr>
                  </w:pPr>
                </w:p>
              </w:tc>
              <w:tc>
                <w:tcPr>
                  <w:tcW w:w="579" w:type="pct"/>
                  <w:noWrap w:val="0"/>
                  <w:vAlign w:val="center"/>
                </w:tcPr>
                <w:p>
                  <w:pPr>
                    <w:snapToGrid w:val="0"/>
                    <w:spacing w:line="300" w:lineRule="exact"/>
                    <w:jc w:val="center"/>
                    <w:rPr>
                      <w:szCs w:val="21"/>
                    </w:rPr>
                  </w:pPr>
                  <w:r>
                    <w:rPr>
                      <w:szCs w:val="21"/>
                    </w:rPr>
                    <w:t>在线监测间</w:t>
                  </w:r>
                </w:p>
              </w:tc>
              <w:tc>
                <w:tcPr>
                  <w:tcW w:w="497" w:type="pct"/>
                  <w:noWrap w:val="0"/>
                  <w:vAlign w:val="center"/>
                </w:tcPr>
                <w:p>
                  <w:pPr>
                    <w:snapToGrid w:val="0"/>
                    <w:spacing w:line="300" w:lineRule="exact"/>
                    <w:jc w:val="center"/>
                    <w:rPr>
                      <w:szCs w:val="21"/>
                    </w:rPr>
                  </w:pPr>
                  <w:r>
                    <w:rPr>
                      <w:szCs w:val="21"/>
                    </w:rPr>
                    <w:t>在线监测废液</w:t>
                  </w:r>
                </w:p>
              </w:tc>
              <w:tc>
                <w:tcPr>
                  <w:tcW w:w="497" w:type="pct"/>
                  <w:noWrap w:val="0"/>
                  <w:vAlign w:val="center"/>
                </w:tcPr>
                <w:p>
                  <w:pPr>
                    <w:snapToGrid w:val="0"/>
                    <w:spacing w:line="300" w:lineRule="exact"/>
                    <w:jc w:val="center"/>
                    <w:rPr>
                      <w:szCs w:val="21"/>
                    </w:rPr>
                  </w:pPr>
                  <w:r>
                    <w:rPr>
                      <w:szCs w:val="21"/>
                    </w:rPr>
                    <w:t>0.2</w:t>
                  </w:r>
                </w:p>
              </w:tc>
              <w:tc>
                <w:tcPr>
                  <w:tcW w:w="374" w:type="pct"/>
                  <w:noWrap w:val="0"/>
                  <w:vAlign w:val="center"/>
                </w:tcPr>
                <w:p>
                  <w:pPr>
                    <w:snapToGrid w:val="0"/>
                    <w:spacing w:line="300" w:lineRule="exact"/>
                    <w:jc w:val="center"/>
                    <w:rPr>
                      <w:szCs w:val="21"/>
                    </w:rPr>
                  </w:pPr>
                  <w:r>
                    <w:rPr>
                      <w:szCs w:val="21"/>
                    </w:rPr>
                    <w:t>/</w:t>
                  </w:r>
                </w:p>
              </w:tc>
              <w:tc>
                <w:tcPr>
                  <w:tcW w:w="619" w:type="pct"/>
                  <w:noWrap w:val="0"/>
                  <w:vAlign w:val="center"/>
                </w:tcPr>
                <w:p>
                  <w:pPr>
                    <w:snapToGrid w:val="0"/>
                    <w:spacing w:line="300" w:lineRule="exact"/>
                    <w:jc w:val="center"/>
                    <w:rPr>
                      <w:szCs w:val="21"/>
                    </w:rPr>
                  </w:pPr>
                  <w:r>
                    <w:rPr>
                      <w:szCs w:val="21"/>
                    </w:rPr>
                    <w:t>合理暂存</w:t>
                  </w:r>
                </w:p>
              </w:tc>
              <w:tc>
                <w:tcPr>
                  <w:tcW w:w="487" w:type="pct"/>
                  <w:noWrap w:val="0"/>
                  <w:vAlign w:val="center"/>
                </w:tcPr>
                <w:p>
                  <w:pPr>
                    <w:snapToGrid w:val="0"/>
                    <w:spacing w:line="300" w:lineRule="exact"/>
                    <w:jc w:val="center"/>
                    <w:rPr>
                      <w:szCs w:val="21"/>
                    </w:rPr>
                  </w:pPr>
                  <w:r>
                    <w:rPr>
                      <w:szCs w:val="21"/>
                    </w:rPr>
                    <w:t>0.2</w:t>
                  </w:r>
                </w:p>
              </w:tc>
              <w:tc>
                <w:tcPr>
                  <w:tcW w:w="373" w:type="pct"/>
                  <w:noWrap w:val="0"/>
                  <w:vAlign w:val="center"/>
                </w:tcPr>
                <w:p>
                  <w:pPr>
                    <w:snapToGrid w:val="0"/>
                    <w:spacing w:line="300" w:lineRule="exact"/>
                    <w:jc w:val="center"/>
                    <w:rPr>
                      <w:szCs w:val="21"/>
                    </w:rPr>
                  </w:pPr>
                  <w:r>
                    <w:rPr>
                      <w:szCs w:val="21"/>
                    </w:rPr>
                    <w:t>/</w:t>
                  </w:r>
                </w:p>
              </w:tc>
              <w:tc>
                <w:tcPr>
                  <w:tcW w:w="355" w:type="pct"/>
                  <w:noWrap w:val="0"/>
                  <w:vAlign w:val="center"/>
                </w:tcPr>
                <w:p>
                  <w:pPr>
                    <w:snapToGrid w:val="0"/>
                    <w:spacing w:line="300" w:lineRule="exact"/>
                    <w:jc w:val="center"/>
                    <w:rPr>
                      <w:szCs w:val="21"/>
                    </w:rPr>
                  </w:pPr>
                  <w:r>
                    <w:rPr>
                      <w:szCs w:val="21"/>
                    </w:rPr>
                    <w:t>危险废物</w:t>
                  </w:r>
                </w:p>
              </w:tc>
              <w:tc>
                <w:tcPr>
                  <w:tcW w:w="958" w:type="pct"/>
                  <w:vMerge w:val="restart"/>
                  <w:noWrap w:val="0"/>
                  <w:vAlign w:val="center"/>
                </w:tcPr>
                <w:p>
                  <w:pPr>
                    <w:snapToGrid w:val="0"/>
                    <w:spacing w:line="300" w:lineRule="exact"/>
                    <w:jc w:val="center"/>
                    <w:rPr>
                      <w:szCs w:val="21"/>
                    </w:rPr>
                  </w:pPr>
                  <w:r>
                    <w:rPr>
                      <w:szCs w:val="21"/>
                    </w:rPr>
                    <w:t>由有危险废物收集处理资质单位处理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256" w:type="pct"/>
                  <w:noWrap w:val="0"/>
                  <w:vAlign w:val="center"/>
                </w:tcPr>
                <w:p>
                  <w:pPr>
                    <w:numPr>
                      <w:ilvl w:val="0"/>
                      <w:numId w:val="8"/>
                    </w:numPr>
                    <w:snapToGrid w:val="0"/>
                    <w:spacing w:line="300" w:lineRule="exact"/>
                    <w:jc w:val="center"/>
                    <w:rPr>
                      <w:szCs w:val="21"/>
                    </w:rPr>
                  </w:pPr>
                </w:p>
              </w:tc>
              <w:tc>
                <w:tcPr>
                  <w:tcW w:w="579" w:type="pct"/>
                  <w:vMerge w:val="restart"/>
                  <w:noWrap w:val="0"/>
                  <w:vAlign w:val="center"/>
                </w:tcPr>
                <w:p>
                  <w:pPr>
                    <w:snapToGrid w:val="0"/>
                    <w:spacing w:line="300" w:lineRule="exact"/>
                    <w:jc w:val="center"/>
                    <w:rPr>
                      <w:szCs w:val="21"/>
                    </w:rPr>
                  </w:pPr>
                  <w:r>
                    <w:rPr>
                      <w:szCs w:val="21"/>
                    </w:rPr>
                    <w:t>机修</w:t>
                  </w:r>
                </w:p>
              </w:tc>
              <w:tc>
                <w:tcPr>
                  <w:tcW w:w="497" w:type="pct"/>
                  <w:noWrap w:val="0"/>
                  <w:vAlign w:val="center"/>
                </w:tcPr>
                <w:p>
                  <w:pPr>
                    <w:snapToGrid w:val="0"/>
                    <w:spacing w:line="300" w:lineRule="exact"/>
                    <w:jc w:val="center"/>
                    <w:rPr>
                      <w:szCs w:val="21"/>
                    </w:rPr>
                  </w:pPr>
                  <w:r>
                    <w:rPr>
                      <w:szCs w:val="21"/>
                    </w:rPr>
                    <w:t>废机油</w:t>
                  </w:r>
                </w:p>
              </w:tc>
              <w:tc>
                <w:tcPr>
                  <w:tcW w:w="497" w:type="pct"/>
                  <w:noWrap w:val="0"/>
                  <w:vAlign w:val="center"/>
                </w:tcPr>
                <w:p>
                  <w:pPr>
                    <w:snapToGrid w:val="0"/>
                    <w:spacing w:line="300" w:lineRule="exact"/>
                    <w:jc w:val="center"/>
                    <w:rPr>
                      <w:szCs w:val="21"/>
                    </w:rPr>
                  </w:pPr>
                  <w:r>
                    <w:rPr>
                      <w:szCs w:val="21"/>
                    </w:rPr>
                    <w:t>0.1</w:t>
                  </w:r>
                </w:p>
              </w:tc>
              <w:tc>
                <w:tcPr>
                  <w:tcW w:w="374" w:type="pct"/>
                  <w:noWrap w:val="0"/>
                  <w:vAlign w:val="center"/>
                </w:tcPr>
                <w:p>
                  <w:pPr>
                    <w:snapToGrid w:val="0"/>
                    <w:spacing w:line="300" w:lineRule="exact"/>
                    <w:jc w:val="center"/>
                    <w:rPr>
                      <w:szCs w:val="21"/>
                    </w:rPr>
                  </w:pPr>
                  <w:r>
                    <w:rPr>
                      <w:szCs w:val="21"/>
                    </w:rPr>
                    <w:t>/</w:t>
                  </w:r>
                </w:p>
              </w:tc>
              <w:tc>
                <w:tcPr>
                  <w:tcW w:w="619" w:type="pct"/>
                  <w:noWrap w:val="0"/>
                  <w:vAlign w:val="center"/>
                </w:tcPr>
                <w:p>
                  <w:pPr>
                    <w:snapToGrid w:val="0"/>
                    <w:spacing w:line="300" w:lineRule="exact"/>
                    <w:jc w:val="center"/>
                    <w:rPr>
                      <w:szCs w:val="21"/>
                    </w:rPr>
                  </w:pPr>
                  <w:r>
                    <w:rPr>
                      <w:szCs w:val="21"/>
                    </w:rPr>
                    <w:t>合理暂存</w:t>
                  </w:r>
                </w:p>
              </w:tc>
              <w:tc>
                <w:tcPr>
                  <w:tcW w:w="487" w:type="pct"/>
                  <w:noWrap w:val="0"/>
                  <w:vAlign w:val="center"/>
                </w:tcPr>
                <w:p>
                  <w:pPr>
                    <w:snapToGrid w:val="0"/>
                    <w:spacing w:line="300" w:lineRule="exact"/>
                    <w:jc w:val="center"/>
                    <w:rPr>
                      <w:szCs w:val="21"/>
                    </w:rPr>
                  </w:pPr>
                  <w:r>
                    <w:rPr>
                      <w:szCs w:val="21"/>
                    </w:rPr>
                    <w:t>0.1</w:t>
                  </w:r>
                </w:p>
              </w:tc>
              <w:tc>
                <w:tcPr>
                  <w:tcW w:w="373" w:type="pct"/>
                  <w:noWrap w:val="0"/>
                  <w:vAlign w:val="center"/>
                </w:tcPr>
                <w:p>
                  <w:pPr>
                    <w:snapToGrid w:val="0"/>
                    <w:spacing w:line="300" w:lineRule="exact"/>
                    <w:jc w:val="center"/>
                    <w:rPr>
                      <w:szCs w:val="21"/>
                    </w:rPr>
                  </w:pPr>
                  <w:r>
                    <w:rPr>
                      <w:szCs w:val="21"/>
                    </w:rPr>
                    <w:t>/</w:t>
                  </w:r>
                </w:p>
              </w:tc>
              <w:tc>
                <w:tcPr>
                  <w:tcW w:w="355" w:type="pct"/>
                  <w:noWrap w:val="0"/>
                  <w:vAlign w:val="center"/>
                </w:tcPr>
                <w:p>
                  <w:pPr>
                    <w:snapToGrid w:val="0"/>
                    <w:spacing w:line="300" w:lineRule="exact"/>
                    <w:jc w:val="center"/>
                    <w:rPr>
                      <w:szCs w:val="21"/>
                    </w:rPr>
                  </w:pPr>
                  <w:r>
                    <w:rPr>
                      <w:szCs w:val="21"/>
                    </w:rPr>
                    <w:t>危险废物</w:t>
                  </w:r>
                </w:p>
              </w:tc>
              <w:tc>
                <w:tcPr>
                  <w:tcW w:w="958" w:type="pct"/>
                  <w:vMerge w:val="continue"/>
                  <w:noWrap w:val="0"/>
                  <w:vAlign w:val="center"/>
                </w:tcPr>
                <w:p>
                  <w:pPr>
                    <w:snapToGrid w:val="0"/>
                    <w:spacing w:line="30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256" w:type="pct"/>
                  <w:noWrap w:val="0"/>
                  <w:vAlign w:val="center"/>
                </w:tcPr>
                <w:p>
                  <w:pPr>
                    <w:numPr>
                      <w:ilvl w:val="0"/>
                      <w:numId w:val="8"/>
                    </w:numPr>
                    <w:snapToGrid w:val="0"/>
                    <w:spacing w:line="300" w:lineRule="exact"/>
                    <w:jc w:val="center"/>
                    <w:rPr>
                      <w:szCs w:val="21"/>
                    </w:rPr>
                  </w:pPr>
                </w:p>
              </w:tc>
              <w:tc>
                <w:tcPr>
                  <w:tcW w:w="579" w:type="pct"/>
                  <w:vMerge w:val="continue"/>
                  <w:noWrap w:val="0"/>
                  <w:vAlign w:val="center"/>
                </w:tcPr>
                <w:p>
                  <w:pPr>
                    <w:snapToGrid w:val="0"/>
                    <w:spacing w:line="300" w:lineRule="exact"/>
                    <w:jc w:val="center"/>
                    <w:rPr>
                      <w:szCs w:val="21"/>
                    </w:rPr>
                  </w:pPr>
                </w:p>
              </w:tc>
              <w:tc>
                <w:tcPr>
                  <w:tcW w:w="497" w:type="pct"/>
                  <w:noWrap w:val="0"/>
                  <w:vAlign w:val="center"/>
                </w:tcPr>
                <w:p>
                  <w:pPr>
                    <w:snapToGrid w:val="0"/>
                    <w:spacing w:line="300" w:lineRule="exact"/>
                    <w:jc w:val="center"/>
                    <w:rPr>
                      <w:szCs w:val="21"/>
                    </w:rPr>
                  </w:pPr>
                  <w:r>
                    <w:rPr>
                      <w:szCs w:val="21"/>
                    </w:rPr>
                    <w:t>废含油棉纱、手套</w:t>
                  </w:r>
                </w:p>
              </w:tc>
              <w:tc>
                <w:tcPr>
                  <w:tcW w:w="497" w:type="pct"/>
                  <w:noWrap w:val="0"/>
                  <w:vAlign w:val="center"/>
                </w:tcPr>
                <w:p>
                  <w:pPr>
                    <w:snapToGrid w:val="0"/>
                    <w:spacing w:line="300" w:lineRule="exact"/>
                    <w:jc w:val="center"/>
                    <w:rPr>
                      <w:szCs w:val="21"/>
                    </w:rPr>
                  </w:pPr>
                  <w:r>
                    <w:rPr>
                      <w:szCs w:val="21"/>
                    </w:rPr>
                    <w:t>0.01</w:t>
                  </w:r>
                </w:p>
              </w:tc>
              <w:tc>
                <w:tcPr>
                  <w:tcW w:w="374" w:type="pct"/>
                  <w:noWrap w:val="0"/>
                  <w:vAlign w:val="center"/>
                </w:tcPr>
                <w:p>
                  <w:pPr>
                    <w:snapToGrid w:val="0"/>
                    <w:spacing w:line="300" w:lineRule="exact"/>
                    <w:jc w:val="center"/>
                    <w:rPr>
                      <w:szCs w:val="21"/>
                    </w:rPr>
                  </w:pPr>
                  <w:r>
                    <w:rPr>
                      <w:szCs w:val="21"/>
                    </w:rPr>
                    <w:t>/</w:t>
                  </w:r>
                </w:p>
              </w:tc>
              <w:tc>
                <w:tcPr>
                  <w:tcW w:w="619" w:type="pct"/>
                  <w:noWrap w:val="0"/>
                  <w:vAlign w:val="center"/>
                </w:tcPr>
                <w:p>
                  <w:pPr>
                    <w:snapToGrid w:val="0"/>
                    <w:spacing w:line="300" w:lineRule="exact"/>
                    <w:jc w:val="center"/>
                    <w:rPr>
                      <w:szCs w:val="21"/>
                    </w:rPr>
                  </w:pPr>
                  <w:r>
                    <w:rPr>
                      <w:szCs w:val="21"/>
                    </w:rPr>
                    <w:t>合理暂存</w:t>
                  </w:r>
                </w:p>
              </w:tc>
              <w:tc>
                <w:tcPr>
                  <w:tcW w:w="487" w:type="pct"/>
                  <w:noWrap w:val="0"/>
                  <w:vAlign w:val="center"/>
                </w:tcPr>
                <w:p>
                  <w:pPr>
                    <w:snapToGrid w:val="0"/>
                    <w:spacing w:line="300" w:lineRule="exact"/>
                    <w:jc w:val="center"/>
                    <w:rPr>
                      <w:szCs w:val="21"/>
                    </w:rPr>
                  </w:pPr>
                  <w:r>
                    <w:rPr>
                      <w:szCs w:val="21"/>
                    </w:rPr>
                    <w:t>0.01</w:t>
                  </w:r>
                </w:p>
              </w:tc>
              <w:tc>
                <w:tcPr>
                  <w:tcW w:w="373" w:type="pct"/>
                  <w:noWrap w:val="0"/>
                  <w:vAlign w:val="center"/>
                </w:tcPr>
                <w:p>
                  <w:pPr>
                    <w:snapToGrid w:val="0"/>
                    <w:spacing w:line="300" w:lineRule="exact"/>
                    <w:jc w:val="center"/>
                    <w:rPr>
                      <w:szCs w:val="21"/>
                    </w:rPr>
                  </w:pPr>
                  <w:r>
                    <w:rPr>
                      <w:szCs w:val="21"/>
                    </w:rPr>
                    <w:t>/</w:t>
                  </w:r>
                </w:p>
              </w:tc>
              <w:tc>
                <w:tcPr>
                  <w:tcW w:w="355" w:type="pct"/>
                  <w:noWrap w:val="0"/>
                  <w:vAlign w:val="center"/>
                </w:tcPr>
                <w:p>
                  <w:pPr>
                    <w:snapToGrid w:val="0"/>
                    <w:spacing w:line="300" w:lineRule="exact"/>
                    <w:jc w:val="center"/>
                    <w:rPr>
                      <w:szCs w:val="21"/>
                    </w:rPr>
                  </w:pPr>
                  <w:r>
                    <w:rPr>
                      <w:szCs w:val="21"/>
                    </w:rPr>
                    <w:t>危险废物</w:t>
                  </w:r>
                </w:p>
              </w:tc>
              <w:tc>
                <w:tcPr>
                  <w:tcW w:w="958" w:type="pct"/>
                  <w:vMerge w:val="continue"/>
                  <w:noWrap w:val="0"/>
                  <w:vAlign w:val="center"/>
                </w:tcPr>
                <w:p>
                  <w:pPr>
                    <w:snapToGrid w:val="0"/>
                    <w:spacing w:line="300" w:lineRule="exact"/>
                    <w:jc w:val="center"/>
                    <w:rPr>
                      <w:szCs w:val="21"/>
                    </w:rPr>
                  </w:pPr>
                </w:p>
              </w:tc>
            </w:tr>
          </w:tbl>
          <w:p>
            <w:pPr>
              <w:spacing w:line="360" w:lineRule="auto"/>
              <w:ind w:firstLine="482" w:firstLineChars="200"/>
              <w:rPr>
                <w:b/>
                <w:bCs/>
                <w:sz w:val="24"/>
              </w:rPr>
            </w:pPr>
            <w:r>
              <w:rPr>
                <w:b/>
                <w:bCs/>
                <w:sz w:val="24"/>
              </w:rPr>
              <w:t>危废储存管理：</w:t>
            </w:r>
          </w:p>
          <w:p>
            <w:pPr>
              <w:spacing w:line="360" w:lineRule="auto"/>
              <w:ind w:firstLine="480" w:firstLineChars="200"/>
              <w:rPr>
                <w:sz w:val="24"/>
              </w:rPr>
            </w:pPr>
            <w:r>
              <w:rPr>
                <w:sz w:val="24"/>
              </w:rPr>
              <w:t>危废暂存间应严格按照</w:t>
            </w:r>
            <w:r>
              <w:rPr>
                <w:rFonts w:hint="eastAsia"/>
                <w:sz w:val="24"/>
              </w:rPr>
              <w:t>《</w:t>
            </w:r>
            <w:r>
              <w:rPr>
                <w:sz w:val="24"/>
              </w:rPr>
              <w:t>危险废物贮存污染控制标准》（GB18597-2023）要求进行设计和建设，具体如下：</w:t>
            </w:r>
          </w:p>
          <w:p>
            <w:pPr>
              <w:spacing w:line="360" w:lineRule="auto"/>
              <w:ind w:firstLine="480" w:firstLineChars="200"/>
              <w:rPr>
                <w:sz w:val="24"/>
              </w:rPr>
            </w:pPr>
            <w:r>
              <w:rPr>
                <w:sz w:val="24"/>
              </w:rPr>
              <w:t>A.严格按照</w:t>
            </w:r>
            <w:r>
              <w:rPr>
                <w:rFonts w:hint="eastAsia"/>
                <w:sz w:val="24"/>
              </w:rPr>
              <w:t>《</w:t>
            </w:r>
            <w:r>
              <w:rPr>
                <w:sz w:val="24"/>
              </w:rPr>
              <w:t>危险废物贮存污染控制标准》（GB18597-2023）设计要求，危废暂存间必须做好“四防”处理，即防风、防雨、防渗、防晒。环评要求，将危废暂存间设置在室内的一个独立房间内，地面设置为重点防渗区，用坚固、防渗、耐腐蚀的防渗混凝土材料铺设，铺设2mmHDPE防渗膜防渗（等效黏土防渗层Mb≥6m，K≤1×10</w:t>
            </w:r>
            <w:r>
              <w:rPr>
                <w:sz w:val="24"/>
                <w:vertAlign w:val="superscript"/>
              </w:rPr>
              <w:t>-7</w:t>
            </w:r>
            <w:r>
              <w:rPr>
                <w:sz w:val="24"/>
              </w:rPr>
              <w:t>）。</w:t>
            </w:r>
          </w:p>
          <w:p>
            <w:pPr>
              <w:spacing w:line="360" w:lineRule="auto"/>
              <w:ind w:firstLine="480" w:firstLineChars="200"/>
              <w:rPr>
                <w:sz w:val="24"/>
              </w:rPr>
            </w:pPr>
            <w:r>
              <w:rPr>
                <w:sz w:val="24"/>
              </w:rPr>
              <w:t>B.危废间地面及裙脚要用坚固、防渗材料建造，建筑材料必须与危险废物相容；必须有泄漏液体收集装置、气体导出口以及气体净化装置；设施内要有安全照明设施和观察窗口；用以存放装在液体、半固体危险废物容器的地方，必须有耐腐蚀的硬化地面，且表面无裂缝；不相容的危险废物必须分开存放，并设有隔离隔断。</w:t>
            </w:r>
          </w:p>
          <w:p>
            <w:pPr>
              <w:spacing w:line="360" w:lineRule="auto"/>
              <w:ind w:firstLine="480" w:firstLineChars="200"/>
              <w:rPr>
                <w:sz w:val="24"/>
              </w:rPr>
            </w:pPr>
            <w:r>
              <w:rPr>
                <w:sz w:val="24"/>
              </w:rPr>
              <w:t>C.危险废物的收集必须严格按照相关规定进行，禁止在危废间存放除危险废物及应急工具以外的其他物品，禁止在非贮存地点（容器）倾倒、堆放危险废物或者将危险废物混入其他一般工业固体废物和生活垃圾中，各废物贮存需按照国家相关要求处置，贮存场所按照《危险废物识别标志设置技术规范》（HJ 1276-2022）设置警示标识。</w:t>
            </w:r>
          </w:p>
          <w:p>
            <w:pPr>
              <w:spacing w:line="360" w:lineRule="auto"/>
              <w:ind w:firstLine="480" w:firstLineChars="200"/>
              <w:rPr>
                <w:sz w:val="24"/>
              </w:rPr>
            </w:pPr>
            <w:r>
              <w:rPr>
                <w:sz w:val="24"/>
              </w:rPr>
              <w:t>危废运输管理：</w:t>
            </w:r>
          </w:p>
          <w:p>
            <w:pPr>
              <w:spacing w:line="360" w:lineRule="auto"/>
              <w:ind w:firstLine="480" w:firstLineChars="200"/>
              <w:rPr>
                <w:sz w:val="24"/>
              </w:rPr>
            </w:pPr>
            <w:r>
              <w:rPr>
                <w:sz w:val="24"/>
              </w:rPr>
              <w:t>A.废弃物处置单位的运输人员必须掌握危险化学品运输的安全知识，了解所运载的危险化学品的性质、危害特性、包装容器的使用特性和发生意外时的应急措施。运输车辆必须具有车辆危险货物运输许可证。驾驶人员必须由取得驾驶执照的熟练人员担任。</w:t>
            </w:r>
          </w:p>
          <w:p>
            <w:pPr>
              <w:spacing w:line="360" w:lineRule="auto"/>
              <w:ind w:firstLine="480" w:firstLineChars="200"/>
              <w:rPr>
                <w:sz w:val="24"/>
              </w:rPr>
            </w:pPr>
            <w:r>
              <w:rPr>
                <w:sz w:val="24"/>
              </w:rPr>
              <w:t>B.处置单位在运输危险废弃物时必须配备押运人员，并随时处于押运人员的监管之下，不得超装、超载，严格按照所在城市规定的行车时间和行车路线行驶，不得进入危险化学品运输车辆禁止通行的区域。</w:t>
            </w:r>
          </w:p>
          <w:p>
            <w:pPr>
              <w:spacing w:line="360" w:lineRule="auto"/>
              <w:ind w:firstLine="480" w:firstLineChars="200"/>
              <w:rPr>
                <w:sz w:val="24"/>
              </w:rPr>
            </w:pPr>
            <w:r>
              <w:rPr>
                <w:sz w:val="24"/>
              </w:rPr>
              <w:t>C.危险废弃物在运输途中若发生被盗、丢失、流散、泄漏等情况时，公司及押运人员必须立即向当地公安部门报告，并采取一切可能的警示措施。</w:t>
            </w:r>
          </w:p>
          <w:p>
            <w:pPr>
              <w:spacing w:line="360" w:lineRule="auto"/>
              <w:ind w:firstLine="480" w:firstLineChars="200"/>
              <w:rPr>
                <w:sz w:val="24"/>
              </w:rPr>
            </w:pPr>
            <w:r>
              <w:rPr>
                <w:sz w:val="24"/>
              </w:rPr>
              <w:t>D.一旦发生废弃物泄漏事故，公司和废弃物处置单位都应积极协助有关部门采取必要的安全措施，减少事故损失，防止事故蔓延、扩大；针对事故对人体、动植物、土壤、水源、空气造成的现实危害和可能产生的危害，应迅速采取封闭、隔离、洗消等措施，并对事故造成的危害进行监测、处置，直至符合国家环境保护标准。</w:t>
            </w:r>
          </w:p>
          <w:p>
            <w:pPr>
              <w:spacing w:line="360" w:lineRule="auto"/>
              <w:ind w:firstLine="480" w:firstLineChars="200"/>
              <w:rPr>
                <w:sz w:val="24"/>
              </w:rPr>
            </w:pPr>
            <w:r>
              <w:rPr>
                <w:sz w:val="24"/>
              </w:rPr>
              <w:t>E.危险废物转运时必须安全转移，防止撒漏，且由具备处理资质的单位接</w:t>
            </w:r>
          </w:p>
          <w:p>
            <w:pPr>
              <w:spacing w:line="360" w:lineRule="auto"/>
              <w:ind w:firstLine="480" w:firstLineChars="200"/>
              <w:rPr>
                <w:sz w:val="24"/>
              </w:rPr>
            </w:pPr>
            <w:r>
              <w:rPr>
                <w:sz w:val="24"/>
              </w:rPr>
              <w:t>受。危险废物的处置需严格按照《危险废物转移联单管理办法》规定办理危险废物转移手续，并严格执行《危险废物转移联单管理办法》规定，防止二次污染。根据中华人民共和国国务院令第344号《危险化学品安全管理条例》的有关规定，在危险废弃物外运至处置单位时必须严格遵守以下要求：做好每次外运处置废弃物的运输登记，认真填写危险废物转移联单（每种废物填写一份联单），并加盖公司公章，经运输单位核实验收签字后，将联单第一联副联自留存档，将联单第二联交移出地环境保护行政主管部门，第三联及其余各联交付运输单位，随危险废物转移运行。第四联交</w:t>
            </w:r>
            <w:r>
              <w:rPr>
                <w:rFonts w:hint="eastAsia"/>
                <w:sz w:val="24"/>
              </w:rPr>
              <w:t>接收单位</w:t>
            </w:r>
            <w:r>
              <w:rPr>
                <w:sz w:val="24"/>
              </w:rPr>
              <w:t>，第五联交接受地环保局。</w:t>
            </w:r>
          </w:p>
          <w:p>
            <w:pPr>
              <w:spacing w:line="360" w:lineRule="auto"/>
              <w:ind w:firstLine="480" w:firstLineChars="200"/>
              <w:rPr>
                <w:sz w:val="24"/>
              </w:rPr>
            </w:pPr>
            <w:r>
              <w:rPr>
                <w:sz w:val="24"/>
              </w:rPr>
              <w:t>按照《建设项目危险废物环境影响评价指南》（环保部公告2017年第43号）要求，本项目危险废物产生、处理汇总情况、暂存情况下见表。</w:t>
            </w:r>
          </w:p>
          <w:p>
            <w:pPr>
              <w:adjustRightInd w:val="0"/>
              <w:snapToGrid w:val="0"/>
              <w:jc w:val="center"/>
              <w:textAlignment w:val="baseline"/>
              <w:rPr>
                <w:rFonts w:eastAsia="黑体"/>
                <w:kern w:val="0"/>
                <w:sz w:val="24"/>
                <w:szCs w:val="20"/>
              </w:rPr>
            </w:pPr>
            <w:r>
              <w:rPr>
                <w:rFonts w:eastAsia="黑体"/>
                <w:kern w:val="0"/>
                <w:sz w:val="24"/>
                <w:szCs w:val="20"/>
              </w:rPr>
              <w:t>表4-18  本项目危险固废产生及处置情况</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760"/>
              <w:gridCol w:w="695"/>
              <w:gridCol w:w="979"/>
              <w:gridCol w:w="795"/>
              <w:gridCol w:w="837"/>
              <w:gridCol w:w="398"/>
              <w:gridCol w:w="587"/>
              <w:gridCol w:w="584"/>
              <w:gridCol w:w="459"/>
              <w:gridCol w:w="793"/>
              <w:gridCol w:w="55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1043" w:type="pct"/>
                  <w:shd w:val="clear" w:color="auto" w:fill="CCFFFF"/>
                  <w:noWrap w:val="0"/>
                  <w:vAlign w:val="center"/>
                </w:tcPr>
                <w:p>
                  <w:pPr>
                    <w:snapToGrid w:val="0"/>
                    <w:jc w:val="center"/>
                    <w:rPr>
                      <w:b/>
                      <w:szCs w:val="21"/>
                    </w:rPr>
                  </w:pPr>
                  <w:r>
                    <w:rPr>
                      <w:b/>
                      <w:szCs w:val="21"/>
                    </w:rPr>
                    <w:t>危废名称</w:t>
                  </w:r>
                </w:p>
              </w:tc>
              <w:tc>
                <w:tcPr>
                  <w:tcW w:w="412" w:type="pct"/>
                  <w:shd w:val="clear" w:color="auto" w:fill="CCFFFF"/>
                  <w:noWrap w:val="0"/>
                  <w:vAlign w:val="center"/>
                </w:tcPr>
                <w:p>
                  <w:pPr>
                    <w:snapToGrid w:val="0"/>
                    <w:jc w:val="center"/>
                    <w:rPr>
                      <w:b/>
                      <w:szCs w:val="21"/>
                    </w:rPr>
                  </w:pPr>
                  <w:r>
                    <w:rPr>
                      <w:b/>
                      <w:szCs w:val="21"/>
                    </w:rPr>
                    <w:t>危废</w:t>
                  </w:r>
                </w:p>
                <w:p>
                  <w:pPr>
                    <w:snapToGrid w:val="0"/>
                    <w:jc w:val="center"/>
                    <w:rPr>
                      <w:b/>
                      <w:szCs w:val="21"/>
                    </w:rPr>
                  </w:pPr>
                  <w:r>
                    <w:rPr>
                      <w:b/>
                      <w:szCs w:val="21"/>
                    </w:rPr>
                    <w:t>类别</w:t>
                  </w:r>
                </w:p>
              </w:tc>
              <w:tc>
                <w:tcPr>
                  <w:tcW w:w="580" w:type="pct"/>
                  <w:shd w:val="clear" w:color="auto" w:fill="CCFFFF"/>
                  <w:noWrap w:val="0"/>
                  <w:vAlign w:val="center"/>
                </w:tcPr>
                <w:p>
                  <w:pPr>
                    <w:snapToGrid w:val="0"/>
                    <w:jc w:val="center"/>
                    <w:rPr>
                      <w:b/>
                      <w:szCs w:val="21"/>
                    </w:rPr>
                  </w:pPr>
                  <w:r>
                    <w:rPr>
                      <w:b/>
                      <w:szCs w:val="21"/>
                    </w:rPr>
                    <w:t>危废代码</w:t>
                  </w:r>
                </w:p>
              </w:tc>
              <w:tc>
                <w:tcPr>
                  <w:tcW w:w="471" w:type="pct"/>
                  <w:shd w:val="clear" w:color="auto" w:fill="CCFFFF"/>
                  <w:noWrap w:val="0"/>
                  <w:vAlign w:val="center"/>
                </w:tcPr>
                <w:p>
                  <w:pPr>
                    <w:snapToGrid w:val="0"/>
                    <w:jc w:val="center"/>
                    <w:rPr>
                      <w:b/>
                      <w:szCs w:val="21"/>
                    </w:rPr>
                  </w:pPr>
                  <w:r>
                    <w:rPr>
                      <w:b/>
                      <w:szCs w:val="21"/>
                    </w:rPr>
                    <w:t>产生量</w:t>
                  </w:r>
                </w:p>
                <w:p>
                  <w:pPr>
                    <w:snapToGrid w:val="0"/>
                    <w:jc w:val="center"/>
                    <w:rPr>
                      <w:b/>
                      <w:szCs w:val="21"/>
                    </w:rPr>
                  </w:pPr>
                  <w:r>
                    <w:rPr>
                      <w:b/>
                      <w:szCs w:val="21"/>
                    </w:rPr>
                    <w:t>（t/a）</w:t>
                  </w:r>
                </w:p>
              </w:tc>
              <w:tc>
                <w:tcPr>
                  <w:tcW w:w="496" w:type="pct"/>
                  <w:shd w:val="clear" w:color="auto" w:fill="CCFFFF"/>
                  <w:noWrap w:val="0"/>
                  <w:vAlign w:val="center"/>
                </w:tcPr>
                <w:p>
                  <w:pPr>
                    <w:snapToGrid w:val="0"/>
                    <w:jc w:val="center"/>
                    <w:rPr>
                      <w:b/>
                      <w:szCs w:val="21"/>
                    </w:rPr>
                  </w:pPr>
                  <w:r>
                    <w:rPr>
                      <w:b/>
                      <w:szCs w:val="21"/>
                    </w:rPr>
                    <w:t>产生工序及装置</w:t>
                  </w:r>
                </w:p>
              </w:tc>
              <w:tc>
                <w:tcPr>
                  <w:tcW w:w="236" w:type="pct"/>
                  <w:shd w:val="clear" w:color="auto" w:fill="CCFFFF"/>
                  <w:noWrap w:val="0"/>
                  <w:vAlign w:val="center"/>
                </w:tcPr>
                <w:p>
                  <w:pPr>
                    <w:snapToGrid w:val="0"/>
                    <w:jc w:val="center"/>
                    <w:rPr>
                      <w:b/>
                      <w:szCs w:val="21"/>
                    </w:rPr>
                  </w:pPr>
                  <w:r>
                    <w:rPr>
                      <w:b/>
                      <w:szCs w:val="21"/>
                    </w:rPr>
                    <w:t>形态</w:t>
                  </w:r>
                </w:p>
              </w:tc>
              <w:tc>
                <w:tcPr>
                  <w:tcW w:w="348" w:type="pct"/>
                  <w:shd w:val="clear" w:color="auto" w:fill="CCFFFF"/>
                  <w:noWrap w:val="0"/>
                  <w:vAlign w:val="center"/>
                </w:tcPr>
                <w:p>
                  <w:pPr>
                    <w:snapToGrid w:val="0"/>
                    <w:jc w:val="center"/>
                    <w:rPr>
                      <w:b/>
                      <w:szCs w:val="21"/>
                    </w:rPr>
                  </w:pPr>
                  <w:r>
                    <w:rPr>
                      <w:b/>
                      <w:szCs w:val="21"/>
                    </w:rPr>
                    <w:t>主要成分</w:t>
                  </w:r>
                </w:p>
              </w:tc>
              <w:tc>
                <w:tcPr>
                  <w:tcW w:w="346" w:type="pct"/>
                  <w:shd w:val="clear" w:color="auto" w:fill="CCFFFF"/>
                  <w:noWrap w:val="0"/>
                  <w:vAlign w:val="center"/>
                </w:tcPr>
                <w:p>
                  <w:pPr>
                    <w:snapToGrid w:val="0"/>
                    <w:jc w:val="center"/>
                    <w:rPr>
                      <w:b/>
                      <w:szCs w:val="21"/>
                    </w:rPr>
                  </w:pPr>
                  <w:r>
                    <w:rPr>
                      <w:b/>
                      <w:szCs w:val="21"/>
                    </w:rPr>
                    <w:t>有害成分</w:t>
                  </w:r>
                </w:p>
              </w:tc>
              <w:tc>
                <w:tcPr>
                  <w:tcW w:w="272" w:type="pct"/>
                  <w:shd w:val="clear" w:color="auto" w:fill="CCFFFF"/>
                  <w:noWrap w:val="0"/>
                  <w:vAlign w:val="center"/>
                </w:tcPr>
                <w:p>
                  <w:pPr>
                    <w:snapToGrid w:val="0"/>
                    <w:jc w:val="center"/>
                    <w:rPr>
                      <w:b/>
                      <w:szCs w:val="21"/>
                    </w:rPr>
                  </w:pPr>
                  <w:r>
                    <w:rPr>
                      <w:b/>
                      <w:szCs w:val="21"/>
                    </w:rPr>
                    <w:t>产废周期</w:t>
                  </w:r>
                </w:p>
              </w:tc>
              <w:tc>
                <w:tcPr>
                  <w:tcW w:w="470" w:type="pct"/>
                  <w:shd w:val="clear" w:color="auto" w:fill="CCFFFF"/>
                  <w:noWrap w:val="0"/>
                  <w:vAlign w:val="center"/>
                </w:tcPr>
                <w:p>
                  <w:pPr>
                    <w:snapToGrid w:val="0"/>
                    <w:jc w:val="center"/>
                    <w:rPr>
                      <w:b/>
                      <w:szCs w:val="21"/>
                    </w:rPr>
                  </w:pPr>
                  <w:r>
                    <w:rPr>
                      <w:b/>
                      <w:szCs w:val="21"/>
                    </w:rPr>
                    <w:t>危废特性</w:t>
                  </w:r>
                </w:p>
              </w:tc>
              <w:tc>
                <w:tcPr>
                  <w:tcW w:w="327" w:type="pct"/>
                  <w:shd w:val="clear" w:color="auto" w:fill="CCFFFF"/>
                  <w:noWrap w:val="0"/>
                  <w:vAlign w:val="center"/>
                </w:tcPr>
                <w:p>
                  <w:pPr>
                    <w:snapToGrid w:val="0"/>
                    <w:jc w:val="center"/>
                    <w:rPr>
                      <w:b/>
                      <w:szCs w:val="21"/>
                    </w:rPr>
                  </w:pPr>
                  <w:r>
                    <w:rPr>
                      <w:b/>
                      <w:szCs w:val="21"/>
                    </w:rPr>
                    <w:t>处置措施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43" w:type="pct"/>
                  <w:noWrap w:val="0"/>
                  <w:vAlign w:val="center"/>
                </w:tcPr>
                <w:p>
                  <w:pPr>
                    <w:autoSpaceDE w:val="0"/>
                    <w:autoSpaceDN w:val="0"/>
                    <w:adjustRightInd w:val="0"/>
                    <w:snapToGrid w:val="0"/>
                    <w:jc w:val="center"/>
                    <w:textAlignment w:val="bottom"/>
                    <w:rPr>
                      <w:kern w:val="0"/>
                      <w:szCs w:val="21"/>
                    </w:rPr>
                  </w:pPr>
                  <w:r>
                    <w:rPr>
                      <w:kern w:val="0"/>
                      <w:szCs w:val="21"/>
                    </w:rPr>
                    <w:t>废机油</w:t>
                  </w:r>
                </w:p>
              </w:tc>
              <w:tc>
                <w:tcPr>
                  <w:tcW w:w="412" w:type="pct"/>
                  <w:noWrap w:val="0"/>
                  <w:vAlign w:val="center"/>
                </w:tcPr>
                <w:p>
                  <w:pPr>
                    <w:jc w:val="center"/>
                    <w:rPr>
                      <w:kern w:val="0"/>
                      <w:szCs w:val="21"/>
                    </w:rPr>
                  </w:pPr>
                  <w:r>
                    <w:rPr>
                      <w:kern w:val="0"/>
                      <w:szCs w:val="21"/>
                    </w:rPr>
                    <w:t>HW08</w:t>
                  </w:r>
                </w:p>
              </w:tc>
              <w:tc>
                <w:tcPr>
                  <w:tcW w:w="580" w:type="pct"/>
                  <w:noWrap w:val="0"/>
                  <w:vAlign w:val="center"/>
                </w:tcPr>
                <w:p>
                  <w:pPr>
                    <w:autoSpaceDE w:val="0"/>
                    <w:autoSpaceDN w:val="0"/>
                    <w:adjustRightInd w:val="0"/>
                    <w:snapToGrid w:val="0"/>
                    <w:jc w:val="center"/>
                    <w:textAlignment w:val="bottom"/>
                    <w:rPr>
                      <w:kern w:val="0"/>
                      <w:szCs w:val="21"/>
                    </w:rPr>
                  </w:pPr>
                  <w:r>
                    <w:rPr>
                      <w:kern w:val="0"/>
                      <w:szCs w:val="21"/>
                    </w:rPr>
                    <w:t>900-249-08</w:t>
                  </w:r>
                </w:p>
              </w:tc>
              <w:tc>
                <w:tcPr>
                  <w:tcW w:w="471" w:type="pct"/>
                  <w:noWrap w:val="0"/>
                  <w:vAlign w:val="center"/>
                </w:tcPr>
                <w:p>
                  <w:pPr>
                    <w:jc w:val="center"/>
                    <w:rPr>
                      <w:szCs w:val="21"/>
                    </w:rPr>
                  </w:pPr>
                  <w:r>
                    <w:rPr>
                      <w:szCs w:val="21"/>
                    </w:rPr>
                    <w:t>0.1</w:t>
                  </w:r>
                </w:p>
              </w:tc>
              <w:tc>
                <w:tcPr>
                  <w:tcW w:w="496" w:type="pct"/>
                  <w:vMerge w:val="restart"/>
                  <w:noWrap w:val="0"/>
                  <w:vAlign w:val="center"/>
                </w:tcPr>
                <w:p>
                  <w:pPr>
                    <w:autoSpaceDE w:val="0"/>
                    <w:autoSpaceDN w:val="0"/>
                    <w:adjustRightInd w:val="0"/>
                    <w:snapToGrid w:val="0"/>
                    <w:jc w:val="center"/>
                    <w:textAlignment w:val="bottom"/>
                    <w:rPr>
                      <w:kern w:val="0"/>
                      <w:szCs w:val="21"/>
                    </w:rPr>
                  </w:pPr>
                  <w:r>
                    <w:rPr>
                      <w:kern w:val="0"/>
                      <w:szCs w:val="21"/>
                    </w:rPr>
                    <w:t>设备检修维护</w:t>
                  </w:r>
                </w:p>
              </w:tc>
              <w:tc>
                <w:tcPr>
                  <w:tcW w:w="236" w:type="pct"/>
                  <w:noWrap w:val="0"/>
                  <w:vAlign w:val="center"/>
                </w:tcPr>
                <w:p>
                  <w:pPr>
                    <w:autoSpaceDE w:val="0"/>
                    <w:autoSpaceDN w:val="0"/>
                    <w:adjustRightInd w:val="0"/>
                    <w:snapToGrid w:val="0"/>
                    <w:jc w:val="center"/>
                    <w:textAlignment w:val="bottom"/>
                    <w:rPr>
                      <w:kern w:val="0"/>
                      <w:szCs w:val="21"/>
                    </w:rPr>
                  </w:pPr>
                  <w:r>
                    <w:rPr>
                      <w:kern w:val="0"/>
                      <w:szCs w:val="21"/>
                    </w:rPr>
                    <w:t>液态</w:t>
                  </w:r>
                </w:p>
              </w:tc>
              <w:tc>
                <w:tcPr>
                  <w:tcW w:w="348" w:type="pct"/>
                  <w:noWrap w:val="0"/>
                  <w:vAlign w:val="center"/>
                </w:tcPr>
                <w:p>
                  <w:pPr>
                    <w:autoSpaceDE w:val="0"/>
                    <w:autoSpaceDN w:val="0"/>
                    <w:adjustRightInd w:val="0"/>
                    <w:snapToGrid w:val="0"/>
                    <w:jc w:val="center"/>
                    <w:textAlignment w:val="bottom"/>
                    <w:rPr>
                      <w:kern w:val="0"/>
                      <w:szCs w:val="21"/>
                    </w:rPr>
                  </w:pPr>
                  <w:r>
                    <w:rPr>
                      <w:kern w:val="0"/>
                      <w:szCs w:val="21"/>
                    </w:rPr>
                    <w:t>矿物油</w:t>
                  </w:r>
                </w:p>
              </w:tc>
              <w:tc>
                <w:tcPr>
                  <w:tcW w:w="346" w:type="pct"/>
                  <w:noWrap w:val="0"/>
                  <w:vAlign w:val="center"/>
                </w:tcPr>
                <w:p>
                  <w:pPr>
                    <w:autoSpaceDE w:val="0"/>
                    <w:autoSpaceDN w:val="0"/>
                    <w:adjustRightInd w:val="0"/>
                    <w:snapToGrid w:val="0"/>
                    <w:jc w:val="center"/>
                    <w:textAlignment w:val="bottom"/>
                    <w:rPr>
                      <w:kern w:val="0"/>
                      <w:szCs w:val="21"/>
                    </w:rPr>
                  </w:pPr>
                  <w:r>
                    <w:rPr>
                      <w:kern w:val="0"/>
                      <w:szCs w:val="21"/>
                    </w:rPr>
                    <w:t>矿物油</w:t>
                  </w:r>
                </w:p>
              </w:tc>
              <w:tc>
                <w:tcPr>
                  <w:tcW w:w="272" w:type="pct"/>
                  <w:noWrap w:val="0"/>
                  <w:vAlign w:val="center"/>
                </w:tcPr>
                <w:p>
                  <w:pPr>
                    <w:autoSpaceDE w:val="0"/>
                    <w:autoSpaceDN w:val="0"/>
                    <w:adjustRightInd w:val="0"/>
                    <w:snapToGrid w:val="0"/>
                    <w:jc w:val="center"/>
                    <w:textAlignment w:val="bottom"/>
                    <w:rPr>
                      <w:kern w:val="0"/>
                      <w:szCs w:val="21"/>
                    </w:rPr>
                  </w:pPr>
                  <w:r>
                    <w:rPr>
                      <w:kern w:val="0"/>
                      <w:szCs w:val="21"/>
                    </w:rPr>
                    <w:t>不定期</w:t>
                  </w:r>
                </w:p>
              </w:tc>
              <w:tc>
                <w:tcPr>
                  <w:tcW w:w="470" w:type="pct"/>
                  <w:noWrap w:val="0"/>
                  <w:vAlign w:val="center"/>
                </w:tcPr>
                <w:p>
                  <w:pPr>
                    <w:autoSpaceDE w:val="0"/>
                    <w:autoSpaceDN w:val="0"/>
                    <w:adjustRightInd w:val="0"/>
                    <w:snapToGrid w:val="0"/>
                    <w:jc w:val="center"/>
                    <w:textAlignment w:val="bottom"/>
                    <w:rPr>
                      <w:kern w:val="0"/>
                      <w:szCs w:val="21"/>
                    </w:rPr>
                  </w:pPr>
                  <w:r>
                    <w:rPr>
                      <w:kern w:val="0"/>
                      <w:szCs w:val="21"/>
                    </w:rPr>
                    <w:t>T，I</w:t>
                  </w:r>
                </w:p>
              </w:tc>
              <w:tc>
                <w:tcPr>
                  <w:tcW w:w="327" w:type="pct"/>
                  <w:vMerge w:val="restart"/>
                  <w:noWrap w:val="0"/>
                  <w:vAlign w:val="center"/>
                </w:tcPr>
                <w:p>
                  <w:pPr>
                    <w:snapToGrid w:val="0"/>
                    <w:rPr>
                      <w:szCs w:val="21"/>
                    </w:rPr>
                  </w:pPr>
                  <w:r>
                    <w:rPr>
                      <w:szCs w:val="21"/>
                    </w:rPr>
                    <w:t>交由具有相应危废资质单位，妥善处置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43" w:type="pct"/>
                  <w:noWrap w:val="0"/>
                  <w:vAlign w:val="center"/>
                </w:tcPr>
                <w:p>
                  <w:pPr>
                    <w:autoSpaceDE w:val="0"/>
                    <w:autoSpaceDN w:val="0"/>
                    <w:adjustRightInd w:val="0"/>
                    <w:snapToGrid w:val="0"/>
                    <w:jc w:val="center"/>
                    <w:textAlignment w:val="bottom"/>
                    <w:rPr>
                      <w:kern w:val="0"/>
                      <w:szCs w:val="21"/>
                    </w:rPr>
                  </w:pPr>
                  <w:r>
                    <w:rPr>
                      <w:kern w:val="0"/>
                      <w:szCs w:val="21"/>
                    </w:rPr>
                    <w:t>废含油棉纱、手套</w:t>
                  </w:r>
                </w:p>
              </w:tc>
              <w:tc>
                <w:tcPr>
                  <w:tcW w:w="412" w:type="pct"/>
                  <w:noWrap w:val="0"/>
                  <w:vAlign w:val="center"/>
                </w:tcPr>
                <w:p>
                  <w:pPr>
                    <w:jc w:val="center"/>
                    <w:rPr>
                      <w:kern w:val="0"/>
                      <w:sz w:val="24"/>
                      <w:szCs w:val="21"/>
                    </w:rPr>
                  </w:pPr>
                  <w:r>
                    <w:rPr>
                      <w:kern w:val="0"/>
                      <w:szCs w:val="21"/>
                    </w:rPr>
                    <w:t>HW49</w:t>
                  </w:r>
                </w:p>
              </w:tc>
              <w:tc>
                <w:tcPr>
                  <w:tcW w:w="580" w:type="pct"/>
                  <w:noWrap w:val="0"/>
                  <w:vAlign w:val="center"/>
                </w:tcPr>
                <w:p>
                  <w:pPr>
                    <w:autoSpaceDE w:val="0"/>
                    <w:autoSpaceDN w:val="0"/>
                    <w:adjustRightInd w:val="0"/>
                    <w:snapToGrid w:val="0"/>
                    <w:jc w:val="center"/>
                    <w:textAlignment w:val="bottom"/>
                    <w:rPr>
                      <w:kern w:val="0"/>
                      <w:szCs w:val="20"/>
                    </w:rPr>
                  </w:pPr>
                  <w:r>
                    <w:rPr>
                      <w:kern w:val="0"/>
                      <w:szCs w:val="20"/>
                    </w:rPr>
                    <w:t>900-04-49</w:t>
                  </w:r>
                </w:p>
              </w:tc>
              <w:tc>
                <w:tcPr>
                  <w:tcW w:w="471" w:type="pct"/>
                  <w:noWrap w:val="0"/>
                  <w:vAlign w:val="center"/>
                </w:tcPr>
                <w:p>
                  <w:pPr>
                    <w:jc w:val="center"/>
                    <w:rPr>
                      <w:szCs w:val="21"/>
                    </w:rPr>
                  </w:pPr>
                  <w:r>
                    <w:rPr>
                      <w:szCs w:val="21"/>
                    </w:rPr>
                    <w:t>0.01</w:t>
                  </w:r>
                </w:p>
              </w:tc>
              <w:tc>
                <w:tcPr>
                  <w:tcW w:w="496" w:type="pct"/>
                  <w:vMerge w:val="continue"/>
                  <w:noWrap w:val="0"/>
                  <w:vAlign w:val="center"/>
                </w:tcPr>
                <w:p>
                  <w:pPr>
                    <w:autoSpaceDE w:val="0"/>
                    <w:autoSpaceDN w:val="0"/>
                    <w:adjustRightInd w:val="0"/>
                    <w:snapToGrid w:val="0"/>
                    <w:jc w:val="center"/>
                    <w:textAlignment w:val="bottom"/>
                    <w:rPr>
                      <w:kern w:val="0"/>
                      <w:szCs w:val="21"/>
                    </w:rPr>
                  </w:pPr>
                </w:p>
              </w:tc>
              <w:tc>
                <w:tcPr>
                  <w:tcW w:w="236" w:type="pct"/>
                  <w:noWrap w:val="0"/>
                  <w:vAlign w:val="center"/>
                </w:tcPr>
                <w:p>
                  <w:pPr>
                    <w:autoSpaceDE w:val="0"/>
                    <w:autoSpaceDN w:val="0"/>
                    <w:adjustRightInd w:val="0"/>
                    <w:snapToGrid w:val="0"/>
                    <w:jc w:val="center"/>
                    <w:textAlignment w:val="bottom"/>
                    <w:rPr>
                      <w:kern w:val="0"/>
                      <w:szCs w:val="21"/>
                    </w:rPr>
                  </w:pPr>
                  <w:r>
                    <w:rPr>
                      <w:kern w:val="0"/>
                      <w:szCs w:val="21"/>
                    </w:rPr>
                    <w:t>固态</w:t>
                  </w:r>
                </w:p>
              </w:tc>
              <w:tc>
                <w:tcPr>
                  <w:tcW w:w="348" w:type="pct"/>
                  <w:noWrap w:val="0"/>
                  <w:vAlign w:val="center"/>
                </w:tcPr>
                <w:p>
                  <w:pPr>
                    <w:autoSpaceDE w:val="0"/>
                    <w:autoSpaceDN w:val="0"/>
                    <w:adjustRightInd w:val="0"/>
                    <w:snapToGrid w:val="0"/>
                    <w:jc w:val="center"/>
                    <w:textAlignment w:val="bottom"/>
                    <w:rPr>
                      <w:kern w:val="0"/>
                      <w:szCs w:val="21"/>
                    </w:rPr>
                  </w:pPr>
                  <w:r>
                    <w:rPr>
                      <w:kern w:val="0"/>
                      <w:szCs w:val="21"/>
                    </w:rPr>
                    <w:t>矿物油</w:t>
                  </w:r>
                </w:p>
              </w:tc>
              <w:tc>
                <w:tcPr>
                  <w:tcW w:w="346" w:type="pct"/>
                  <w:noWrap w:val="0"/>
                  <w:vAlign w:val="center"/>
                </w:tcPr>
                <w:p>
                  <w:pPr>
                    <w:autoSpaceDE w:val="0"/>
                    <w:autoSpaceDN w:val="0"/>
                    <w:adjustRightInd w:val="0"/>
                    <w:snapToGrid w:val="0"/>
                    <w:jc w:val="center"/>
                    <w:textAlignment w:val="bottom"/>
                    <w:rPr>
                      <w:kern w:val="0"/>
                      <w:szCs w:val="21"/>
                    </w:rPr>
                  </w:pPr>
                  <w:r>
                    <w:rPr>
                      <w:kern w:val="0"/>
                      <w:szCs w:val="21"/>
                    </w:rPr>
                    <w:t>矿物油</w:t>
                  </w:r>
                </w:p>
              </w:tc>
              <w:tc>
                <w:tcPr>
                  <w:tcW w:w="272" w:type="pct"/>
                  <w:noWrap w:val="0"/>
                  <w:vAlign w:val="center"/>
                </w:tcPr>
                <w:p>
                  <w:pPr>
                    <w:autoSpaceDE w:val="0"/>
                    <w:autoSpaceDN w:val="0"/>
                    <w:adjustRightInd w:val="0"/>
                    <w:snapToGrid w:val="0"/>
                    <w:jc w:val="center"/>
                    <w:textAlignment w:val="bottom"/>
                    <w:rPr>
                      <w:kern w:val="0"/>
                      <w:szCs w:val="21"/>
                    </w:rPr>
                  </w:pPr>
                  <w:r>
                    <w:rPr>
                      <w:kern w:val="0"/>
                      <w:szCs w:val="21"/>
                    </w:rPr>
                    <w:t>不定期</w:t>
                  </w:r>
                </w:p>
              </w:tc>
              <w:tc>
                <w:tcPr>
                  <w:tcW w:w="470" w:type="pct"/>
                  <w:noWrap w:val="0"/>
                  <w:vAlign w:val="center"/>
                </w:tcPr>
                <w:p>
                  <w:pPr>
                    <w:autoSpaceDE w:val="0"/>
                    <w:autoSpaceDN w:val="0"/>
                    <w:adjustRightInd w:val="0"/>
                    <w:snapToGrid w:val="0"/>
                    <w:jc w:val="center"/>
                    <w:textAlignment w:val="bottom"/>
                    <w:rPr>
                      <w:kern w:val="0"/>
                      <w:szCs w:val="21"/>
                    </w:rPr>
                  </w:pPr>
                  <w:r>
                    <w:rPr>
                      <w:kern w:val="0"/>
                      <w:szCs w:val="21"/>
                    </w:rPr>
                    <w:t>T，I</w:t>
                  </w:r>
                </w:p>
              </w:tc>
              <w:tc>
                <w:tcPr>
                  <w:tcW w:w="327" w:type="pct"/>
                  <w:vMerge w:val="continue"/>
                  <w:noWrap w:val="0"/>
                  <w:vAlign w:val="center"/>
                </w:tcPr>
                <w:p>
                  <w:pPr>
                    <w:snapToGrid w:val="0"/>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43" w:type="pct"/>
                  <w:noWrap w:val="0"/>
                  <w:vAlign w:val="center"/>
                </w:tcPr>
                <w:p>
                  <w:pPr>
                    <w:autoSpaceDE w:val="0"/>
                    <w:autoSpaceDN w:val="0"/>
                    <w:adjustRightInd w:val="0"/>
                    <w:snapToGrid w:val="0"/>
                    <w:jc w:val="center"/>
                    <w:textAlignment w:val="bottom"/>
                    <w:rPr>
                      <w:kern w:val="0"/>
                      <w:szCs w:val="21"/>
                    </w:rPr>
                  </w:pPr>
                  <w:r>
                    <w:rPr>
                      <w:kern w:val="0"/>
                      <w:szCs w:val="21"/>
                    </w:rPr>
                    <w:t>在线监测</w:t>
                  </w:r>
                </w:p>
              </w:tc>
              <w:tc>
                <w:tcPr>
                  <w:tcW w:w="412" w:type="pct"/>
                  <w:noWrap w:val="0"/>
                  <w:vAlign w:val="center"/>
                </w:tcPr>
                <w:p>
                  <w:pPr>
                    <w:jc w:val="center"/>
                    <w:rPr>
                      <w:kern w:val="0"/>
                      <w:szCs w:val="21"/>
                    </w:rPr>
                  </w:pPr>
                  <w:r>
                    <w:rPr>
                      <w:kern w:val="0"/>
                      <w:szCs w:val="21"/>
                    </w:rPr>
                    <w:t>HW49</w:t>
                  </w:r>
                </w:p>
              </w:tc>
              <w:tc>
                <w:tcPr>
                  <w:tcW w:w="580" w:type="pct"/>
                  <w:noWrap w:val="0"/>
                  <w:vAlign w:val="center"/>
                </w:tcPr>
                <w:p>
                  <w:pPr>
                    <w:autoSpaceDE w:val="0"/>
                    <w:autoSpaceDN w:val="0"/>
                    <w:adjustRightInd w:val="0"/>
                    <w:snapToGrid w:val="0"/>
                    <w:jc w:val="center"/>
                    <w:textAlignment w:val="bottom"/>
                    <w:rPr>
                      <w:kern w:val="0"/>
                      <w:szCs w:val="20"/>
                    </w:rPr>
                  </w:pPr>
                  <w:r>
                    <w:rPr>
                      <w:kern w:val="0"/>
                      <w:szCs w:val="20"/>
                    </w:rPr>
                    <w:t>900-047-49</w:t>
                  </w:r>
                </w:p>
              </w:tc>
              <w:tc>
                <w:tcPr>
                  <w:tcW w:w="471" w:type="pct"/>
                  <w:noWrap w:val="0"/>
                  <w:vAlign w:val="center"/>
                </w:tcPr>
                <w:p>
                  <w:pPr>
                    <w:jc w:val="center"/>
                    <w:rPr>
                      <w:sz w:val="22"/>
                      <w:szCs w:val="22"/>
                    </w:rPr>
                  </w:pPr>
                  <w:r>
                    <w:rPr>
                      <w:sz w:val="22"/>
                      <w:szCs w:val="22"/>
                    </w:rPr>
                    <w:t>0.2</w:t>
                  </w:r>
                </w:p>
              </w:tc>
              <w:tc>
                <w:tcPr>
                  <w:tcW w:w="496" w:type="pct"/>
                  <w:noWrap w:val="0"/>
                  <w:vAlign w:val="center"/>
                </w:tcPr>
                <w:p>
                  <w:pPr>
                    <w:autoSpaceDE w:val="0"/>
                    <w:autoSpaceDN w:val="0"/>
                    <w:adjustRightInd w:val="0"/>
                    <w:snapToGrid w:val="0"/>
                    <w:jc w:val="center"/>
                    <w:textAlignment w:val="bottom"/>
                    <w:rPr>
                      <w:kern w:val="0"/>
                      <w:szCs w:val="21"/>
                    </w:rPr>
                  </w:pPr>
                  <w:r>
                    <w:rPr>
                      <w:kern w:val="0"/>
                      <w:szCs w:val="21"/>
                    </w:rPr>
                    <w:t>在线监测室</w:t>
                  </w:r>
                </w:p>
              </w:tc>
              <w:tc>
                <w:tcPr>
                  <w:tcW w:w="236" w:type="pct"/>
                  <w:noWrap w:val="0"/>
                  <w:vAlign w:val="center"/>
                </w:tcPr>
                <w:p>
                  <w:pPr>
                    <w:autoSpaceDE w:val="0"/>
                    <w:autoSpaceDN w:val="0"/>
                    <w:adjustRightInd w:val="0"/>
                    <w:snapToGrid w:val="0"/>
                    <w:jc w:val="center"/>
                    <w:textAlignment w:val="bottom"/>
                    <w:rPr>
                      <w:kern w:val="0"/>
                      <w:szCs w:val="21"/>
                    </w:rPr>
                  </w:pPr>
                  <w:r>
                    <w:rPr>
                      <w:kern w:val="0"/>
                      <w:szCs w:val="21"/>
                    </w:rPr>
                    <w:t>液态</w:t>
                  </w:r>
                </w:p>
              </w:tc>
              <w:tc>
                <w:tcPr>
                  <w:tcW w:w="348" w:type="pct"/>
                  <w:noWrap w:val="0"/>
                  <w:vAlign w:val="center"/>
                </w:tcPr>
                <w:p>
                  <w:pPr>
                    <w:autoSpaceDE w:val="0"/>
                    <w:autoSpaceDN w:val="0"/>
                    <w:adjustRightInd w:val="0"/>
                    <w:snapToGrid w:val="0"/>
                    <w:jc w:val="center"/>
                    <w:textAlignment w:val="bottom"/>
                    <w:rPr>
                      <w:kern w:val="0"/>
                      <w:szCs w:val="21"/>
                    </w:rPr>
                  </w:pPr>
                  <w:r>
                    <w:rPr>
                      <w:kern w:val="0"/>
                      <w:szCs w:val="21"/>
                    </w:rPr>
                    <w:t>含铬</w:t>
                  </w:r>
                </w:p>
              </w:tc>
              <w:tc>
                <w:tcPr>
                  <w:tcW w:w="346" w:type="pct"/>
                  <w:noWrap w:val="0"/>
                  <w:vAlign w:val="center"/>
                </w:tcPr>
                <w:p>
                  <w:pPr>
                    <w:autoSpaceDE w:val="0"/>
                    <w:autoSpaceDN w:val="0"/>
                    <w:adjustRightInd w:val="0"/>
                    <w:snapToGrid w:val="0"/>
                    <w:jc w:val="center"/>
                    <w:textAlignment w:val="bottom"/>
                    <w:rPr>
                      <w:kern w:val="0"/>
                      <w:szCs w:val="21"/>
                    </w:rPr>
                  </w:pPr>
                  <w:r>
                    <w:rPr>
                      <w:kern w:val="0"/>
                      <w:szCs w:val="21"/>
                    </w:rPr>
                    <w:t>铬</w:t>
                  </w:r>
                </w:p>
              </w:tc>
              <w:tc>
                <w:tcPr>
                  <w:tcW w:w="272" w:type="pct"/>
                  <w:noWrap w:val="0"/>
                  <w:vAlign w:val="center"/>
                </w:tcPr>
                <w:p>
                  <w:pPr>
                    <w:autoSpaceDE w:val="0"/>
                    <w:autoSpaceDN w:val="0"/>
                    <w:adjustRightInd w:val="0"/>
                    <w:snapToGrid w:val="0"/>
                    <w:jc w:val="center"/>
                    <w:textAlignment w:val="bottom"/>
                    <w:rPr>
                      <w:kern w:val="0"/>
                      <w:szCs w:val="21"/>
                    </w:rPr>
                  </w:pPr>
                  <w:r>
                    <w:rPr>
                      <w:kern w:val="0"/>
                      <w:szCs w:val="21"/>
                    </w:rPr>
                    <w:t>每天</w:t>
                  </w:r>
                </w:p>
              </w:tc>
              <w:tc>
                <w:tcPr>
                  <w:tcW w:w="470" w:type="pct"/>
                  <w:noWrap w:val="0"/>
                  <w:vAlign w:val="center"/>
                </w:tcPr>
                <w:p>
                  <w:pPr>
                    <w:autoSpaceDE w:val="0"/>
                    <w:autoSpaceDN w:val="0"/>
                    <w:adjustRightInd w:val="0"/>
                    <w:snapToGrid w:val="0"/>
                    <w:jc w:val="center"/>
                    <w:textAlignment w:val="bottom"/>
                    <w:rPr>
                      <w:kern w:val="0"/>
                      <w:szCs w:val="21"/>
                    </w:rPr>
                  </w:pPr>
                  <w:r>
                    <w:rPr>
                      <w:kern w:val="0"/>
                      <w:szCs w:val="21"/>
                    </w:rPr>
                    <w:t>T</w:t>
                  </w:r>
                </w:p>
              </w:tc>
              <w:tc>
                <w:tcPr>
                  <w:tcW w:w="327" w:type="pct"/>
                  <w:vMerge w:val="continue"/>
                  <w:noWrap w:val="0"/>
                  <w:vAlign w:val="center"/>
                </w:tcPr>
                <w:p>
                  <w:pPr>
                    <w:snapToGrid w:val="0"/>
                    <w:jc w:val="center"/>
                    <w:rPr>
                      <w:szCs w:val="21"/>
                    </w:rPr>
                  </w:pPr>
                </w:p>
              </w:tc>
            </w:tr>
          </w:tbl>
          <w:p>
            <w:pPr>
              <w:adjustRightInd w:val="0"/>
              <w:snapToGrid w:val="0"/>
              <w:jc w:val="left"/>
              <w:textAlignment w:val="baseline"/>
              <w:rPr>
                <w:kern w:val="0"/>
                <w:sz w:val="18"/>
                <w:szCs w:val="18"/>
              </w:rPr>
            </w:pPr>
            <w:r>
              <w:rPr>
                <w:kern w:val="0"/>
                <w:sz w:val="18"/>
                <w:szCs w:val="18"/>
              </w:rPr>
              <w:t>注：危险特性：包括腐蚀性（Corrosivity，C）、毒性（Toxicity，T）、反应性（Reactivity，R）和感染性（Infectivity，In）。</w:t>
            </w:r>
          </w:p>
          <w:p>
            <w:pPr>
              <w:adjustRightInd w:val="0"/>
              <w:snapToGrid w:val="0"/>
              <w:jc w:val="center"/>
              <w:textAlignment w:val="baseline"/>
              <w:rPr>
                <w:rFonts w:eastAsia="黑体"/>
                <w:kern w:val="0"/>
                <w:sz w:val="24"/>
                <w:szCs w:val="20"/>
              </w:rPr>
            </w:pPr>
            <w:r>
              <w:rPr>
                <w:rFonts w:eastAsia="黑体"/>
                <w:kern w:val="0"/>
                <w:sz w:val="24"/>
                <w:szCs w:val="20"/>
              </w:rPr>
              <w:t>表4-16    项目危险废物贮存场所（设施）基本情况表</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452"/>
              <w:gridCol w:w="766"/>
              <w:gridCol w:w="1321"/>
              <w:gridCol w:w="697"/>
              <w:gridCol w:w="1002"/>
              <w:gridCol w:w="655"/>
              <w:gridCol w:w="952"/>
              <w:gridCol w:w="953"/>
              <w:gridCol w:w="755"/>
              <w:gridCol w:w="88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268" w:type="pct"/>
                  <w:shd w:val="clear" w:color="auto" w:fill="CCFFFF"/>
                  <w:noWrap w:val="0"/>
                  <w:vAlign w:val="center"/>
                </w:tcPr>
                <w:p>
                  <w:pPr>
                    <w:topLinePunct/>
                    <w:adjustRightInd w:val="0"/>
                    <w:snapToGrid w:val="0"/>
                    <w:jc w:val="center"/>
                    <w:rPr>
                      <w:b/>
                      <w:kern w:val="0"/>
                      <w:szCs w:val="21"/>
                    </w:rPr>
                  </w:pPr>
                  <w:r>
                    <w:rPr>
                      <w:b/>
                      <w:kern w:val="0"/>
                      <w:szCs w:val="21"/>
                    </w:rPr>
                    <w:t>序号</w:t>
                  </w:r>
                </w:p>
              </w:tc>
              <w:tc>
                <w:tcPr>
                  <w:tcW w:w="454" w:type="pct"/>
                  <w:shd w:val="clear" w:color="auto" w:fill="CCFFFF"/>
                  <w:noWrap w:val="0"/>
                  <w:vAlign w:val="center"/>
                </w:tcPr>
                <w:p>
                  <w:pPr>
                    <w:topLinePunct/>
                    <w:adjustRightInd w:val="0"/>
                    <w:snapToGrid w:val="0"/>
                    <w:jc w:val="center"/>
                    <w:rPr>
                      <w:b/>
                      <w:kern w:val="0"/>
                      <w:szCs w:val="21"/>
                    </w:rPr>
                  </w:pPr>
                  <w:r>
                    <w:rPr>
                      <w:b/>
                      <w:kern w:val="0"/>
                      <w:szCs w:val="21"/>
                    </w:rPr>
                    <w:t>贮存场所名称</w:t>
                  </w:r>
                </w:p>
              </w:tc>
              <w:tc>
                <w:tcPr>
                  <w:tcW w:w="783" w:type="pct"/>
                  <w:shd w:val="clear" w:color="auto" w:fill="CCFFFF"/>
                  <w:noWrap w:val="0"/>
                  <w:vAlign w:val="center"/>
                </w:tcPr>
                <w:p>
                  <w:pPr>
                    <w:topLinePunct/>
                    <w:adjustRightInd w:val="0"/>
                    <w:snapToGrid w:val="0"/>
                    <w:jc w:val="center"/>
                    <w:rPr>
                      <w:b/>
                      <w:kern w:val="0"/>
                      <w:szCs w:val="21"/>
                    </w:rPr>
                  </w:pPr>
                  <w:r>
                    <w:rPr>
                      <w:b/>
                      <w:kern w:val="0"/>
                      <w:szCs w:val="21"/>
                    </w:rPr>
                    <w:t>危险废物名称</w:t>
                  </w:r>
                </w:p>
              </w:tc>
              <w:tc>
                <w:tcPr>
                  <w:tcW w:w="413" w:type="pct"/>
                  <w:shd w:val="clear" w:color="auto" w:fill="CCFFFF"/>
                  <w:noWrap w:val="0"/>
                  <w:vAlign w:val="center"/>
                </w:tcPr>
                <w:p>
                  <w:pPr>
                    <w:topLinePunct/>
                    <w:adjustRightInd w:val="0"/>
                    <w:snapToGrid w:val="0"/>
                    <w:jc w:val="center"/>
                    <w:rPr>
                      <w:b/>
                      <w:kern w:val="0"/>
                      <w:szCs w:val="21"/>
                    </w:rPr>
                  </w:pPr>
                  <w:r>
                    <w:rPr>
                      <w:b/>
                      <w:kern w:val="0"/>
                      <w:szCs w:val="21"/>
                    </w:rPr>
                    <w:t>危险废物类别</w:t>
                  </w:r>
                </w:p>
              </w:tc>
              <w:tc>
                <w:tcPr>
                  <w:tcW w:w="594" w:type="pct"/>
                  <w:shd w:val="clear" w:color="auto" w:fill="CCFFFF"/>
                  <w:noWrap w:val="0"/>
                  <w:vAlign w:val="center"/>
                </w:tcPr>
                <w:p>
                  <w:pPr>
                    <w:topLinePunct/>
                    <w:adjustRightInd w:val="0"/>
                    <w:snapToGrid w:val="0"/>
                    <w:jc w:val="center"/>
                    <w:rPr>
                      <w:b/>
                      <w:kern w:val="0"/>
                      <w:szCs w:val="21"/>
                    </w:rPr>
                  </w:pPr>
                  <w:r>
                    <w:rPr>
                      <w:b/>
                      <w:kern w:val="0"/>
                      <w:szCs w:val="21"/>
                    </w:rPr>
                    <w:t>危险废物代码</w:t>
                  </w:r>
                </w:p>
              </w:tc>
              <w:tc>
                <w:tcPr>
                  <w:tcW w:w="388" w:type="pct"/>
                  <w:shd w:val="clear" w:color="auto" w:fill="CCFFFF"/>
                  <w:noWrap w:val="0"/>
                  <w:vAlign w:val="center"/>
                </w:tcPr>
                <w:p>
                  <w:pPr>
                    <w:topLinePunct/>
                    <w:adjustRightInd w:val="0"/>
                    <w:snapToGrid w:val="0"/>
                    <w:jc w:val="center"/>
                    <w:rPr>
                      <w:b/>
                      <w:kern w:val="0"/>
                      <w:szCs w:val="21"/>
                    </w:rPr>
                  </w:pPr>
                  <w:r>
                    <w:rPr>
                      <w:b/>
                      <w:kern w:val="0"/>
                      <w:szCs w:val="21"/>
                    </w:rPr>
                    <w:t>位置</w:t>
                  </w:r>
                </w:p>
              </w:tc>
              <w:tc>
                <w:tcPr>
                  <w:tcW w:w="564" w:type="pct"/>
                  <w:shd w:val="clear" w:color="auto" w:fill="CCFFFF"/>
                  <w:noWrap w:val="0"/>
                  <w:vAlign w:val="center"/>
                </w:tcPr>
                <w:p>
                  <w:pPr>
                    <w:topLinePunct/>
                    <w:adjustRightInd w:val="0"/>
                    <w:snapToGrid w:val="0"/>
                    <w:jc w:val="center"/>
                    <w:rPr>
                      <w:b/>
                      <w:kern w:val="0"/>
                      <w:szCs w:val="21"/>
                    </w:rPr>
                  </w:pPr>
                  <w:r>
                    <w:rPr>
                      <w:b/>
                      <w:kern w:val="0"/>
                      <w:szCs w:val="21"/>
                    </w:rPr>
                    <w:t>占地面积</w:t>
                  </w:r>
                </w:p>
              </w:tc>
              <w:tc>
                <w:tcPr>
                  <w:tcW w:w="565" w:type="pct"/>
                  <w:shd w:val="clear" w:color="auto" w:fill="CCFFFF"/>
                  <w:noWrap w:val="0"/>
                  <w:vAlign w:val="center"/>
                </w:tcPr>
                <w:p>
                  <w:pPr>
                    <w:topLinePunct/>
                    <w:adjustRightInd w:val="0"/>
                    <w:snapToGrid w:val="0"/>
                    <w:jc w:val="center"/>
                    <w:rPr>
                      <w:b/>
                      <w:kern w:val="0"/>
                      <w:szCs w:val="21"/>
                    </w:rPr>
                  </w:pPr>
                  <w:r>
                    <w:rPr>
                      <w:b/>
                      <w:kern w:val="0"/>
                      <w:szCs w:val="21"/>
                    </w:rPr>
                    <w:t>贮存方式</w:t>
                  </w:r>
                </w:p>
              </w:tc>
              <w:tc>
                <w:tcPr>
                  <w:tcW w:w="447" w:type="pct"/>
                  <w:shd w:val="clear" w:color="auto" w:fill="CCFFFF"/>
                  <w:noWrap w:val="0"/>
                  <w:vAlign w:val="center"/>
                </w:tcPr>
                <w:p>
                  <w:pPr>
                    <w:topLinePunct/>
                    <w:adjustRightInd w:val="0"/>
                    <w:snapToGrid w:val="0"/>
                    <w:jc w:val="center"/>
                    <w:rPr>
                      <w:b/>
                      <w:kern w:val="0"/>
                      <w:szCs w:val="21"/>
                    </w:rPr>
                  </w:pPr>
                  <w:r>
                    <w:rPr>
                      <w:b/>
                      <w:kern w:val="0"/>
                      <w:szCs w:val="21"/>
                    </w:rPr>
                    <w:t>贮存</w:t>
                  </w:r>
                </w:p>
                <w:p>
                  <w:pPr>
                    <w:topLinePunct/>
                    <w:adjustRightInd w:val="0"/>
                    <w:snapToGrid w:val="0"/>
                    <w:jc w:val="center"/>
                    <w:rPr>
                      <w:b/>
                      <w:kern w:val="0"/>
                      <w:szCs w:val="21"/>
                    </w:rPr>
                  </w:pPr>
                  <w:r>
                    <w:rPr>
                      <w:b/>
                      <w:kern w:val="0"/>
                      <w:szCs w:val="21"/>
                    </w:rPr>
                    <w:t>能力</w:t>
                  </w:r>
                </w:p>
              </w:tc>
              <w:tc>
                <w:tcPr>
                  <w:tcW w:w="525" w:type="pct"/>
                  <w:shd w:val="clear" w:color="auto" w:fill="CCFFFF"/>
                  <w:noWrap w:val="0"/>
                  <w:vAlign w:val="center"/>
                </w:tcPr>
                <w:p>
                  <w:pPr>
                    <w:topLinePunct/>
                    <w:adjustRightInd w:val="0"/>
                    <w:snapToGrid w:val="0"/>
                    <w:jc w:val="center"/>
                    <w:rPr>
                      <w:b/>
                      <w:kern w:val="0"/>
                      <w:szCs w:val="21"/>
                    </w:rPr>
                  </w:pPr>
                  <w:r>
                    <w:rPr>
                      <w:b/>
                      <w:kern w:val="0"/>
                      <w:szCs w:val="21"/>
                    </w:rPr>
                    <w:t>贮存</w:t>
                  </w:r>
                </w:p>
                <w:p>
                  <w:pPr>
                    <w:topLinePunct/>
                    <w:adjustRightInd w:val="0"/>
                    <w:snapToGrid w:val="0"/>
                    <w:jc w:val="center"/>
                    <w:rPr>
                      <w:b/>
                      <w:kern w:val="0"/>
                      <w:szCs w:val="21"/>
                    </w:rPr>
                  </w:pPr>
                  <w:r>
                    <w:rPr>
                      <w:b/>
                      <w:kern w:val="0"/>
                      <w:szCs w:val="21"/>
                    </w:rPr>
                    <w:t>周期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268" w:type="pct"/>
                  <w:noWrap w:val="0"/>
                  <w:vAlign w:val="center"/>
                </w:tcPr>
                <w:p>
                  <w:pPr>
                    <w:numPr>
                      <w:ilvl w:val="0"/>
                      <w:numId w:val="9"/>
                    </w:numPr>
                    <w:topLinePunct/>
                    <w:adjustRightInd w:val="0"/>
                    <w:snapToGrid w:val="0"/>
                    <w:jc w:val="center"/>
                    <w:rPr>
                      <w:kern w:val="0"/>
                      <w:szCs w:val="21"/>
                    </w:rPr>
                  </w:pPr>
                </w:p>
              </w:tc>
              <w:tc>
                <w:tcPr>
                  <w:tcW w:w="454" w:type="pct"/>
                  <w:vMerge w:val="restart"/>
                  <w:noWrap w:val="0"/>
                  <w:vAlign w:val="center"/>
                </w:tcPr>
                <w:p>
                  <w:pPr>
                    <w:topLinePunct/>
                    <w:adjustRightInd w:val="0"/>
                    <w:snapToGrid w:val="0"/>
                    <w:jc w:val="center"/>
                    <w:rPr>
                      <w:kern w:val="0"/>
                      <w:szCs w:val="21"/>
                    </w:rPr>
                  </w:pPr>
                  <w:r>
                    <w:rPr>
                      <w:kern w:val="0"/>
                      <w:szCs w:val="21"/>
                    </w:rPr>
                    <w:t>危险</w:t>
                  </w:r>
                </w:p>
                <w:p>
                  <w:pPr>
                    <w:topLinePunct/>
                    <w:adjustRightInd w:val="0"/>
                    <w:snapToGrid w:val="0"/>
                    <w:jc w:val="center"/>
                    <w:rPr>
                      <w:kern w:val="0"/>
                      <w:szCs w:val="21"/>
                    </w:rPr>
                  </w:pPr>
                  <w:r>
                    <w:rPr>
                      <w:kern w:val="0"/>
                      <w:szCs w:val="21"/>
                    </w:rPr>
                    <w:t>暂存间</w:t>
                  </w:r>
                </w:p>
              </w:tc>
              <w:tc>
                <w:tcPr>
                  <w:tcW w:w="783" w:type="pct"/>
                  <w:noWrap w:val="0"/>
                  <w:vAlign w:val="center"/>
                </w:tcPr>
                <w:p>
                  <w:pPr>
                    <w:autoSpaceDE w:val="0"/>
                    <w:autoSpaceDN w:val="0"/>
                    <w:adjustRightInd w:val="0"/>
                    <w:snapToGrid w:val="0"/>
                    <w:jc w:val="center"/>
                    <w:textAlignment w:val="bottom"/>
                    <w:rPr>
                      <w:kern w:val="0"/>
                      <w:szCs w:val="21"/>
                    </w:rPr>
                  </w:pPr>
                  <w:r>
                    <w:rPr>
                      <w:kern w:val="0"/>
                      <w:szCs w:val="21"/>
                    </w:rPr>
                    <w:t>废机油</w:t>
                  </w:r>
                </w:p>
              </w:tc>
              <w:tc>
                <w:tcPr>
                  <w:tcW w:w="413" w:type="pct"/>
                  <w:noWrap w:val="0"/>
                  <w:vAlign w:val="center"/>
                </w:tcPr>
                <w:p>
                  <w:pPr>
                    <w:jc w:val="center"/>
                    <w:rPr>
                      <w:kern w:val="0"/>
                      <w:szCs w:val="21"/>
                    </w:rPr>
                  </w:pPr>
                  <w:r>
                    <w:rPr>
                      <w:kern w:val="0"/>
                      <w:szCs w:val="21"/>
                    </w:rPr>
                    <w:t>HW08</w:t>
                  </w:r>
                </w:p>
              </w:tc>
              <w:tc>
                <w:tcPr>
                  <w:tcW w:w="594" w:type="pct"/>
                  <w:noWrap w:val="0"/>
                  <w:vAlign w:val="center"/>
                </w:tcPr>
                <w:p>
                  <w:pPr>
                    <w:autoSpaceDE w:val="0"/>
                    <w:autoSpaceDN w:val="0"/>
                    <w:adjustRightInd w:val="0"/>
                    <w:snapToGrid w:val="0"/>
                    <w:jc w:val="center"/>
                    <w:textAlignment w:val="bottom"/>
                    <w:rPr>
                      <w:kern w:val="0"/>
                      <w:szCs w:val="21"/>
                    </w:rPr>
                  </w:pPr>
                  <w:r>
                    <w:rPr>
                      <w:kern w:val="0"/>
                      <w:szCs w:val="21"/>
                    </w:rPr>
                    <w:t>900-249-08</w:t>
                  </w:r>
                </w:p>
              </w:tc>
              <w:tc>
                <w:tcPr>
                  <w:tcW w:w="388" w:type="pct"/>
                  <w:vMerge w:val="restart"/>
                  <w:noWrap w:val="0"/>
                  <w:vAlign w:val="center"/>
                </w:tcPr>
                <w:p>
                  <w:pPr>
                    <w:topLinePunct/>
                    <w:adjustRightInd w:val="0"/>
                    <w:snapToGrid w:val="0"/>
                    <w:jc w:val="center"/>
                    <w:rPr>
                      <w:kern w:val="0"/>
                      <w:szCs w:val="21"/>
                    </w:rPr>
                  </w:pPr>
                  <w:r>
                    <w:rPr>
                      <w:kern w:val="0"/>
                      <w:szCs w:val="21"/>
                    </w:rPr>
                    <w:t>机修仓库</w:t>
                  </w:r>
                </w:p>
              </w:tc>
              <w:tc>
                <w:tcPr>
                  <w:tcW w:w="564" w:type="pct"/>
                  <w:vMerge w:val="restart"/>
                  <w:noWrap w:val="0"/>
                  <w:vAlign w:val="center"/>
                </w:tcPr>
                <w:p>
                  <w:pPr>
                    <w:topLinePunct/>
                    <w:adjustRightInd w:val="0"/>
                    <w:snapToGrid w:val="0"/>
                    <w:jc w:val="center"/>
                    <w:rPr>
                      <w:kern w:val="0"/>
                      <w:szCs w:val="21"/>
                    </w:rPr>
                  </w:pPr>
                  <w:r>
                    <w:rPr>
                      <w:kern w:val="0"/>
                      <w:szCs w:val="21"/>
                    </w:rPr>
                    <w:t>10m</w:t>
                  </w:r>
                  <w:r>
                    <w:rPr>
                      <w:kern w:val="0"/>
                      <w:szCs w:val="21"/>
                      <w:vertAlign w:val="superscript"/>
                    </w:rPr>
                    <w:t>2</w:t>
                  </w:r>
                </w:p>
              </w:tc>
              <w:tc>
                <w:tcPr>
                  <w:tcW w:w="565" w:type="pct"/>
                  <w:noWrap w:val="0"/>
                  <w:vAlign w:val="center"/>
                </w:tcPr>
                <w:p>
                  <w:pPr>
                    <w:topLinePunct/>
                    <w:adjustRightInd w:val="0"/>
                    <w:snapToGrid w:val="0"/>
                    <w:jc w:val="center"/>
                    <w:rPr>
                      <w:kern w:val="0"/>
                      <w:szCs w:val="21"/>
                    </w:rPr>
                  </w:pPr>
                  <w:r>
                    <w:rPr>
                      <w:kern w:val="0"/>
                      <w:szCs w:val="21"/>
                    </w:rPr>
                    <w:t>桶装</w:t>
                  </w:r>
                </w:p>
              </w:tc>
              <w:tc>
                <w:tcPr>
                  <w:tcW w:w="447" w:type="pct"/>
                  <w:noWrap w:val="0"/>
                  <w:vAlign w:val="center"/>
                </w:tcPr>
                <w:p>
                  <w:pPr>
                    <w:topLinePunct/>
                    <w:adjustRightInd w:val="0"/>
                    <w:snapToGrid w:val="0"/>
                    <w:jc w:val="center"/>
                    <w:rPr>
                      <w:kern w:val="0"/>
                      <w:szCs w:val="21"/>
                    </w:rPr>
                  </w:pPr>
                  <w:r>
                    <w:rPr>
                      <w:kern w:val="0"/>
                      <w:szCs w:val="21"/>
                    </w:rPr>
                    <w:t>0.1t</w:t>
                  </w:r>
                </w:p>
              </w:tc>
              <w:tc>
                <w:tcPr>
                  <w:tcW w:w="525" w:type="pct"/>
                  <w:noWrap w:val="0"/>
                  <w:vAlign w:val="center"/>
                </w:tcPr>
                <w:p>
                  <w:pPr>
                    <w:topLinePunct/>
                    <w:adjustRightInd w:val="0"/>
                    <w:snapToGrid w:val="0"/>
                    <w:jc w:val="center"/>
                    <w:rPr>
                      <w:kern w:val="0"/>
                      <w:szCs w:val="21"/>
                    </w:rPr>
                  </w:pPr>
                  <w:r>
                    <w:rPr>
                      <w:kern w:val="0"/>
                      <w:szCs w:val="21"/>
                    </w:rPr>
                    <w:t>半年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268" w:type="pct"/>
                  <w:noWrap w:val="0"/>
                  <w:vAlign w:val="center"/>
                </w:tcPr>
                <w:p>
                  <w:pPr>
                    <w:numPr>
                      <w:ilvl w:val="0"/>
                      <w:numId w:val="9"/>
                    </w:numPr>
                    <w:topLinePunct/>
                    <w:adjustRightInd w:val="0"/>
                    <w:snapToGrid w:val="0"/>
                    <w:jc w:val="center"/>
                    <w:rPr>
                      <w:kern w:val="0"/>
                      <w:szCs w:val="21"/>
                    </w:rPr>
                  </w:pPr>
                </w:p>
              </w:tc>
              <w:tc>
                <w:tcPr>
                  <w:tcW w:w="454" w:type="pct"/>
                  <w:vMerge w:val="continue"/>
                  <w:noWrap w:val="0"/>
                  <w:vAlign w:val="center"/>
                </w:tcPr>
                <w:p>
                  <w:pPr>
                    <w:topLinePunct/>
                    <w:adjustRightInd w:val="0"/>
                    <w:snapToGrid w:val="0"/>
                    <w:jc w:val="center"/>
                    <w:rPr>
                      <w:kern w:val="0"/>
                      <w:szCs w:val="21"/>
                    </w:rPr>
                  </w:pPr>
                </w:p>
              </w:tc>
              <w:tc>
                <w:tcPr>
                  <w:tcW w:w="783" w:type="pct"/>
                  <w:noWrap w:val="0"/>
                  <w:vAlign w:val="center"/>
                </w:tcPr>
                <w:p>
                  <w:pPr>
                    <w:autoSpaceDE w:val="0"/>
                    <w:autoSpaceDN w:val="0"/>
                    <w:adjustRightInd w:val="0"/>
                    <w:snapToGrid w:val="0"/>
                    <w:jc w:val="center"/>
                    <w:textAlignment w:val="bottom"/>
                    <w:rPr>
                      <w:kern w:val="0"/>
                      <w:szCs w:val="21"/>
                    </w:rPr>
                  </w:pPr>
                  <w:r>
                    <w:rPr>
                      <w:kern w:val="0"/>
                      <w:szCs w:val="21"/>
                    </w:rPr>
                    <w:t>废含油棉纱、手套</w:t>
                  </w:r>
                </w:p>
              </w:tc>
              <w:tc>
                <w:tcPr>
                  <w:tcW w:w="413" w:type="pct"/>
                  <w:noWrap w:val="0"/>
                  <w:vAlign w:val="center"/>
                </w:tcPr>
                <w:p>
                  <w:pPr>
                    <w:jc w:val="center"/>
                    <w:rPr>
                      <w:kern w:val="0"/>
                      <w:sz w:val="24"/>
                      <w:szCs w:val="21"/>
                    </w:rPr>
                  </w:pPr>
                  <w:r>
                    <w:rPr>
                      <w:kern w:val="0"/>
                      <w:szCs w:val="21"/>
                    </w:rPr>
                    <w:t>HW49</w:t>
                  </w:r>
                </w:p>
              </w:tc>
              <w:tc>
                <w:tcPr>
                  <w:tcW w:w="594" w:type="pct"/>
                  <w:noWrap w:val="0"/>
                  <w:vAlign w:val="center"/>
                </w:tcPr>
                <w:p>
                  <w:pPr>
                    <w:autoSpaceDE w:val="0"/>
                    <w:autoSpaceDN w:val="0"/>
                    <w:adjustRightInd w:val="0"/>
                    <w:snapToGrid w:val="0"/>
                    <w:jc w:val="center"/>
                    <w:textAlignment w:val="bottom"/>
                    <w:rPr>
                      <w:kern w:val="0"/>
                      <w:szCs w:val="20"/>
                    </w:rPr>
                  </w:pPr>
                  <w:r>
                    <w:rPr>
                      <w:kern w:val="0"/>
                      <w:szCs w:val="20"/>
                    </w:rPr>
                    <w:t>900-04-49</w:t>
                  </w:r>
                </w:p>
              </w:tc>
              <w:tc>
                <w:tcPr>
                  <w:tcW w:w="388" w:type="pct"/>
                  <w:vMerge w:val="continue"/>
                  <w:noWrap w:val="0"/>
                  <w:vAlign w:val="center"/>
                </w:tcPr>
                <w:p>
                  <w:pPr>
                    <w:topLinePunct/>
                    <w:adjustRightInd w:val="0"/>
                    <w:snapToGrid w:val="0"/>
                    <w:jc w:val="center"/>
                    <w:rPr>
                      <w:kern w:val="0"/>
                      <w:szCs w:val="21"/>
                    </w:rPr>
                  </w:pPr>
                </w:p>
              </w:tc>
              <w:tc>
                <w:tcPr>
                  <w:tcW w:w="564" w:type="pct"/>
                  <w:vMerge w:val="continue"/>
                  <w:noWrap w:val="0"/>
                  <w:vAlign w:val="center"/>
                </w:tcPr>
                <w:p>
                  <w:pPr>
                    <w:topLinePunct/>
                    <w:adjustRightInd w:val="0"/>
                    <w:snapToGrid w:val="0"/>
                    <w:jc w:val="center"/>
                    <w:rPr>
                      <w:kern w:val="0"/>
                      <w:szCs w:val="21"/>
                    </w:rPr>
                  </w:pPr>
                </w:p>
              </w:tc>
              <w:tc>
                <w:tcPr>
                  <w:tcW w:w="565" w:type="pct"/>
                  <w:noWrap w:val="0"/>
                  <w:vAlign w:val="center"/>
                </w:tcPr>
                <w:p>
                  <w:pPr>
                    <w:topLinePunct/>
                    <w:adjustRightInd w:val="0"/>
                    <w:snapToGrid w:val="0"/>
                    <w:jc w:val="center"/>
                    <w:rPr>
                      <w:kern w:val="0"/>
                      <w:szCs w:val="21"/>
                    </w:rPr>
                  </w:pPr>
                  <w:r>
                    <w:rPr>
                      <w:kern w:val="0"/>
                      <w:szCs w:val="21"/>
                    </w:rPr>
                    <w:t>桶装</w:t>
                  </w:r>
                </w:p>
              </w:tc>
              <w:tc>
                <w:tcPr>
                  <w:tcW w:w="447" w:type="pct"/>
                  <w:noWrap w:val="0"/>
                  <w:vAlign w:val="center"/>
                </w:tcPr>
                <w:p>
                  <w:pPr>
                    <w:topLinePunct/>
                    <w:adjustRightInd w:val="0"/>
                    <w:snapToGrid w:val="0"/>
                    <w:jc w:val="center"/>
                    <w:rPr>
                      <w:kern w:val="0"/>
                      <w:szCs w:val="21"/>
                    </w:rPr>
                  </w:pPr>
                  <w:r>
                    <w:rPr>
                      <w:kern w:val="0"/>
                      <w:szCs w:val="21"/>
                    </w:rPr>
                    <w:t>0.01t</w:t>
                  </w:r>
                </w:p>
              </w:tc>
              <w:tc>
                <w:tcPr>
                  <w:tcW w:w="525" w:type="pct"/>
                  <w:noWrap w:val="0"/>
                  <w:vAlign w:val="center"/>
                </w:tcPr>
                <w:p>
                  <w:pPr>
                    <w:topLinePunct/>
                    <w:adjustRightInd w:val="0"/>
                    <w:snapToGrid w:val="0"/>
                    <w:jc w:val="center"/>
                    <w:rPr>
                      <w:kern w:val="0"/>
                      <w:szCs w:val="21"/>
                    </w:rPr>
                  </w:pPr>
                  <w:r>
                    <w:rPr>
                      <w:kern w:val="0"/>
                      <w:szCs w:val="21"/>
                    </w:rPr>
                    <w:t>半年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268" w:type="pct"/>
                  <w:noWrap w:val="0"/>
                  <w:vAlign w:val="center"/>
                </w:tcPr>
                <w:p>
                  <w:pPr>
                    <w:numPr>
                      <w:ilvl w:val="0"/>
                      <w:numId w:val="9"/>
                    </w:numPr>
                    <w:topLinePunct/>
                    <w:adjustRightInd w:val="0"/>
                    <w:snapToGrid w:val="0"/>
                    <w:jc w:val="center"/>
                    <w:rPr>
                      <w:kern w:val="0"/>
                      <w:szCs w:val="21"/>
                    </w:rPr>
                  </w:pPr>
                </w:p>
              </w:tc>
              <w:tc>
                <w:tcPr>
                  <w:tcW w:w="454" w:type="pct"/>
                  <w:vMerge w:val="continue"/>
                  <w:noWrap w:val="0"/>
                  <w:vAlign w:val="center"/>
                </w:tcPr>
                <w:p>
                  <w:pPr>
                    <w:topLinePunct/>
                    <w:adjustRightInd w:val="0"/>
                    <w:snapToGrid w:val="0"/>
                    <w:jc w:val="center"/>
                    <w:rPr>
                      <w:kern w:val="0"/>
                      <w:szCs w:val="21"/>
                    </w:rPr>
                  </w:pPr>
                </w:p>
              </w:tc>
              <w:tc>
                <w:tcPr>
                  <w:tcW w:w="783" w:type="pct"/>
                  <w:noWrap w:val="0"/>
                  <w:vAlign w:val="center"/>
                </w:tcPr>
                <w:p>
                  <w:pPr>
                    <w:autoSpaceDE w:val="0"/>
                    <w:autoSpaceDN w:val="0"/>
                    <w:adjustRightInd w:val="0"/>
                    <w:snapToGrid w:val="0"/>
                    <w:jc w:val="center"/>
                    <w:textAlignment w:val="bottom"/>
                    <w:rPr>
                      <w:kern w:val="0"/>
                      <w:szCs w:val="21"/>
                    </w:rPr>
                  </w:pPr>
                  <w:r>
                    <w:rPr>
                      <w:kern w:val="0"/>
                      <w:szCs w:val="21"/>
                    </w:rPr>
                    <w:t>在线监测</w:t>
                  </w:r>
                </w:p>
              </w:tc>
              <w:tc>
                <w:tcPr>
                  <w:tcW w:w="413" w:type="pct"/>
                  <w:noWrap w:val="0"/>
                  <w:vAlign w:val="center"/>
                </w:tcPr>
                <w:p>
                  <w:pPr>
                    <w:jc w:val="center"/>
                    <w:rPr>
                      <w:kern w:val="0"/>
                      <w:szCs w:val="21"/>
                    </w:rPr>
                  </w:pPr>
                  <w:r>
                    <w:rPr>
                      <w:kern w:val="0"/>
                      <w:szCs w:val="21"/>
                    </w:rPr>
                    <w:t>HW49</w:t>
                  </w:r>
                </w:p>
              </w:tc>
              <w:tc>
                <w:tcPr>
                  <w:tcW w:w="594" w:type="pct"/>
                  <w:noWrap w:val="0"/>
                  <w:vAlign w:val="center"/>
                </w:tcPr>
                <w:p>
                  <w:pPr>
                    <w:autoSpaceDE w:val="0"/>
                    <w:autoSpaceDN w:val="0"/>
                    <w:adjustRightInd w:val="0"/>
                    <w:snapToGrid w:val="0"/>
                    <w:jc w:val="center"/>
                    <w:textAlignment w:val="bottom"/>
                    <w:rPr>
                      <w:kern w:val="0"/>
                      <w:szCs w:val="20"/>
                    </w:rPr>
                  </w:pPr>
                  <w:r>
                    <w:rPr>
                      <w:kern w:val="0"/>
                      <w:szCs w:val="20"/>
                    </w:rPr>
                    <w:t>900-047-49</w:t>
                  </w:r>
                </w:p>
              </w:tc>
              <w:tc>
                <w:tcPr>
                  <w:tcW w:w="388" w:type="pct"/>
                  <w:vMerge w:val="continue"/>
                  <w:noWrap w:val="0"/>
                  <w:vAlign w:val="center"/>
                </w:tcPr>
                <w:p>
                  <w:pPr>
                    <w:topLinePunct/>
                    <w:adjustRightInd w:val="0"/>
                    <w:snapToGrid w:val="0"/>
                    <w:jc w:val="center"/>
                    <w:rPr>
                      <w:kern w:val="0"/>
                      <w:szCs w:val="21"/>
                    </w:rPr>
                  </w:pPr>
                </w:p>
              </w:tc>
              <w:tc>
                <w:tcPr>
                  <w:tcW w:w="564" w:type="pct"/>
                  <w:vMerge w:val="continue"/>
                  <w:noWrap w:val="0"/>
                  <w:vAlign w:val="center"/>
                </w:tcPr>
                <w:p>
                  <w:pPr>
                    <w:topLinePunct/>
                    <w:adjustRightInd w:val="0"/>
                    <w:snapToGrid w:val="0"/>
                    <w:jc w:val="center"/>
                    <w:rPr>
                      <w:kern w:val="0"/>
                      <w:szCs w:val="21"/>
                    </w:rPr>
                  </w:pPr>
                </w:p>
              </w:tc>
              <w:tc>
                <w:tcPr>
                  <w:tcW w:w="565" w:type="pct"/>
                  <w:noWrap w:val="0"/>
                  <w:vAlign w:val="center"/>
                </w:tcPr>
                <w:p>
                  <w:pPr>
                    <w:topLinePunct/>
                    <w:adjustRightInd w:val="0"/>
                    <w:snapToGrid w:val="0"/>
                    <w:jc w:val="center"/>
                    <w:rPr>
                      <w:kern w:val="0"/>
                      <w:szCs w:val="21"/>
                    </w:rPr>
                  </w:pPr>
                  <w:r>
                    <w:rPr>
                      <w:kern w:val="0"/>
                      <w:szCs w:val="21"/>
                    </w:rPr>
                    <w:t>桶装</w:t>
                  </w:r>
                </w:p>
              </w:tc>
              <w:tc>
                <w:tcPr>
                  <w:tcW w:w="447" w:type="pct"/>
                  <w:noWrap w:val="0"/>
                  <w:vAlign w:val="center"/>
                </w:tcPr>
                <w:p>
                  <w:pPr>
                    <w:topLinePunct/>
                    <w:adjustRightInd w:val="0"/>
                    <w:snapToGrid w:val="0"/>
                    <w:jc w:val="center"/>
                    <w:rPr>
                      <w:kern w:val="0"/>
                      <w:szCs w:val="21"/>
                    </w:rPr>
                  </w:pPr>
                  <w:r>
                    <w:rPr>
                      <w:kern w:val="0"/>
                      <w:szCs w:val="21"/>
                    </w:rPr>
                    <w:t>0.2t</w:t>
                  </w:r>
                </w:p>
              </w:tc>
              <w:tc>
                <w:tcPr>
                  <w:tcW w:w="525" w:type="pct"/>
                  <w:noWrap w:val="0"/>
                  <w:vAlign w:val="center"/>
                </w:tcPr>
                <w:p>
                  <w:pPr>
                    <w:topLinePunct/>
                    <w:adjustRightInd w:val="0"/>
                    <w:snapToGrid w:val="0"/>
                    <w:jc w:val="center"/>
                    <w:rPr>
                      <w:kern w:val="0"/>
                      <w:szCs w:val="21"/>
                    </w:rPr>
                  </w:pPr>
                  <w:r>
                    <w:rPr>
                      <w:kern w:val="0"/>
                      <w:szCs w:val="21"/>
                    </w:rPr>
                    <w:t>1个月</w:t>
                  </w:r>
                </w:p>
              </w:tc>
            </w:tr>
          </w:tbl>
          <w:p>
            <w:pPr>
              <w:spacing w:line="360" w:lineRule="auto"/>
              <w:ind w:firstLine="482" w:firstLineChars="200"/>
              <w:rPr>
                <w:b/>
                <w:bCs/>
                <w:sz w:val="24"/>
              </w:rPr>
            </w:pPr>
            <w:r>
              <w:rPr>
                <w:b/>
                <w:bCs/>
                <w:sz w:val="24"/>
              </w:rPr>
              <w:t>5、地下水及土壤环境影响分析</w:t>
            </w:r>
          </w:p>
          <w:p>
            <w:pPr>
              <w:spacing w:line="360" w:lineRule="auto"/>
              <w:ind w:firstLine="482" w:firstLineChars="200"/>
              <w:rPr>
                <w:b/>
                <w:bCs/>
                <w:sz w:val="24"/>
              </w:rPr>
            </w:pPr>
            <w:r>
              <w:rPr>
                <w:b/>
                <w:bCs/>
                <w:sz w:val="24"/>
              </w:rPr>
              <w:t>（1）地下水、土壤污染源、污染物类型及污染途径分析</w:t>
            </w:r>
          </w:p>
          <w:p>
            <w:pPr>
              <w:spacing w:line="360" w:lineRule="auto"/>
              <w:ind w:firstLine="480" w:firstLineChars="200"/>
              <w:rPr>
                <w:sz w:val="24"/>
              </w:rPr>
            </w:pPr>
            <w:r>
              <w:rPr>
                <w:sz w:val="24"/>
              </w:rPr>
              <w:t>根据本项目的工程特点，如不采取合理的防治措施，废水中的COD、BOD</w:t>
            </w:r>
            <w:r>
              <w:rPr>
                <w:sz w:val="24"/>
                <w:vertAlign w:val="subscript"/>
              </w:rPr>
              <w:t>5</w:t>
            </w:r>
            <w:r>
              <w:rPr>
                <w:sz w:val="24"/>
              </w:rPr>
              <w:t>等污染物可能渗入地下水潜水，从而影响地下潜水环境。地下水污染防治措施坚持“源头控制、分区防控、污染监控、应急响应相结合”的原则，即采取主动控制和被动控制相结合的措施。因此必须制定相应的地下水环境保护措施，进行综合环境管理。</w:t>
            </w:r>
          </w:p>
          <w:p>
            <w:pPr>
              <w:spacing w:line="360" w:lineRule="auto"/>
              <w:ind w:firstLine="482" w:firstLineChars="200"/>
              <w:rPr>
                <w:b/>
                <w:bCs/>
                <w:sz w:val="24"/>
              </w:rPr>
            </w:pPr>
            <w:r>
              <w:rPr>
                <w:b/>
                <w:bCs/>
                <w:sz w:val="24"/>
              </w:rPr>
              <w:t>（2）污染源源头控制措施</w:t>
            </w:r>
          </w:p>
          <w:p>
            <w:pPr>
              <w:spacing w:line="360" w:lineRule="auto"/>
              <w:ind w:firstLine="480" w:firstLineChars="200"/>
              <w:rPr>
                <w:sz w:val="24"/>
              </w:rPr>
            </w:pPr>
            <w:r>
              <w:rPr>
                <w:sz w:val="24"/>
              </w:rPr>
              <w:t>地下水一旦受到污染，将很难恢复。地下水污染的主要措施为源头控制，主要是做好前期的各项工作，加强地下水环保措施，将地下水环境影响降至最低。可从以下方面做到源头控制：</w:t>
            </w:r>
          </w:p>
          <w:p>
            <w:pPr>
              <w:spacing w:line="360" w:lineRule="auto"/>
              <w:ind w:firstLine="480" w:firstLineChars="200"/>
              <w:rPr>
                <w:sz w:val="24"/>
              </w:rPr>
            </w:pPr>
            <w:r>
              <w:rPr>
                <w:sz w:val="24"/>
              </w:rPr>
              <w:t>1）设计过程中，对需要防渗的区域，防渗层基层应具有一定承载能力，防止由于基层不均匀沉降等引起防渗层开裂、撕裂，必要时应对基层进行处理；</w:t>
            </w:r>
          </w:p>
          <w:p>
            <w:pPr>
              <w:spacing w:line="360" w:lineRule="auto"/>
              <w:ind w:firstLine="480" w:firstLineChars="200"/>
              <w:rPr>
                <w:sz w:val="24"/>
              </w:rPr>
            </w:pPr>
            <w:r>
              <w:rPr>
                <w:sz w:val="24"/>
              </w:rPr>
              <w:t>2）正常生产过程中应加强巡检及时处理污染物跑、冒、滴、漏，同时应加强对可能产生污染高发区的检查，若发现防渗密封材料老化或损坏，应及时维修更换。</w:t>
            </w:r>
          </w:p>
          <w:p>
            <w:pPr>
              <w:spacing w:line="360" w:lineRule="auto"/>
              <w:ind w:firstLine="482" w:firstLineChars="200"/>
              <w:rPr>
                <w:b/>
                <w:bCs/>
                <w:sz w:val="24"/>
              </w:rPr>
            </w:pPr>
            <w:r>
              <w:rPr>
                <w:b/>
                <w:bCs/>
                <w:sz w:val="24"/>
              </w:rPr>
              <w:t>（3）分区防控措施</w:t>
            </w:r>
          </w:p>
          <w:p>
            <w:pPr>
              <w:spacing w:line="360" w:lineRule="auto"/>
              <w:ind w:firstLine="480" w:firstLineChars="200"/>
              <w:rPr>
                <w:sz w:val="24"/>
              </w:rPr>
            </w:pPr>
            <w:r>
              <w:rPr>
                <w:sz w:val="24"/>
              </w:rPr>
              <w:t>1）污染防治区划分</w:t>
            </w:r>
          </w:p>
          <w:p>
            <w:pPr>
              <w:spacing w:line="360" w:lineRule="auto"/>
              <w:ind w:firstLine="480" w:firstLineChars="200"/>
              <w:rPr>
                <w:sz w:val="24"/>
              </w:rPr>
            </w:pPr>
            <w:r>
              <w:rPr>
                <w:sz w:val="24"/>
              </w:rPr>
              <w:t>根据建设项目各生产、生活功能单元可能产生污染的地区，划分为重点污染防渗区、一般污染防渗区、简单防渗区。对建设项目可能泄漏污染物的地面进行防渗处理，可有效防止污染物渗入地下，并及时地将泄漏、渗漏的污染物收集并进行集中处理。</w:t>
            </w:r>
          </w:p>
          <w:p>
            <w:pPr>
              <w:spacing w:line="360" w:lineRule="auto"/>
              <w:ind w:firstLine="480" w:firstLineChars="200"/>
              <w:rPr>
                <w:sz w:val="24"/>
              </w:rPr>
            </w:pPr>
            <w:r>
              <w:rPr>
                <w:sz w:val="24"/>
              </w:rPr>
              <w:t>重点防渗区为：本次新增的调节池和污泥池、一体化设备区域、污泥料仓区域。</w:t>
            </w:r>
          </w:p>
          <w:p>
            <w:pPr>
              <w:spacing w:line="360" w:lineRule="auto"/>
              <w:ind w:firstLine="480" w:firstLineChars="200"/>
              <w:rPr>
                <w:sz w:val="24"/>
              </w:rPr>
            </w:pPr>
            <w:r>
              <w:rPr>
                <w:sz w:val="24"/>
              </w:rPr>
              <w:t>一般防渗区为：本次新增的反冲洗水罐区域。</w:t>
            </w:r>
          </w:p>
          <w:p>
            <w:pPr>
              <w:spacing w:line="360" w:lineRule="auto"/>
              <w:ind w:firstLine="480" w:firstLineChars="200"/>
              <w:rPr>
                <w:sz w:val="24"/>
              </w:rPr>
            </w:pPr>
            <w:r>
              <w:rPr>
                <w:sz w:val="24"/>
              </w:rPr>
              <w:t>简单防渗区为：本次新增的简单防渗区域为厂区道路。</w:t>
            </w:r>
          </w:p>
          <w:p>
            <w:pPr>
              <w:spacing w:line="360" w:lineRule="auto"/>
              <w:ind w:firstLine="482" w:firstLineChars="200"/>
              <w:rPr>
                <w:b/>
                <w:bCs/>
                <w:sz w:val="24"/>
              </w:rPr>
            </w:pPr>
            <w:r>
              <w:rPr>
                <w:b/>
                <w:bCs/>
                <w:sz w:val="24"/>
              </w:rPr>
              <w:t>（3）对重点防渗区防渗措施</w:t>
            </w:r>
          </w:p>
          <w:p>
            <w:pPr>
              <w:spacing w:line="360" w:lineRule="auto"/>
              <w:ind w:firstLine="480" w:firstLineChars="200"/>
              <w:rPr>
                <w:sz w:val="24"/>
              </w:rPr>
            </w:pPr>
            <w:r>
              <w:rPr>
                <w:sz w:val="24"/>
              </w:rPr>
              <w:t>①所有污水、污泥处理构筑物池体混凝土抗压强度、抗渗、抗冻性能必须达到设计要求；底板混凝土高程和坡度要满足设计要求；池壁要垂直、表面平整，相邻湿接缝部位的混凝土应紧密，保护层厚度符合规定；浇注池壁混凝土前，混凝土施工缝应凿毛并冲洗干净，混凝土要衔接紧密不得渗漏；预埋管件、止水带和填缝板要安装牢固，位置准确；每座水池必须做满水实验，确保质量合格。</w:t>
            </w:r>
          </w:p>
          <w:p>
            <w:pPr>
              <w:spacing w:line="360" w:lineRule="auto"/>
              <w:ind w:firstLine="480" w:firstLineChars="200"/>
              <w:rPr>
                <w:sz w:val="24"/>
              </w:rPr>
            </w:pPr>
            <w:r>
              <w:rPr>
                <w:sz w:val="24"/>
              </w:rPr>
              <w:t>②重点污染防治区各建构筑物应按照要求进行“防渗、防腐”处理。渗透系数≤1×10</w:t>
            </w:r>
            <w:r>
              <w:rPr>
                <w:sz w:val="24"/>
                <w:vertAlign w:val="superscript"/>
              </w:rPr>
              <w:t>-10</w:t>
            </w:r>
            <w:r>
              <w:rPr>
                <w:sz w:val="24"/>
              </w:rPr>
              <w:t>cm/s。</w:t>
            </w:r>
          </w:p>
          <w:p>
            <w:pPr>
              <w:spacing w:line="360" w:lineRule="auto"/>
              <w:ind w:firstLine="482" w:firstLineChars="200"/>
              <w:rPr>
                <w:b/>
                <w:bCs/>
                <w:sz w:val="24"/>
              </w:rPr>
            </w:pPr>
            <w:r>
              <w:rPr>
                <w:b/>
                <w:bCs/>
                <w:sz w:val="24"/>
              </w:rPr>
              <w:t>（4）对一般防渗区防渗措施</w:t>
            </w:r>
          </w:p>
          <w:p>
            <w:pPr>
              <w:spacing w:line="360" w:lineRule="auto"/>
              <w:ind w:firstLine="480" w:firstLineChars="200"/>
              <w:rPr>
                <w:sz w:val="24"/>
              </w:rPr>
            </w:pPr>
            <w:r>
              <w:rPr>
                <w:sz w:val="24"/>
              </w:rPr>
              <w:t>一般防渗区地面采取粘土铺底，再在上层铺10~15cm的水泥进行硬化。渗透系数≤1×10</w:t>
            </w:r>
            <w:r>
              <w:rPr>
                <w:sz w:val="24"/>
                <w:vertAlign w:val="superscript"/>
              </w:rPr>
              <w:t>-7</w:t>
            </w:r>
            <w:r>
              <w:rPr>
                <w:sz w:val="24"/>
              </w:rPr>
              <w:t>cm/s。</w:t>
            </w:r>
          </w:p>
          <w:p>
            <w:pPr>
              <w:spacing w:line="360" w:lineRule="auto"/>
              <w:ind w:firstLine="482" w:firstLineChars="200"/>
              <w:rPr>
                <w:b/>
                <w:bCs/>
                <w:sz w:val="24"/>
              </w:rPr>
            </w:pPr>
            <w:r>
              <w:rPr>
                <w:b/>
                <w:bCs/>
                <w:sz w:val="24"/>
              </w:rPr>
              <w:t>（5）对简单污染区防渗措施</w:t>
            </w:r>
          </w:p>
          <w:p>
            <w:pPr>
              <w:spacing w:line="360" w:lineRule="auto"/>
              <w:ind w:firstLine="480" w:firstLineChars="200"/>
              <w:rPr>
                <w:sz w:val="24"/>
              </w:rPr>
            </w:pPr>
            <w:r>
              <w:rPr>
                <w:sz w:val="24"/>
              </w:rPr>
              <w:t>项目简单防渗区防渗技术要求为一般地面硬化。</w:t>
            </w:r>
          </w:p>
          <w:p>
            <w:pPr>
              <w:spacing w:line="360" w:lineRule="auto"/>
              <w:ind w:firstLine="482" w:firstLineChars="200"/>
              <w:rPr>
                <w:b/>
                <w:bCs/>
                <w:sz w:val="24"/>
              </w:rPr>
            </w:pPr>
            <w:r>
              <w:rPr>
                <w:b/>
                <w:bCs/>
                <w:sz w:val="24"/>
              </w:rPr>
              <w:t>（6）其他管理要求</w:t>
            </w:r>
          </w:p>
          <w:p>
            <w:pPr>
              <w:spacing w:line="360" w:lineRule="auto"/>
              <w:ind w:firstLine="480" w:firstLineChars="200"/>
              <w:rPr>
                <w:sz w:val="24"/>
              </w:rPr>
            </w:pPr>
            <w:r>
              <w:rPr>
                <w:sz w:val="24"/>
              </w:rPr>
              <w:t>①杜绝生产过程中液体跑、冒、滴、漏等，并定期进行检漏监测及检修；</w:t>
            </w:r>
          </w:p>
          <w:p>
            <w:pPr>
              <w:spacing w:line="360" w:lineRule="auto"/>
              <w:ind w:firstLine="480" w:firstLineChars="200"/>
              <w:rPr>
                <w:sz w:val="24"/>
              </w:rPr>
            </w:pPr>
            <w:r>
              <w:rPr>
                <w:sz w:val="24"/>
              </w:rPr>
              <w:t>②加强项目区的污水、固废管理，确保不发生渗漏，避免污水、固废进入地下水体。</w:t>
            </w:r>
          </w:p>
          <w:p>
            <w:pPr>
              <w:spacing w:line="360" w:lineRule="auto"/>
              <w:ind w:firstLine="480" w:firstLineChars="200"/>
              <w:rPr>
                <w:sz w:val="24"/>
              </w:rPr>
            </w:pPr>
            <w:r>
              <w:rPr>
                <w:sz w:val="24"/>
              </w:rPr>
              <w:t>③制定地下水风险事故应急预案，事故状态确保防控体系的有效运行。</w:t>
            </w:r>
          </w:p>
          <w:p>
            <w:pPr>
              <w:spacing w:line="360" w:lineRule="auto"/>
              <w:ind w:firstLine="480" w:firstLineChars="200"/>
              <w:rPr>
                <w:sz w:val="24"/>
              </w:rPr>
            </w:pPr>
            <w:r>
              <w:rPr>
                <w:sz w:val="24"/>
              </w:rPr>
              <w:t>④项目防渗工程</w:t>
            </w:r>
            <w:r>
              <w:rPr>
                <w:rFonts w:hint="eastAsia"/>
                <w:sz w:val="24"/>
              </w:rPr>
              <w:t>需</w:t>
            </w:r>
            <w:r>
              <w:rPr>
                <w:sz w:val="24"/>
              </w:rPr>
              <w:t>定期进行检漏监测。</w:t>
            </w:r>
          </w:p>
          <w:p>
            <w:pPr>
              <w:spacing w:line="360" w:lineRule="auto"/>
              <w:ind w:firstLine="482" w:firstLineChars="200"/>
              <w:rPr>
                <w:b/>
                <w:bCs/>
                <w:sz w:val="24"/>
              </w:rPr>
            </w:pPr>
            <w:r>
              <w:rPr>
                <w:b/>
                <w:bCs/>
                <w:sz w:val="24"/>
              </w:rPr>
              <w:t>综上，项目采取以上措施进行治理后对地下水环境影响较小。</w:t>
            </w:r>
          </w:p>
          <w:p>
            <w:pPr>
              <w:spacing w:line="360" w:lineRule="auto"/>
              <w:rPr>
                <w:b/>
                <w:bCs/>
                <w:sz w:val="24"/>
              </w:rPr>
            </w:pPr>
            <w:r>
              <w:rPr>
                <w:b/>
                <w:bCs/>
                <w:sz w:val="24"/>
              </w:rPr>
              <w:t>六、环境风险</w:t>
            </w:r>
          </w:p>
          <w:p>
            <w:pPr>
              <w:spacing w:line="360" w:lineRule="auto"/>
              <w:ind w:firstLine="482" w:firstLineChars="200"/>
              <w:rPr>
                <w:b/>
                <w:bCs/>
                <w:sz w:val="24"/>
              </w:rPr>
            </w:pPr>
            <w:r>
              <w:rPr>
                <w:b/>
                <w:bCs/>
                <w:sz w:val="24"/>
              </w:rPr>
              <w:t>1、评价依据</w:t>
            </w:r>
          </w:p>
          <w:p>
            <w:pPr>
              <w:spacing w:line="360" w:lineRule="auto"/>
              <w:ind w:firstLine="480" w:firstLineChars="200"/>
              <w:rPr>
                <w:sz w:val="24"/>
              </w:rPr>
            </w:pPr>
            <w:r>
              <w:rPr>
                <w:sz w:val="24"/>
              </w:rPr>
              <w:t>（1）风险调查</w:t>
            </w:r>
          </w:p>
          <w:p>
            <w:pPr>
              <w:spacing w:line="360" w:lineRule="auto"/>
              <w:ind w:firstLine="480" w:firstLineChars="200"/>
              <w:rPr>
                <w:sz w:val="24"/>
              </w:rPr>
            </w:pPr>
            <w:r>
              <w:rPr>
                <w:sz w:val="24"/>
              </w:rPr>
              <w:t>本项目运营过程中涉及的风险物质主要为生产过程中厂区储存的原料及产品，主要有原料聚合氯化铝、乙酸钠、聚丙烯酰胺、盐酸和氯酸钠。根据《建设项目环境风险评价技术导则》（HJ169-2018）附录B以及《企业突发环境事件风险分级方法》（发布稿）附录A，其使用及储存情况见下表。</w:t>
            </w:r>
          </w:p>
          <w:p>
            <w:pPr>
              <w:adjustRightInd w:val="0"/>
              <w:ind w:left="902" w:hanging="482"/>
              <w:jc w:val="center"/>
              <w:textAlignment w:val="baseline"/>
              <w:rPr>
                <w:rFonts w:eastAsia="黑体"/>
                <w:sz w:val="24"/>
                <w:szCs w:val="20"/>
              </w:rPr>
            </w:pPr>
            <w:r>
              <w:rPr>
                <w:rFonts w:eastAsia="黑体"/>
                <w:sz w:val="24"/>
                <w:szCs w:val="20"/>
              </w:rPr>
              <w:t>表4-19  项目化学品使用及储存情况一览表</w:t>
            </w:r>
          </w:p>
          <w:tbl>
            <w:tblPr>
              <w:tblStyle w:val="32"/>
              <w:tblW w:w="8438"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638"/>
              <w:gridCol w:w="928"/>
              <w:gridCol w:w="1701"/>
              <w:gridCol w:w="871"/>
              <w:gridCol w:w="878"/>
              <w:gridCol w:w="824"/>
              <w:gridCol w:w="852"/>
              <w:gridCol w:w="550"/>
              <w:gridCol w:w="555"/>
              <w:gridCol w:w="64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46" w:hRule="atLeast"/>
                <w:jc w:val="center"/>
              </w:trPr>
              <w:tc>
                <w:tcPr>
                  <w:tcW w:w="378" w:type="pct"/>
                  <w:vMerge w:val="restart"/>
                  <w:shd w:val="clear" w:color="auto" w:fill="CCFFFF"/>
                  <w:noWrap w:val="0"/>
                  <w:vAlign w:val="center"/>
                </w:tcPr>
                <w:p>
                  <w:pPr>
                    <w:snapToGrid w:val="0"/>
                    <w:jc w:val="center"/>
                    <w:rPr>
                      <w:b/>
                      <w:szCs w:val="21"/>
                    </w:rPr>
                  </w:pPr>
                  <w:r>
                    <w:rPr>
                      <w:b/>
                      <w:szCs w:val="21"/>
                    </w:rPr>
                    <w:t>类别</w:t>
                  </w:r>
                </w:p>
              </w:tc>
              <w:tc>
                <w:tcPr>
                  <w:tcW w:w="550" w:type="pct"/>
                  <w:vMerge w:val="restart"/>
                  <w:shd w:val="clear" w:color="auto" w:fill="CCFFFF"/>
                  <w:noWrap w:val="0"/>
                  <w:vAlign w:val="center"/>
                </w:tcPr>
                <w:p>
                  <w:pPr>
                    <w:snapToGrid w:val="0"/>
                    <w:jc w:val="center"/>
                    <w:rPr>
                      <w:b/>
                      <w:szCs w:val="21"/>
                    </w:rPr>
                  </w:pPr>
                  <w:r>
                    <w:rPr>
                      <w:b/>
                      <w:szCs w:val="21"/>
                    </w:rPr>
                    <w:t>名称</w:t>
                  </w:r>
                </w:p>
              </w:tc>
              <w:tc>
                <w:tcPr>
                  <w:tcW w:w="1008" w:type="pct"/>
                  <w:vMerge w:val="restart"/>
                  <w:shd w:val="clear" w:color="auto" w:fill="CCFFFF"/>
                  <w:noWrap w:val="0"/>
                  <w:vAlign w:val="center"/>
                </w:tcPr>
                <w:p>
                  <w:pPr>
                    <w:snapToGrid w:val="0"/>
                    <w:jc w:val="center"/>
                    <w:rPr>
                      <w:b/>
                      <w:szCs w:val="21"/>
                    </w:rPr>
                  </w:pPr>
                  <w:r>
                    <w:rPr>
                      <w:b/>
                      <w:szCs w:val="21"/>
                    </w:rPr>
                    <w:t>主要化学成分</w:t>
                  </w:r>
                </w:p>
              </w:tc>
              <w:tc>
                <w:tcPr>
                  <w:tcW w:w="1036" w:type="pct"/>
                  <w:gridSpan w:val="2"/>
                  <w:shd w:val="clear" w:color="auto" w:fill="CCFFFF"/>
                  <w:noWrap w:val="0"/>
                  <w:vAlign w:val="center"/>
                </w:tcPr>
                <w:p>
                  <w:pPr>
                    <w:snapToGrid w:val="0"/>
                    <w:jc w:val="center"/>
                    <w:rPr>
                      <w:b/>
                      <w:szCs w:val="21"/>
                    </w:rPr>
                  </w:pPr>
                  <w:r>
                    <w:rPr>
                      <w:b/>
                      <w:szCs w:val="21"/>
                    </w:rPr>
                    <w:t>年耗量（t/a）</w:t>
                  </w:r>
                </w:p>
              </w:tc>
              <w:tc>
                <w:tcPr>
                  <w:tcW w:w="488" w:type="pct"/>
                  <w:vMerge w:val="restart"/>
                  <w:shd w:val="clear" w:color="auto" w:fill="CCFFFF"/>
                  <w:noWrap w:val="0"/>
                  <w:vAlign w:val="center"/>
                </w:tcPr>
                <w:p>
                  <w:pPr>
                    <w:snapToGrid w:val="0"/>
                    <w:jc w:val="center"/>
                    <w:rPr>
                      <w:b/>
                      <w:szCs w:val="21"/>
                    </w:rPr>
                  </w:pPr>
                  <w:r>
                    <w:rPr>
                      <w:b/>
                      <w:szCs w:val="21"/>
                    </w:rPr>
                    <w:t>储存</w:t>
                  </w:r>
                </w:p>
                <w:p>
                  <w:pPr>
                    <w:snapToGrid w:val="0"/>
                    <w:jc w:val="center"/>
                    <w:rPr>
                      <w:b/>
                      <w:szCs w:val="21"/>
                    </w:rPr>
                  </w:pPr>
                  <w:r>
                    <w:rPr>
                      <w:b/>
                      <w:szCs w:val="21"/>
                    </w:rPr>
                    <w:t>位置</w:t>
                  </w:r>
                </w:p>
              </w:tc>
              <w:tc>
                <w:tcPr>
                  <w:tcW w:w="505" w:type="pct"/>
                  <w:vMerge w:val="restart"/>
                  <w:shd w:val="clear" w:color="auto" w:fill="CCFFFF"/>
                  <w:noWrap w:val="0"/>
                  <w:vAlign w:val="center"/>
                </w:tcPr>
                <w:p>
                  <w:pPr>
                    <w:snapToGrid w:val="0"/>
                    <w:jc w:val="center"/>
                    <w:rPr>
                      <w:b/>
                      <w:szCs w:val="21"/>
                    </w:rPr>
                  </w:pPr>
                  <w:r>
                    <w:rPr>
                      <w:b/>
                      <w:szCs w:val="21"/>
                    </w:rPr>
                    <w:t>最大</w:t>
                  </w:r>
                </w:p>
                <w:p>
                  <w:pPr>
                    <w:snapToGrid w:val="0"/>
                    <w:jc w:val="center"/>
                    <w:rPr>
                      <w:b/>
                      <w:szCs w:val="21"/>
                    </w:rPr>
                  </w:pPr>
                  <w:r>
                    <w:rPr>
                      <w:b/>
                      <w:szCs w:val="21"/>
                    </w:rPr>
                    <w:t>储存量</w:t>
                  </w:r>
                </w:p>
              </w:tc>
              <w:tc>
                <w:tcPr>
                  <w:tcW w:w="326" w:type="pct"/>
                  <w:vMerge w:val="restart"/>
                  <w:shd w:val="clear" w:color="auto" w:fill="CCFFFF"/>
                  <w:noWrap w:val="0"/>
                  <w:vAlign w:val="center"/>
                </w:tcPr>
                <w:p>
                  <w:pPr>
                    <w:snapToGrid w:val="0"/>
                    <w:jc w:val="center"/>
                    <w:rPr>
                      <w:b/>
                      <w:szCs w:val="21"/>
                    </w:rPr>
                  </w:pPr>
                  <w:r>
                    <w:rPr>
                      <w:b/>
                      <w:szCs w:val="21"/>
                    </w:rPr>
                    <w:t>物料状态</w:t>
                  </w:r>
                </w:p>
              </w:tc>
              <w:tc>
                <w:tcPr>
                  <w:tcW w:w="329" w:type="pct"/>
                  <w:vMerge w:val="restart"/>
                  <w:shd w:val="clear" w:color="auto" w:fill="CCFFFF"/>
                  <w:noWrap w:val="0"/>
                  <w:vAlign w:val="center"/>
                </w:tcPr>
                <w:p>
                  <w:pPr>
                    <w:snapToGrid w:val="0"/>
                    <w:jc w:val="center"/>
                    <w:rPr>
                      <w:b/>
                      <w:szCs w:val="21"/>
                    </w:rPr>
                  </w:pPr>
                  <w:r>
                    <w:rPr>
                      <w:b/>
                      <w:szCs w:val="21"/>
                    </w:rPr>
                    <w:t>来源</w:t>
                  </w:r>
                </w:p>
              </w:tc>
              <w:tc>
                <w:tcPr>
                  <w:tcW w:w="380" w:type="pct"/>
                  <w:vMerge w:val="restart"/>
                  <w:shd w:val="clear" w:color="auto" w:fill="CCFFFF"/>
                  <w:noWrap w:val="0"/>
                  <w:vAlign w:val="center"/>
                </w:tcPr>
                <w:p>
                  <w:pPr>
                    <w:snapToGrid w:val="0"/>
                    <w:jc w:val="center"/>
                    <w:rPr>
                      <w:b/>
                      <w:szCs w:val="21"/>
                    </w:rPr>
                  </w:pPr>
                  <w:r>
                    <w:rPr>
                      <w:b/>
                      <w:szCs w:val="21"/>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46" w:hRule="atLeast"/>
                <w:jc w:val="center"/>
              </w:trPr>
              <w:tc>
                <w:tcPr>
                  <w:tcW w:w="378" w:type="pct"/>
                  <w:vMerge w:val="continue"/>
                  <w:shd w:val="clear" w:color="auto" w:fill="CCFFFF"/>
                  <w:noWrap w:val="0"/>
                  <w:vAlign w:val="center"/>
                </w:tcPr>
                <w:p>
                  <w:pPr>
                    <w:snapToGrid w:val="0"/>
                    <w:jc w:val="center"/>
                    <w:rPr>
                      <w:b/>
                      <w:szCs w:val="21"/>
                    </w:rPr>
                  </w:pPr>
                </w:p>
              </w:tc>
              <w:tc>
                <w:tcPr>
                  <w:tcW w:w="550" w:type="pct"/>
                  <w:vMerge w:val="continue"/>
                  <w:shd w:val="clear" w:color="auto" w:fill="CCFFFF"/>
                  <w:noWrap w:val="0"/>
                  <w:vAlign w:val="center"/>
                </w:tcPr>
                <w:p>
                  <w:pPr>
                    <w:snapToGrid w:val="0"/>
                    <w:jc w:val="center"/>
                    <w:rPr>
                      <w:b/>
                      <w:szCs w:val="21"/>
                    </w:rPr>
                  </w:pPr>
                </w:p>
              </w:tc>
              <w:tc>
                <w:tcPr>
                  <w:tcW w:w="1008" w:type="pct"/>
                  <w:vMerge w:val="continue"/>
                  <w:shd w:val="clear" w:color="auto" w:fill="CCFFFF"/>
                  <w:noWrap w:val="0"/>
                  <w:vAlign w:val="center"/>
                </w:tcPr>
                <w:p>
                  <w:pPr>
                    <w:snapToGrid w:val="0"/>
                    <w:jc w:val="center"/>
                    <w:rPr>
                      <w:b/>
                      <w:szCs w:val="21"/>
                    </w:rPr>
                  </w:pPr>
                </w:p>
              </w:tc>
              <w:tc>
                <w:tcPr>
                  <w:tcW w:w="516" w:type="pct"/>
                  <w:shd w:val="clear" w:color="auto" w:fill="CCFFFF"/>
                  <w:noWrap w:val="0"/>
                  <w:vAlign w:val="center"/>
                </w:tcPr>
                <w:p>
                  <w:pPr>
                    <w:snapToGrid w:val="0"/>
                    <w:jc w:val="center"/>
                    <w:rPr>
                      <w:b/>
                      <w:szCs w:val="21"/>
                    </w:rPr>
                  </w:pPr>
                  <w:r>
                    <w:rPr>
                      <w:b/>
                      <w:szCs w:val="21"/>
                    </w:rPr>
                    <w:t>扩建前</w:t>
                  </w:r>
                </w:p>
              </w:tc>
              <w:tc>
                <w:tcPr>
                  <w:tcW w:w="520" w:type="pct"/>
                  <w:shd w:val="clear" w:color="auto" w:fill="CCFFFF"/>
                  <w:noWrap w:val="0"/>
                  <w:vAlign w:val="center"/>
                </w:tcPr>
                <w:p>
                  <w:pPr>
                    <w:snapToGrid w:val="0"/>
                    <w:jc w:val="center"/>
                    <w:rPr>
                      <w:b/>
                      <w:szCs w:val="21"/>
                    </w:rPr>
                  </w:pPr>
                  <w:r>
                    <w:rPr>
                      <w:b/>
                      <w:szCs w:val="21"/>
                    </w:rPr>
                    <w:t>扩建后</w:t>
                  </w:r>
                </w:p>
              </w:tc>
              <w:tc>
                <w:tcPr>
                  <w:tcW w:w="488" w:type="pct"/>
                  <w:vMerge w:val="continue"/>
                  <w:shd w:val="clear" w:color="auto" w:fill="CCFFFF"/>
                  <w:noWrap w:val="0"/>
                  <w:vAlign w:val="center"/>
                </w:tcPr>
                <w:p>
                  <w:pPr>
                    <w:snapToGrid w:val="0"/>
                    <w:jc w:val="center"/>
                    <w:rPr>
                      <w:b/>
                      <w:szCs w:val="21"/>
                    </w:rPr>
                  </w:pPr>
                </w:p>
              </w:tc>
              <w:tc>
                <w:tcPr>
                  <w:tcW w:w="505" w:type="pct"/>
                  <w:vMerge w:val="continue"/>
                  <w:shd w:val="clear" w:color="auto" w:fill="CCFFFF"/>
                  <w:noWrap w:val="0"/>
                  <w:vAlign w:val="center"/>
                </w:tcPr>
                <w:p>
                  <w:pPr>
                    <w:snapToGrid w:val="0"/>
                    <w:jc w:val="center"/>
                    <w:rPr>
                      <w:b/>
                      <w:szCs w:val="21"/>
                    </w:rPr>
                  </w:pPr>
                </w:p>
              </w:tc>
              <w:tc>
                <w:tcPr>
                  <w:tcW w:w="326" w:type="pct"/>
                  <w:vMerge w:val="continue"/>
                  <w:shd w:val="clear" w:color="auto" w:fill="CCFFFF"/>
                  <w:noWrap w:val="0"/>
                  <w:vAlign w:val="center"/>
                </w:tcPr>
                <w:p>
                  <w:pPr>
                    <w:snapToGrid w:val="0"/>
                    <w:jc w:val="center"/>
                    <w:rPr>
                      <w:b/>
                      <w:szCs w:val="21"/>
                    </w:rPr>
                  </w:pPr>
                </w:p>
              </w:tc>
              <w:tc>
                <w:tcPr>
                  <w:tcW w:w="329" w:type="pct"/>
                  <w:vMerge w:val="continue"/>
                  <w:shd w:val="clear" w:color="auto" w:fill="CCFFFF"/>
                  <w:noWrap w:val="0"/>
                  <w:vAlign w:val="center"/>
                </w:tcPr>
                <w:p>
                  <w:pPr>
                    <w:snapToGrid w:val="0"/>
                    <w:jc w:val="center"/>
                    <w:rPr>
                      <w:b/>
                      <w:szCs w:val="21"/>
                    </w:rPr>
                  </w:pPr>
                </w:p>
              </w:tc>
              <w:tc>
                <w:tcPr>
                  <w:tcW w:w="380" w:type="pct"/>
                  <w:vMerge w:val="continue"/>
                  <w:shd w:val="clear" w:color="auto" w:fill="CCFFFF"/>
                  <w:noWrap w:val="0"/>
                  <w:vAlign w:val="center"/>
                </w:tcPr>
                <w:p>
                  <w:pPr>
                    <w:snapToGrid w:val="0"/>
                    <w:jc w:val="center"/>
                    <w:rPr>
                      <w:b/>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78" w:type="pct"/>
                  <w:vMerge w:val="restart"/>
                  <w:noWrap w:val="0"/>
                  <w:vAlign w:val="center"/>
                </w:tcPr>
                <w:p>
                  <w:pPr>
                    <w:snapToGrid w:val="0"/>
                    <w:jc w:val="center"/>
                    <w:rPr>
                      <w:szCs w:val="21"/>
                    </w:rPr>
                  </w:pPr>
                  <w:r>
                    <w:rPr>
                      <w:szCs w:val="21"/>
                    </w:rPr>
                    <w:t>主（辅）料</w:t>
                  </w:r>
                </w:p>
              </w:tc>
              <w:tc>
                <w:tcPr>
                  <w:tcW w:w="550" w:type="pct"/>
                  <w:noWrap w:val="0"/>
                  <w:vAlign w:val="center"/>
                </w:tcPr>
                <w:p>
                  <w:pPr>
                    <w:snapToGrid w:val="0"/>
                    <w:jc w:val="center"/>
                    <w:rPr>
                      <w:szCs w:val="21"/>
                    </w:rPr>
                  </w:pPr>
                  <w:r>
                    <w:rPr>
                      <w:szCs w:val="21"/>
                    </w:rPr>
                    <w:t>PAM</w:t>
                  </w:r>
                </w:p>
              </w:tc>
              <w:tc>
                <w:tcPr>
                  <w:tcW w:w="1008" w:type="pct"/>
                  <w:noWrap w:val="0"/>
                  <w:vAlign w:val="center"/>
                </w:tcPr>
                <w:p>
                  <w:pPr>
                    <w:snapToGrid w:val="0"/>
                    <w:jc w:val="center"/>
                    <w:rPr>
                      <w:szCs w:val="21"/>
                    </w:rPr>
                  </w:pPr>
                  <w:r>
                    <w:rPr>
                      <w:szCs w:val="21"/>
                    </w:rPr>
                    <w:t>聚丙烯酰胺</w:t>
                  </w:r>
                </w:p>
              </w:tc>
              <w:tc>
                <w:tcPr>
                  <w:tcW w:w="516" w:type="pct"/>
                  <w:noWrap w:val="0"/>
                  <w:vAlign w:val="center"/>
                </w:tcPr>
                <w:p>
                  <w:pPr>
                    <w:snapToGrid w:val="0"/>
                    <w:jc w:val="center"/>
                    <w:rPr>
                      <w:szCs w:val="21"/>
                    </w:rPr>
                  </w:pPr>
                  <w:r>
                    <w:rPr>
                      <w:szCs w:val="21"/>
                    </w:rPr>
                    <w:t>2.0</w:t>
                  </w:r>
                </w:p>
              </w:tc>
              <w:tc>
                <w:tcPr>
                  <w:tcW w:w="520" w:type="pct"/>
                  <w:noWrap w:val="0"/>
                  <w:vAlign w:val="center"/>
                </w:tcPr>
                <w:p>
                  <w:pPr>
                    <w:snapToGrid w:val="0"/>
                    <w:jc w:val="center"/>
                    <w:rPr>
                      <w:szCs w:val="21"/>
                    </w:rPr>
                  </w:pPr>
                  <w:r>
                    <w:rPr>
                      <w:szCs w:val="21"/>
                    </w:rPr>
                    <w:t>3.0</w:t>
                  </w:r>
                </w:p>
              </w:tc>
              <w:tc>
                <w:tcPr>
                  <w:tcW w:w="488" w:type="pct"/>
                  <w:noWrap w:val="0"/>
                  <w:vAlign w:val="center"/>
                </w:tcPr>
                <w:p>
                  <w:pPr>
                    <w:snapToGrid w:val="0"/>
                    <w:jc w:val="center"/>
                    <w:rPr>
                      <w:szCs w:val="21"/>
                    </w:rPr>
                  </w:pPr>
                  <w:r>
                    <w:rPr>
                      <w:szCs w:val="21"/>
                    </w:rPr>
                    <w:t>污泥脱水间</w:t>
                  </w:r>
                </w:p>
              </w:tc>
              <w:tc>
                <w:tcPr>
                  <w:tcW w:w="505" w:type="pct"/>
                  <w:noWrap w:val="0"/>
                  <w:vAlign w:val="center"/>
                </w:tcPr>
                <w:p>
                  <w:pPr>
                    <w:snapToGrid w:val="0"/>
                    <w:jc w:val="center"/>
                    <w:rPr>
                      <w:szCs w:val="21"/>
                    </w:rPr>
                  </w:pPr>
                  <w:r>
                    <w:rPr>
                      <w:szCs w:val="21"/>
                    </w:rPr>
                    <w:t>0.5</w:t>
                  </w:r>
                </w:p>
              </w:tc>
              <w:tc>
                <w:tcPr>
                  <w:tcW w:w="326" w:type="pct"/>
                  <w:noWrap w:val="0"/>
                  <w:vAlign w:val="center"/>
                </w:tcPr>
                <w:p>
                  <w:pPr>
                    <w:snapToGrid w:val="0"/>
                    <w:jc w:val="center"/>
                    <w:rPr>
                      <w:szCs w:val="21"/>
                    </w:rPr>
                  </w:pPr>
                  <w:r>
                    <w:rPr>
                      <w:szCs w:val="21"/>
                    </w:rPr>
                    <w:t>固态</w:t>
                  </w:r>
                </w:p>
              </w:tc>
              <w:tc>
                <w:tcPr>
                  <w:tcW w:w="329" w:type="pct"/>
                  <w:noWrap w:val="0"/>
                  <w:vAlign w:val="center"/>
                </w:tcPr>
                <w:p>
                  <w:pPr>
                    <w:snapToGrid w:val="0"/>
                    <w:jc w:val="center"/>
                    <w:rPr>
                      <w:szCs w:val="21"/>
                    </w:rPr>
                  </w:pPr>
                  <w:r>
                    <w:rPr>
                      <w:szCs w:val="21"/>
                    </w:rPr>
                    <w:t>外购</w:t>
                  </w:r>
                </w:p>
              </w:tc>
              <w:tc>
                <w:tcPr>
                  <w:tcW w:w="380" w:type="pct"/>
                  <w:noWrap w:val="0"/>
                  <w:vAlign w:val="center"/>
                </w:tcPr>
                <w:p>
                  <w:pPr>
                    <w:snapToGrid w:val="0"/>
                    <w:jc w:val="center"/>
                    <w:rPr>
                      <w:szCs w:val="21"/>
                    </w:rPr>
                  </w:pPr>
                  <w:r>
                    <w:rPr>
                      <w:szCs w:val="21"/>
                    </w:rPr>
                    <w:t>絮凝剂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78" w:type="pct"/>
                  <w:vMerge w:val="continue"/>
                  <w:noWrap w:val="0"/>
                  <w:vAlign w:val="center"/>
                </w:tcPr>
                <w:p>
                  <w:pPr>
                    <w:snapToGrid w:val="0"/>
                    <w:jc w:val="center"/>
                    <w:rPr>
                      <w:szCs w:val="21"/>
                    </w:rPr>
                  </w:pPr>
                </w:p>
              </w:tc>
              <w:tc>
                <w:tcPr>
                  <w:tcW w:w="550" w:type="pct"/>
                  <w:noWrap w:val="0"/>
                  <w:vAlign w:val="center"/>
                </w:tcPr>
                <w:p>
                  <w:pPr>
                    <w:snapToGrid w:val="0"/>
                    <w:jc w:val="center"/>
                    <w:rPr>
                      <w:szCs w:val="21"/>
                    </w:rPr>
                  </w:pPr>
                  <w:r>
                    <w:rPr>
                      <w:szCs w:val="21"/>
                    </w:rPr>
                    <w:t>PAC</w:t>
                  </w:r>
                </w:p>
              </w:tc>
              <w:tc>
                <w:tcPr>
                  <w:tcW w:w="1008" w:type="pct"/>
                  <w:noWrap w:val="0"/>
                  <w:vAlign w:val="center"/>
                </w:tcPr>
                <w:p>
                  <w:pPr>
                    <w:snapToGrid w:val="0"/>
                    <w:jc w:val="center"/>
                    <w:rPr>
                      <w:szCs w:val="21"/>
                    </w:rPr>
                  </w:pPr>
                  <w:r>
                    <w:rPr>
                      <w:szCs w:val="21"/>
                    </w:rPr>
                    <w:t>聚合氯化铝</w:t>
                  </w:r>
                </w:p>
              </w:tc>
              <w:tc>
                <w:tcPr>
                  <w:tcW w:w="516" w:type="pct"/>
                  <w:noWrap w:val="0"/>
                  <w:vAlign w:val="center"/>
                </w:tcPr>
                <w:p>
                  <w:pPr>
                    <w:snapToGrid w:val="0"/>
                    <w:jc w:val="center"/>
                    <w:rPr>
                      <w:szCs w:val="21"/>
                    </w:rPr>
                  </w:pPr>
                  <w:r>
                    <w:rPr>
                      <w:szCs w:val="21"/>
                    </w:rPr>
                    <w:t>6.0</w:t>
                  </w:r>
                </w:p>
              </w:tc>
              <w:tc>
                <w:tcPr>
                  <w:tcW w:w="520" w:type="pct"/>
                  <w:noWrap w:val="0"/>
                  <w:vAlign w:val="center"/>
                </w:tcPr>
                <w:p>
                  <w:pPr>
                    <w:snapToGrid w:val="0"/>
                    <w:jc w:val="center"/>
                    <w:rPr>
                      <w:szCs w:val="21"/>
                    </w:rPr>
                  </w:pPr>
                  <w:r>
                    <w:rPr>
                      <w:szCs w:val="21"/>
                    </w:rPr>
                    <w:t>9.0</w:t>
                  </w:r>
                </w:p>
              </w:tc>
              <w:tc>
                <w:tcPr>
                  <w:tcW w:w="488" w:type="pct"/>
                  <w:vMerge w:val="restart"/>
                  <w:noWrap w:val="0"/>
                  <w:vAlign w:val="center"/>
                </w:tcPr>
                <w:p>
                  <w:pPr>
                    <w:snapToGrid w:val="0"/>
                    <w:jc w:val="center"/>
                    <w:rPr>
                      <w:szCs w:val="21"/>
                    </w:rPr>
                  </w:pPr>
                  <w:r>
                    <w:rPr>
                      <w:szCs w:val="21"/>
                    </w:rPr>
                    <w:t>加药间</w:t>
                  </w:r>
                </w:p>
              </w:tc>
              <w:tc>
                <w:tcPr>
                  <w:tcW w:w="505" w:type="pct"/>
                  <w:noWrap w:val="0"/>
                  <w:vAlign w:val="center"/>
                </w:tcPr>
                <w:p>
                  <w:pPr>
                    <w:snapToGrid w:val="0"/>
                    <w:jc w:val="center"/>
                    <w:rPr>
                      <w:szCs w:val="21"/>
                    </w:rPr>
                  </w:pPr>
                  <w:r>
                    <w:rPr>
                      <w:szCs w:val="21"/>
                    </w:rPr>
                    <w:t>1.0</w:t>
                  </w:r>
                </w:p>
              </w:tc>
              <w:tc>
                <w:tcPr>
                  <w:tcW w:w="326" w:type="pct"/>
                  <w:noWrap w:val="0"/>
                  <w:vAlign w:val="center"/>
                </w:tcPr>
                <w:p>
                  <w:pPr>
                    <w:snapToGrid w:val="0"/>
                    <w:jc w:val="center"/>
                    <w:rPr>
                      <w:szCs w:val="21"/>
                    </w:rPr>
                  </w:pPr>
                  <w:r>
                    <w:rPr>
                      <w:szCs w:val="21"/>
                    </w:rPr>
                    <w:t>固态</w:t>
                  </w:r>
                </w:p>
              </w:tc>
              <w:tc>
                <w:tcPr>
                  <w:tcW w:w="329" w:type="pct"/>
                  <w:noWrap w:val="0"/>
                  <w:vAlign w:val="center"/>
                </w:tcPr>
                <w:p>
                  <w:pPr>
                    <w:snapToGrid w:val="0"/>
                    <w:jc w:val="center"/>
                    <w:rPr>
                      <w:szCs w:val="21"/>
                    </w:rPr>
                  </w:pPr>
                  <w:r>
                    <w:rPr>
                      <w:szCs w:val="21"/>
                    </w:rPr>
                    <w:t>外购</w:t>
                  </w:r>
                </w:p>
              </w:tc>
              <w:tc>
                <w:tcPr>
                  <w:tcW w:w="380" w:type="pct"/>
                  <w:noWrap w:val="0"/>
                  <w:vAlign w:val="center"/>
                </w:tcPr>
                <w:p>
                  <w:pPr>
                    <w:snapToGrid w:val="0"/>
                    <w:jc w:val="center"/>
                    <w:rPr>
                      <w:szCs w:val="21"/>
                    </w:rPr>
                  </w:pPr>
                  <w:r>
                    <w:rPr>
                      <w:szCs w:val="21"/>
                    </w:rPr>
                    <w:t>混凝剂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78" w:type="pct"/>
                  <w:vMerge w:val="continue"/>
                  <w:noWrap w:val="0"/>
                  <w:vAlign w:val="center"/>
                </w:tcPr>
                <w:p>
                  <w:pPr>
                    <w:snapToGrid w:val="0"/>
                    <w:jc w:val="center"/>
                    <w:rPr>
                      <w:szCs w:val="21"/>
                    </w:rPr>
                  </w:pPr>
                </w:p>
              </w:tc>
              <w:tc>
                <w:tcPr>
                  <w:tcW w:w="550" w:type="pct"/>
                  <w:noWrap w:val="0"/>
                  <w:vAlign w:val="center"/>
                </w:tcPr>
                <w:p>
                  <w:pPr>
                    <w:snapToGrid w:val="0"/>
                    <w:jc w:val="center"/>
                    <w:rPr>
                      <w:szCs w:val="21"/>
                    </w:rPr>
                  </w:pPr>
                  <w:r>
                    <w:rPr>
                      <w:szCs w:val="21"/>
                    </w:rPr>
                    <w:t>乙酸钠</w:t>
                  </w:r>
                </w:p>
              </w:tc>
              <w:tc>
                <w:tcPr>
                  <w:tcW w:w="1008" w:type="pct"/>
                  <w:noWrap w:val="0"/>
                  <w:vAlign w:val="center"/>
                </w:tcPr>
                <w:p>
                  <w:pPr>
                    <w:snapToGrid w:val="0"/>
                    <w:jc w:val="center"/>
                    <w:rPr>
                      <w:szCs w:val="21"/>
                    </w:rPr>
                  </w:pPr>
                  <w:r>
                    <w:rPr>
                      <w:szCs w:val="21"/>
                    </w:rPr>
                    <w:t>CH</w:t>
                  </w:r>
                  <w:r>
                    <w:rPr>
                      <w:szCs w:val="21"/>
                      <w:vertAlign w:val="subscript"/>
                    </w:rPr>
                    <w:t>3</w:t>
                  </w:r>
                  <w:r>
                    <w:rPr>
                      <w:szCs w:val="21"/>
                    </w:rPr>
                    <w:t>COONa▪3H</w:t>
                  </w:r>
                  <w:r>
                    <w:rPr>
                      <w:szCs w:val="21"/>
                      <w:vertAlign w:val="subscript"/>
                    </w:rPr>
                    <w:t>2</w:t>
                  </w:r>
                  <w:r>
                    <w:rPr>
                      <w:szCs w:val="21"/>
                    </w:rPr>
                    <w:t>O</w:t>
                  </w:r>
                </w:p>
              </w:tc>
              <w:tc>
                <w:tcPr>
                  <w:tcW w:w="516" w:type="pct"/>
                  <w:noWrap w:val="0"/>
                  <w:vAlign w:val="center"/>
                </w:tcPr>
                <w:p>
                  <w:pPr>
                    <w:snapToGrid w:val="0"/>
                    <w:jc w:val="center"/>
                    <w:rPr>
                      <w:szCs w:val="21"/>
                    </w:rPr>
                  </w:pPr>
                  <w:r>
                    <w:rPr>
                      <w:szCs w:val="21"/>
                    </w:rPr>
                    <w:t>0</w:t>
                  </w:r>
                </w:p>
              </w:tc>
              <w:tc>
                <w:tcPr>
                  <w:tcW w:w="520" w:type="pct"/>
                  <w:noWrap w:val="0"/>
                  <w:vAlign w:val="center"/>
                </w:tcPr>
                <w:p>
                  <w:pPr>
                    <w:snapToGrid w:val="0"/>
                    <w:jc w:val="center"/>
                    <w:rPr>
                      <w:szCs w:val="21"/>
                    </w:rPr>
                  </w:pPr>
                  <w:r>
                    <w:rPr>
                      <w:szCs w:val="21"/>
                    </w:rPr>
                    <w:t>3.6</w:t>
                  </w:r>
                </w:p>
              </w:tc>
              <w:tc>
                <w:tcPr>
                  <w:tcW w:w="488" w:type="pct"/>
                  <w:vMerge w:val="continue"/>
                  <w:noWrap w:val="0"/>
                  <w:vAlign w:val="center"/>
                </w:tcPr>
                <w:p>
                  <w:pPr>
                    <w:snapToGrid w:val="0"/>
                    <w:jc w:val="center"/>
                    <w:rPr>
                      <w:szCs w:val="21"/>
                    </w:rPr>
                  </w:pPr>
                </w:p>
              </w:tc>
              <w:tc>
                <w:tcPr>
                  <w:tcW w:w="505" w:type="pct"/>
                  <w:noWrap w:val="0"/>
                  <w:vAlign w:val="center"/>
                </w:tcPr>
                <w:p>
                  <w:pPr>
                    <w:snapToGrid w:val="0"/>
                    <w:jc w:val="center"/>
                    <w:rPr>
                      <w:szCs w:val="21"/>
                    </w:rPr>
                  </w:pPr>
                  <w:r>
                    <w:rPr>
                      <w:szCs w:val="21"/>
                    </w:rPr>
                    <w:t>0.5</w:t>
                  </w:r>
                </w:p>
              </w:tc>
              <w:tc>
                <w:tcPr>
                  <w:tcW w:w="326" w:type="pct"/>
                  <w:noWrap w:val="0"/>
                  <w:vAlign w:val="center"/>
                </w:tcPr>
                <w:p>
                  <w:pPr>
                    <w:snapToGrid w:val="0"/>
                    <w:jc w:val="center"/>
                    <w:rPr>
                      <w:szCs w:val="21"/>
                    </w:rPr>
                  </w:pPr>
                  <w:r>
                    <w:rPr>
                      <w:szCs w:val="21"/>
                    </w:rPr>
                    <w:t>固态</w:t>
                  </w:r>
                </w:p>
              </w:tc>
              <w:tc>
                <w:tcPr>
                  <w:tcW w:w="329" w:type="pct"/>
                  <w:noWrap w:val="0"/>
                  <w:vAlign w:val="center"/>
                </w:tcPr>
                <w:p>
                  <w:pPr>
                    <w:snapToGrid w:val="0"/>
                    <w:jc w:val="center"/>
                    <w:rPr>
                      <w:szCs w:val="21"/>
                    </w:rPr>
                  </w:pPr>
                  <w:r>
                    <w:rPr>
                      <w:szCs w:val="21"/>
                    </w:rPr>
                    <w:t>外购</w:t>
                  </w:r>
                </w:p>
              </w:tc>
              <w:tc>
                <w:tcPr>
                  <w:tcW w:w="380" w:type="pct"/>
                  <w:noWrap w:val="0"/>
                  <w:vAlign w:val="center"/>
                </w:tcPr>
                <w:p>
                  <w:pPr>
                    <w:snapToGrid w:val="0"/>
                    <w:jc w:val="center"/>
                    <w:rPr>
                      <w:szCs w:val="21"/>
                    </w:rPr>
                  </w:pPr>
                  <w:r>
                    <w:rPr>
                      <w:szCs w:val="21"/>
                    </w:rPr>
                    <w:t>碳源</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78" w:type="pct"/>
                  <w:vMerge w:val="continue"/>
                  <w:noWrap w:val="0"/>
                  <w:vAlign w:val="center"/>
                </w:tcPr>
                <w:p>
                  <w:pPr>
                    <w:snapToGrid w:val="0"/>
                    <w:jc w:val="center"/>
                    <w:rPr>
                      <w:szCs w:val="21"/>
                    </w:rPr>
                  </w:pPr>
                </w:p>
              </w:tc>
              <w:tc>
                <w:tcPr>
                  <w:tcW w:w="550" w:type="pct"/>
                  <w:noWrap w:val="0"/>
                  <w:vAlign w:val="center"/>
                </w:tcPr>
                <w:p>
                  <w:pPr>
                    <w:snapToGrid w:val="0"/>
                    <w:jc w:val="center"/>
                    <w:rPr>
                      <w:szCs w:val="21"/>
                    </w:rPr>
                  </w:pPr>
                  <w:r>
                    <w:rPr>
                      <w:szCs w:val="21"/>
                    </w:rPr>
                    <w:t>盐酸</w:t>
                  </w:r>
                </w:p>
              </w:tc>
              <w:tc>
                <w:tcPr>
                  <w:tcW w:w="1008" w:type="pct"/>
                  <w:noWrap w:val="0"/>
                  <w:vAlign w:val="center"/>
                </w:tcPr>
                <w:p>
                  <w:pPr>
                    <w:snapToGrid w:val="0"/>
                    <w:jc w:val="center"/>
                    <w:rPr>
                      <w:szCs w:val="21"/>
                    </w:rPr>
                  </w:pPr>
                  <w:r>
                    <w:rPr>
                      <w:szCs w:val="21"/>
                    </w:rPr>
                    <w:t>31%HCl</w:t>
                  </w:r>
                </w:p>
              </w:tc>
              <w:tc>
                <w:tcPr>
                  <w:tcW w:w="516" w:type="pct"/>
                  <w:noWrap w:val="0"/>
                  <w:vAlign w:val="center"/>
                </w:tcPr>
                <w:p>
                  <w:pPr>
                    <w:snapToGrid w:val="0"/>
                    <w:jc w:val="center"/>
                    <w:rPr>
                      <w:szCs w:val="21"/>
                    </w:rPr>
                  </w:pPr>
                  <w:r>
                    <w:rPr>
                      <w:szCs w:val="21"/>
                    </w:rPr>
                    <w:t>4.6</w:t>
                  </w:r>
                </w:p>
              </w:tc>
              <w:tc>
                <w:tcPr>
                  <w:tcW w:w="520" w:type="pct"/>
                  <w:noWrap w:val="0"/>
                  <w:vAlign w:val="center"/>
                </w:tcPr>
                <w:p>
                  <w:pPr>
                    <w:snapToGrid w:val="0"/>
                    <w:jc w:val="center"/>
                    <w:rPr>
                      <w:szCs w:val="21"/>
                    </w:rPr>
                  </w:pPr>
                  <w:r>
                    <w:rPr>
                      <w:szCs w:val="21"/>
                    </w:rPr>
                    <w:t>0</w:t>
                  </w:r>
                </w:p>
              </w:tc>
              <w:tc>
                <w:tcPr>
                  <w:tcW w:w="488" w:type="pct"/>
                  <w:vMerge w:val="continue"/>
                  <w:noWrap w:val="0"/>
                  <w:vAlign w:val="center"/>
                </w:tcPr>
                <w:p>
                  <w:pPr>
                    <w:snapToGrid w:val="0"/>
                    <w:jc w:val="center"/>
                    <w:rPr>
                      <w:szCs w:val="21"/>
                    </w:rPr>
                  </w:pPr>
                </w:p>
              </w:tc>
              <w:tc>
                <w:tcPr>
                  <w:tcW w:w="505" w:type="pct"/>
                  <w:noWrap w:val="0"/>
                  <w:vAlign w:val="center"/>
                </w:tcPr>
                <w:p>
                  <w:pPr>
                    <w:snapToGrid w:val="0"/>
                    <w:jc w:val="center"/>
                    <w:rPr>
                      <w:szCs w:val="21"/>
                    </w:rPr>
                  </w:pPr>
                  <w:r>
                    <w:rPr>
                      <w:szCs w:val="21"/>
                    </w:rPr>
                    <w:t>0.5</w:t>
                  </w:r>
                </w:p>
              </w:tc>
              <w:tc>
                <w:tcPr>
                  <w:tcW w:w="326" w:type="pct"/>
                  <w:noWrap w:val="0"/>
                  <w:vAlign w:val="center"/>
                </w:tcPr>
                <w:p>
                  <w:pPr>
                    <w:snapToGrid w:val="0"/>
                    <w:jc w:val="center"/>
                    <w:rPr>
                      <w:szCs w:val="21"/>
                    </w:rPr>
                  </w:pPr>
                  <w:r>
                    <w:rPr>
                      <w:szCs w:val="21"/>
                    </w:rPr>
                    <w:t>液态</w:t>
                  </w:r>
                </w:p>
              </w:tc>
              <w:tc>
                <w:tcPr>
                  <w:tcW w:w="329" w:type="pct"/>
                  <w:noWrap w:val="0"/>
                  <w:vAlign w:val="center"/>
                </w:tcPr>
                <w:p>
                  <w:pPr>
                    <w:snapToGrid w:val="0"/>
                    <w:jc w:val="center"/>
                    <w:rPr>
                      <w:szCs w:val="21"/>
                    </w:rPr>
                  </w:pPr>
                  <w:r>
                    <w:rPr>
                      <w:szCs w:val="21"/>
                    </w:rPr>
                    <w:t>外购</w:t>
                  </w:r>
                </w:p>
              </w:tc>
              <w:tc>
                <w:tcPr>
                  <w:tcW w:w="380" w:type="pct"/>
                  <w:vMerge w:val="restart"/>
                  <w:noWrap w:val="0"/>
                  <w:vAlign w:val="center"/>
                </w:tcPr>
                <w:p>
                  <w:pPr>
                    <w:snapToGrid w:val="0"/>
                    <w:jc w:val="center"/>
                    <w:rPr>
                      <w:szCs w:val="21"/>
                    </w:rPr>
                  </w:pPr>
                  <w:r>
                    <w:rPr>
                      <w:szCs w:val="21"/>
                    </w:rPr>
                    <w:t>制备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78" w:type="pct"/>
                  <w:vMerge w:val="continue"/>
                  <w:noWrap w:val="0"/>
                  <w:vAlign w:val="center"/>
                </w:tcPr>
                <w:p>
                  <w:pPr>
                    <w:snapToGrid w:val="0"/>
                    <w:jc w:val="center"/>
                    <w:rPr>
                      <w:szCs w:val="21"/>
                    </w:rPr>
                  </w:pPr>
                </w:p>
              </w:tc>
              <w:tc>
                <w:tcPr>
                  <w:tcW w:w="550" w:type="pct"/>
                  <w:noWrap w:val="0"/>
                  <w:vAlign w:val="center"/>
                </w:tcPr>
                <w:p>
                  <w:pPr>
                    <w:snapToGrid w:val="0"/>
                    <w:jc w:val="center"/>
                    <w:rPr>
                      <w:szCs w:val="21"/>
                    </w:rPr>
                  </w:pPr>
                  <w:r>
                    <w:rPr>
                      <w:szCs w:val="21"/>
                    </w:rPr>
                    <w:t>氯酸钠</w:t>
                  </w:r>
                </w:p>
              </w:tc>
              <w:tc>
                <w:tcPr>
                  <w:tcW w:w="1008" w:type="pct"/>
                  <w:noWrap w:val="0"/>
                  <w:vAlign w:val="center"/>
                </w:tcPr>
                <w:p>
                  <w:pPr>
                    <w:snapToGrid w:val="0"/>
                    <w:jc w:val="center"/>
                    <w:rPr>
                      <w:szCs w:val="21"/>
                    </w:rPr>
                  </w:pPr>
                  <w:r>
                    <w:rPr>
                      <w:szCs w:val="21"/>
                    </w:rPr>
                    <w:t>25%</w:t>
                  </w:r>
                  <w:r>
                    <w:t>NaClO</w:t>
                  </w:r>
                  <w:r>
                    <w:rPr>
                      <w:vertAlign w:val="subscript"/>
                    </w:rPr>
                    <w:t>3</w:t>
                  </w:r>
                </w:p>
              </w:tc>
              <w:tc>
                <w:tcPr>
                  <w:tcW w:w="516" w:type="pct"/>
                  <w:noWrap w:val="0"/>
                  <w:vAlign w:val="center"/>
                </w:tcPr>
                <w:p>
                  <w:pPr>
                    <w:snapToGrid w:val="0"/>
                    <w:jc w:val="center"/>
                    <w:rPr>
                      <w:szCs w:val="21"/>
                    </w:rPr>
                  </w:pPr>
                  <w:r>
                    <w:rPr>
                      <w:szCs w:val="21"/>
                    </w:rPr>
                    <w:t>2.6</w:t>
                  </w:r>
                </w:p>
              </w:tc>
              <w:tc>
                <w:tcPr>
                  <w:tcW w:w="520" w:type="pct"/>
                  <w:noWrap w:val="0"/>
                  <w:vAlign w:val="center"/>
                </w:tcPr>
                <w:p>
                  <w:pPr>
                    <w:snapToGrid w:val="0"/>
                    <w:jc w:val="center"/>
                    <w:rPr>
                      <w:szCs w:val="21"/>
                    </w:rPr>
                  </w:pPr>
                  <w:r>
                    <w:rPr>
                      <w:szCs w:val="21"/>
                    </w:rPr>
                    <w:t>0</w:t>
                  </w:r>
                </w:p>
              </w:tc>
              <w:tc>
                <w:tcPr>
                  <w:tcW w:w="488" w:type="pct"/>
                  <w:vMerge w:val="continue"/>
                  <w:noWrap w:val="0"/>
                  <w:vAlign w:val="center"/>
                </w:tcPr>
                <w:p>
                  <w:pPr>
                    <w:snapToGrid w:val="0"/>
                    <w:jc w:val="center"/>
                    <w:rPr>
                      <w:szCs w:val="21"/>
                    </w:rPr>
                  </w:pPr>
                </w:p>
              </w:tc>
              <w:tc>
                <w:tcPr>
                  <w:tcW w:w="505" w:type="pct"/>
                  <w:noWrap w:val="0"/>
                  <w:vAlign w:val="center"/>
                </w:tcPr>
                <w:p>
                  <w:pPr>
                    <w:snapToGrid w:val="0"/>
                    <w:jc w:val="center"/>
                    <w:rPr>
                      <w:szCs w:val="21"/>
                    </w:rPr>
                  </w:pPr>
                  <w:r>
                    <w:rPr>
                      <w:szCs w:val="21"/>
                    </w:rPr>
                    <w:t>0.5</w:t>
                  </w:r>
                </w:p>
              </w:tc>
              <w:tc>
                <w:tcPr>
                  <w:tcW w:w="326" w:type="pct"/>
                  <w:noWrap w:val="0"/>
                  <w:vAlign w:val="center"/>
                </w:tcPr>
                <w:p>
                  <w:pPr>
                    <w:snapToGrid w:val="0"/>
                    <w:jc w:val="center"/>
                    <w:rPr>
                      <w:szCs w:val="21"/>
                    </w:rPr>
                  </w:pPr>
                  <w:r>
                    <w:rPr>
                      <w:szCs w:val="21"/>
                    </w:rPr>
                    <w:t>液态</w:t>
                  </w:r>
                </w:p>
              </w:tc>
              <w:tc>
                <w:tcPr>
                  <w:tcW w:w="329" w:type="pct"/>
                  <w:noWrap w:val="0"/>
                  <w:vAlign w:val="center"/>
                </w:tcPr>
                <w:p>
                  <w:pPr>
                    <w:snapToGrid w:val="0"/>
                    <w:jc w:val="center"/>
                    <w:rPr>
                      <w:szCs w:val="21"/>
                    </w:rPr>
                  </w:pPr>
                  <w:r>
                    <w:rPr>
                      <w:szCs w:val="21"/>
                    </w:rPr>
                    <w:t>外购</w:t>
                  </w:r>
                </w:p>
              </w:tc>
              <w:tc>
                <w:tcPr>
                  <w:tcW w:w="380" w:type="pct"/>
                  <w:vMerge w:val="continue"/>
                  <w:noWrap w:val="0"/>
                  <w:vAlign w:val="center"/>
                </w:tcPr>
                <w:p>
                  <w:pPr>
                    <w:snapToGrid w:val="0"/>
                    <w:jc w:val="center"/>
                    <w:rPr>
                      <w:szCs w:val="21"/>
                    </w:rPr>
                  </w:pPr>
                </w:p>
              </w:tc>
            </w:tr>
          </w:tbl>
          <w:p>
            <w:pPr>
              <w:spacing w:line="360" w:lineRule="auto"/>
              <w:ind w:firstLine="480" w:firstLineChars="200"/>
              <w:rPr>
                <w:sz w:val="24"/>
              </w:rPr>
            </w:pPr>
            <w:r>
              <w:rPr>
                <w:sz w:val="24"/>
              </w:rPr>
              <w:t>（2）风险潜势初判</w:t>
            </w:r>
          </w:p>
          <w:p>
            <w:pPr>
              <w:spacing w:line="360" w:lineRule="auto"/>
              <w:ind w:firstLine="480" w:firstLineChars="200"/>
              <w:rPr>
                <w:sz w:val="24"/>
              </w:rPr>
            </w:pPr>
            <w:r>
              <w:rPr>
                <w:sz w:val="24"/>
              </w:rPr>
              <w:t>根据《建设项目环境风险评价技术导则》（HJ169-2018）规定：当厂界内只涉及一种危险物质时，计算该物质的数量与其临界量比值，即为Q；当厂界内存在多种危险物质时，则按下式计算物质总量与其临界量比值（Q）。</w:t>
            </w:r>
          </w:p>
          <w:p>
            <w:pPr>
              <w:snapToGrid w:val="0"/>
              <w:spacing w:line="360" w:lineRule="auto"/>
              <w:ind w:firstLine="480" w:firstLineChars="200"/>
              <w:jc w:val="center"/>
              <w:rPr>
                <w:sz w:val="24"/>
              </w:rPr>
            </w:pPr>
            <w:r>
              <w:rPr>
                <w:sz w:val="24"/>
              </w:rPr>
              <w:t>Q=</w:t>
            </w:r>
            <w:r>
              <w:rPr>
                <w:sz w:val="24"/>
              </w:rPr>
              <w:drawing>
                <wp:inline distT="0" distB="0" distL="114300" distR="114300">
                  <wp:extent cx="1089025" cy="363220"/>
                  <wp:effectExtent l="0" t="0" r="15875" b="17780"/>
                  <wp:docPr id="28" name="Object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ject 146"/>
                          <pic:cNvPicPr>
                            <a:picLocks noChangeAspect="1"/>
                          </pic:cNvPicPr>
                        </pic:nvPicPr>
                        <pic:blipFill>
                          <a:blip r:embed="rId36"/>
                          <a:stretch>
                            <a:fillRect/>
                          </a:stretch>
                        </pic:blipFill>
                        <pic:spPr>
                          <a:xfrm>
                            <a:off x="0" y="0"/>
                            <a:ext cx="1089025" cy="363220"/>
                          </a:xfrm>
                          <a:prstGeom prst="rect">
                            <a:avLst/>
                          </a:prstGeom>
                          <a:noFill/>
                          <a:ln>
                            <a:noFill/>
                          </a:ln>
                        </pic:spPr>
                      </pic:pic>
                    </a:graphicData>
                  </a:graphic>
                </wp:inline>
              </w:drawing>
            </w:r>
            <w:r>
              <w:rPr>
                <w:sz w:val="24"/>
              </w:rPr>
              <w:t xml:space="preserve">           （C.1）</w:t>
            </w:r>
          </w:p>
          <w:p>
            <w:pPr>
              <w:snapToGrid w:val="0"/>
              <w:spacing w:line="360" w:lineRule="auto"/>
              <w:ind w:firstLine="480" w:firstLineChars="200"/>
              <w:rPr>
                <w:sz w:val="24"/>
              </w:rPr>
            </w:pPr>
            <w:r>
              <w:rPr>
                <w:sz w:val="24"/>
              </w:rPr>
              <w:t>式中，q</w:t>
            </w:r>
            <w:r>
              <w:rPr>
                <w:sz w:val="24"/>
                <w:vertAlign w:val="subscript"/>
              </w:rPr>
              <w:t>1</w:t>
            </w:r>
            <w:r>
              <w:rPr>
                <w:sz w:val="24"/>
              </w:rPr>
              <w:t>，q</w:t>
            </w:r>
            <w:r>
              <w:rPr>
                <w:sz w:val="24"/>
                <w:vertAlign w:val="subscript"/>
              </w:rPr>
              <w:t>2</w:t>
            </w:r>
            <w:r>
              <w:rPr>
                <w:sz w:val="24"/>
              </w:rPr>
              <w:t>，……，q</w:t>
            </w:r>
            <w:r>
              <w:rPr>
                <w:sz w:val="24"/>
                <w:vertAlign w:val="subscript"/>
              </w:rPr>
              <w:t>n——</w:t>
            </w:r>
            <w:r>
              <w:rPr>
                <w:sz w:val="24"/>
              </w:rPr>
              <w:t>每种危险物质的最大存在总量，t；</w:t>
            </w:r>
          </w:p>
          <w:p>
            <w:pPr>
              <w:snapToGrid w:val="0"/>
              <w:spacing w:line="360" w:lineRule="auto"/>
              <w:ind w:firstLine="1200" w:firstLineChars="500"/>
              <w:rPr>
                <w:sz w:val="24"/>
              </w:rPr>
            </w:pPr>
            <w:r>
              <w:rPr>
                <w:sz w:val="24"/>
              </w:rPr>
              <w:t>Q</w:t>
            </w:r>
            <w:r>
              <w:rPr>
                <w:sz w:val="24"/>
                <w:vertAlign w:val="subscript"/>
              </w:rPr>
              <w:t>1</w:t>
            </w:r>
            <w:r>
              <w:rPr>
                <w:sz w:val="24"/>
              </w:rPr>
              <w:t>，Q</w:t>
            </w:r>
            <w:r>
              <w:rPr>
                <w:sz w:val="24"/>
                <w:vertAlign w:val="subscript"/>
              </w:rPr>
              <w:t>2</w:t>
            </w:r>
            <w:r>
              <w:rPr>
                <w:sz w:val="24"/>
              </w:rPr>
              <w:t>，……，Q</w:t>
            </w:r>
            <w:r>
              <w:rPr>
                <w:sz w:val="24"/>
                <w:vertAlign w:val="subscript"/>
              </w:rPr>
              <w:t>n——</w:t>
            </w:r>
            <w:r>
              <w:rPr>
                <w:sz w:val="24"/>
              </w:rPr>
              <w:t>每种危险物质的临界量，t。</w:t>
            </w:r>
          </w:p>
          <w:p>
            <w:pPr>
              <w:snapToGrid w:val="0"/>
              <w:spacing w:line="360" w:lineRule="auto"/>
              <w:ind w:firstLine="480" w:firstLineChars="200"/>
              <w:rPr>
                <w:sz w:val="24"/>
              </w:rPr>
            </w:pPr>
            <w:r>
              <w:rPr>
                <w:sz w:val="24"/>
              </w:rPr>
              <w:t>当Q＜1时，该项目环境风险潜势为</w:t>
            </w:r>
            <w:r>
              <w:rPr>
                <w:sz w:val="24"/>
              </w:rPr>
              <w:fldChar w:fldCharType="begin"/>
            </w:r>
            <w:r>
              <w:rPr>
                <w:sz w:val="24"/>
              </w:rPr>
              <w:instrText xml:space="preserve"> = 1 \* ROMAN </w:instrText>
            </w:r>
            <w:r>
              <w:rPr>
                <w:sz w:val="24"/>
              </w:rPr>
              <w:fldChar w:fldCharType="separate"/>
            </w:r>
            <w:r>
              <w:rPr>
                <w:sz w:val="24"/>
              </w:rPr>
              <w:t>I</w:t>
            </w:r>
            <w:r>
              <w:rPr>
                <w:sz w:val="24"/>
              </w:rPr>
              <w:fldChar w:fldCharType="end"/>
            </w:r>
            <w:r>
              <w:rPr>
                <w:sz w:val="24"/>
              </w:rPr>
              <w:t>。</w:t>
            </w:r>
          </w:p>
          <w:p>
            <w:pPr>
              <w:snapToGrid w:val="0"/>
              <w:spacing w:line="360" w:lineRule="auto"/>
              <w:ind w:firstLine="480" w:firstLineChars="200"/>
              <w:rPr>
                <w:sz w:val="24"/>
              </w:rPr>
            </w:pPr>
            <w:r>
              <w:rPr>
                <w:sz w:val="24"/>
              </w:rPr>
              <w:t>当Q≥1时，将Q值划分为：1≤Q＜10；10≤Q＜100；Q≥100。</w:t>
            </w:r>
          </w:p>
          <w:p>
            <w:pPr>
              <w:adjustRightInd w:val="0"/>
              <w:snapToGrid w:val="0"/>
              <w:jc w:val="center"/>
              <w:rPr>
                <w:rFonts w:eastAsia="黑体"/>
                <w:sz w:val="24"/>
                <w:szCs w:val="21"/>
              </w:rPr>
            </w:pPr>
            <w:r>
              <w:rPr>
                <w:rFonts w:eastAsia="黑体"/>
                <w:sz w:val="24"/>
                <w:szCs w:val="21"/>
              </w:rPr>
              <w:t>表4-20   建设项目Q值确定表</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520"/>
              <w:gridCol w:w="2282"/>
              <w:gridCol w:w="1198"/>
              <w:gridCol w:w="1758"/>
              <w:gridCol w:w="1294"/>
              <w:gridCol w:w="138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08" w:type="pct"/>
                  <w:shd w:val="clear" w:color="auto" w:fill="CCFFFF"/>
                  <w:noWrap w:val="0"/>
                  <w:vAlign w:val="center"/>
                </w:tcPr>
                <w:p>
                  <w:pPr>
                    <w:widowControl/>
                    <w:jc w:val="center"/>
                    <w:rPr>
                      <w:b/>
                      <w:bCs/>
                      <w:kern w:val="0"/>
                      <w:szCs w:val="21"/>
                    </w:rPr>
                  </w:pPr>
                  <w:r>
                    <w:rPr>
                      <w:b/>
                      <w:bCs/>
                      <w:kern w:val="0"/>
                      <w:szCs w:val="21"/>
                    </w:rPr>
                    <w:t>序号</w:t>
                  </w:r>
                </w:p>
              </w:tc>
              <w:tc>
                <w:tcPr>
                  <w:tcW w:w="1352" w:type="pct"/>
                  <w:shd w:val="clear" w:color="auto" w:fill="CCFFFF"/>
                  <w:noWrap w:val="0"/>
                  <w:vAlign w:val="center"/>
                </w:tcPr>
                <w:p>
                  <w:pPr>
                    <w:widowControl/>
                    <w:jc w:val="center"/>
                    <w:rPr>
                      <w:b/>
                      <w:bCs/>
                      <w:kern w:val="0"/>
                      <w:szCs w:val="21"/>
                    </w:rPr>
                  </w:pPr>
                  <w:r>
                    <w:rPr>
                      <w:b/>
                      <w:bCs/>
                      <w:kern w:val="0"/>
                      <w:szCs w:val="21"/>
                    </w:rPr>
                    <w:t>物质名称</w:t>
                  </w:r>
                </w:p>
              </w:tc>
              <w:tc>
                <w:tcPr>
                  <w:tcW w:w="710" w:type="pct"/>
                  <w:shd w:val="clear" w:color="auto" w:fill="CCFFFF"/>
                  <w:noWrap w:val="0"/>
                  <w:vAlign w:val="center"/>
                </w:tcPr>
                <w:p>
                  <w:pPr>
                    <w:widowControl/>
                    <w:jc w:val="center"/>
                    <w:rPr>
                      <w:b/>
                      <w:bCs/>
                      <w:kern w:val="0"/>
                      <w:szCs w:val="21"/>
                    </w:rPr>
                  </w:pPr>
                  <w:r>
                    <w:rPr>
                      <w:b/>
                      <w:bCs/>
                      <w:kern w:val="0"/>
                      <w:szCs w:val="21"/>
                    </w:rPr>
                    <w:t>CAS号</w:t>
                  </w:r>
                </w:p>
              </w:tc>
              <w:tc>
                <w:tcPr>
                  <w:tcW w:w="1042" w:type="pct"/>
                  <w:shd w:val="clear" w:color="auto" w:fill="CCFFFF"/>
                  <w:noWrap w:val="0"/>
                  <w:vAlign w:val="center"/>
                </w:tcPr>
                <w:p>
                  <w:pPr>
                    <w:widowControl/>
                    <w:jc w:val="center"/>
                    <w:rPr>
                      <w:b/>
                      <w:bCs/>
                      <w:kern w:val="0"/>
                      <w:szCs w:val="21"/>
                    </w:rPr>
                  </w:pPr>
                  <w:r>
                    <w:rPr>
                      <w:b/>
                      <w:bCs/>
                      <w:kern w:val="0"/>
                      <w:szCs w:val="21"/>
                    </w:rPr>
                    <w:t>最大存储量（t）</w:t>
                  </w:r>
                </w:p>
              </w:tc>
              <w:tc>
                <w:tcPr>
                  <w:tcW w:w="767" w:type="pct"/>
                  <w:shd w:val="clear" w:color="auto" w:fill="CCFFFF"/>
                  <w:noWrap w:val="0"/>
                  <w:vAlign w:val="center"/>
                </w:tcPr>
                <w:p>
                  <w:pPr>
                    <w:widowControl/>
                    <w:jc w:val="center"/>
                    <w:rPr>
                      <w:b/>
                      <w:bCs/>
                      <w:kern w:val="0"/>
                      <w:szCs w:val="21"/>
                    </w:rPr>
                  </w:pPr>
                  <w:r>
                    <w:rPr>
                      <w:b/>
                      <w:bCs/>
                      <w:kern w:val="0"/>
                      <w:szCs w:val="21"/>
                    </w:rPr>
                    <w:t>标准临界量（t）</w:t>
                  </w:r>
                </w:p>
              </w:tc>
              <w:tc>
                <w:tcPr>
                  <w:tcW w:w="822" w:type="pct"/>
                  <w:shd w:val="clear" w:color="auto" w:fill="CCFFFF"/>
                  <w:noWrap w:val="0"/>
                  <w:vAlign w:val="center"/>
                </w:tcPr>
                <w:p>
                  <w:pPr>
                    <w:widowControl/>
                    <w:jc w:val="center"/>
                    <w:rPr>
                      <w:b/>
                      <w:bCs/>
                      <w:kern w:val="0"/>
                      <w:szCs w:val="21"/>
                    </w:rPr>
                  </w:pPr>
                  <w:r>
                    <w:rPr>
                      <w:b/>
                      <w:bCs/>
                      <w:kern w:val="0"/>
                      <w:szCs w:val="21"/>
                    </w:rPr>
                    <w:t>危险物质Q值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08" w:type="pct"/>
                  <w:noWrap w:val="0"/>
                  <w:vAlign w:val="center"/>
                </w:tcPr>
                <w:p>
                  <w:pPr>
                    <w:widowControl/>
                    <w:numPr>
                      <w:ilvl w:val="0"/>
                      <w:numId w:val="10"/>
                    </w:numPr>
                    <w:jc w:val="center"/>
                    <w:rPr>
                      <w:kern w:val="0"/>
                      <w:szCs w:val="21"/>
                    </w:rPr>
                  </w:pPr>
                </w:p>
              </w:tc>
              <w:tc>
                <w:tcPr>
                  <w:tcW w:w="1352" w:type="pct"/>
                  <w:noWrap w:val="0"/>
                  <w:vAlign w:val="center"/>
                </w:tcPr>
                <w:p>
                  <w:pPr>
                    <w:widowControl/>
                    <w:jc w:val="center"/>
                    <w:rPr>
                      <w:kern w:val="0"/>
                      <w:szCs w:val="21"/>
                    </w:rPr>
                  </w:pPr>
                  <w:r>
                    <w:rPr>
                      <w:szCs w:val="21"/>
                    </w:rPr>
                    <w:t>PAM（聚丙烯酰胺）</w:t>
                  </w:r>
                </w:p>
              </w:tc>
              <w:tc>
                <w:tcPr>
                  <w:tcW w:w="710" w:type="pct"/>
                  <w:noWrap w:val="0"/>
                  <w:vAlign w:val="center"/>
                </w:tcPr>
                <w:p>
                  <w:pPr>
                    <w:widowControl/>
                    <w:jc w:val="center"/>
                    <w:rPr>
                      <w:kern w:val="0"/>
                      <w:szCs w:val="21"/>
                    </w:rPr>
                  </w:pPr>
                  <w:r>
                    <w:rPr>
                      <w:kern w:val="0"/>
                      <w:szCs w:val="21"/>
                    </w:rPr>
                    <w:t>9003-05-8</w:t>
                  </w:r>
                </w:p>
              </w:tc>
              <w:tc>
                <w:tcPr>
                  <w:tcW w:w="1042" w:type="pct"/>
                  <w:noWrap w:val="0"/>
                  <w:vAlign w:val="center"/>
                </w:tcPr>
                <w:p>
                  <w:pPr>
                    <w:snapToGrid w:val="0"/>
                    <w:jc w:val="center"/>
                    <w:rPr>
                      <w:szCs w:val="21"/>
                    </w:rPr>
                  </w:pPr>
                  <w:r>
                    <w:rPr>
                      <w:szCs w:val="21"/>
                    </w:rPr>
                    <w:t>0.5</w:t>
                  </w:r>
                </w:p>
              </w:tc>
              <w:tc>
                <w:tcPr>
                  <w:tcW w:w="767" w:type="pct"/>
                  <w:noWrap w:val="0"/>
                  <w:vAlign w:val="center"/>
                </w:tcPr>
                <w:p>
                  <w:pPr>
                    <w:widowControl/>
                    <w:jc w:val="center"/>
                    <w:rPr>
                      <w:kern w:val="0"/>
                      <w:szCs w:val="21"/>
                    </w:rPr>
                  </w:pPr>
                  <w:r>
                    <w:rPr>
                      <w:kern w:val="0"/>
                      <w:szCs w:val="21"/>
                    </w:rPr>
                    <w:t>/</w:t>
                  </w:r>
                </w:p>
              </w:tc>
              <w:tc>
                <w:tcPr>
                  <w:tcW w:w="822" w:type="pct"/>
                  <w:noWrap w:val="0"/>
                  <w:vAlign w:val="center"/>
                </w:tcPr>
                <w:p>
                  <w:pPr>
                    <w:widowControl/>
                    <w:jc w:val="center"/>
                    <w:rPr>
                      <w:kern w:val="0"/>
                      <w:szCs w:val="21"/>
                    </w:rPr>
                  </w:pPr>
                  <w:r>
                    <w:rPr>
                      <w:kern w:val="0"/>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08" w:type="pct"/>
                  <w:noWrap w:val="0"/>
                  <w:vAlign w:val="center"/>
                </w:tcPr>
                <w:p>
                  <w:pPr>
                    <w:widowControl/>
                    <w:numPr>
                      <w:ilvl w:val="0"/>
                      <w:numId w:val="10"/>
                    </w:numPr>
                    <w:jc w:val="center"/>
                    <w:rPr>
                      <w:kern w:val="0"/>
                      <w:szCs w:val="21"/>
                    </w:rPr>
                  </w:pPr>
                </w:p>
              </w:tc>
              <w:tc>
                <w:tcPr>
                  <w:tcW w:w="1352" w:type="pct"/>
                  <w:noWrap w:val="0"/>
                  <w:vAlign w:val="center"/>
                </w:tcPr>
                <w:p>
                  <w:pPr>
                    <w:widowControl/>
                    <w:jc w:val="center"/>
                    <w:rPr>
                      <w:kern w:val="0"/>
                      <w:szCs w:val="21"/>
                    </w:rPr>
                  </w:pPr>
                  <w:r>
                    <w:rPr>
                      <w:szCs w:val="21"/>
                    </w:rPr>
                    <w:t>PAC（聚合氯化铝）</w:t>
                  </w:r>
                </w:p>
              </w:tc>
              <w:tc>
                <w:tcPr>
                  <w:tcW w:w="710" w:type="pct"/>
                  <w:noWrap w:val="0"/>
                  <w:vAlign w:val="center"/>
                </w:tcPr>
                <w:p>
                  <w:pPr>
                    <w:widowControl/>
                    <w:jc w:val="center"/>
                    <w:rPr>
                      <w:kern w:val="0"/>
                      <w:szCs w:val="21"/>
                    </w:rPr>
                  </w:pPr>
                  <w:r>
                    <w:fldChar w:fldCharType="begin"/>
                  </w:r>
                  <w:r>
                    <w:instrText xml:space="preserve"> HYPERLINK "http://www.baidu.com/link?url=Qe70faiv937Eu8rWQv5GYFIFrsdObeGL5xu-r3mhjCR95ILwPjjzx_8Zho6dbpFWJhiaPOzonOqfg6oZiUV8y0F9U7z3DLyYwz50C9FRiXO" \t "_blank" </w:instrText>
                  </w:r>
                  <w:r>
                    <w:fldChar w:fldCharType="separate"/>
                  </w:r>
                  <w:r>
                    <w:t>1327-41-9</w:t>
                  </w:r>
                  <w:r>
                    <w:fldChar w:fldCharType="end"/>
                  </w:r>
                </w:p>
              </w:tc>
              <w:tc>
                <w:tcPr>
                  <w:tcW w:w="1042" w:type="pct"/>
                  <w:noWrap w:val="0"/>
                  <w:vAlign w:val="center"/>
                </w:tcPr>
                <w:p>
                  <w:pPr>
                    <w:snapToGrid w:val="0"/>
                    <w:jc w:val="center"/>
                  </w:pPr>
                  <w:r>
                    <w:rPr>
                      <w:szCs w:val="21"/>
                    </w:rPr>
                    <w:t>1.0</w:t>
                  </w:r>
                </w:p>
              </w:tc>
              <w:tc>
                <w:tcPr>
                  <w:tcW w:w="767" w:type="pct"/>
                  <w:noWrap w:val="0"/>
                  <w:vAlign w:val="center"/>
                </w:tcPr>
                <w:p>
                  <w:pPr>
                    <w:widowControl/>
                    <w:jc w:val="center"/>
                    <w:rPr>
                      <w:kern w:val="0"/>
                      <w:szCs w:val="21"/>
                    </w:rPr>
                  </w:pPr>
                  <w:r>
                    <w:rPr>
                      <w:kern w:val="0"/>
                      <w:szCs w:val="21"/>
                    </w:rPr>
                    <w:t>/</w:t>
                  </w:r>
                </w:p>
              </w:tc>
              <w:tc>
                <w:tcPr>
                  <w:tcW w:w="822" w:type="pct"/>
                  <w:noWrap w:val="0"/>
                  <w:vAlign w:val="center"/>
                </w:tcPr>
                <w:p>
                  <w:pPr>
                    <w:widowControl/>
                    <w:jc w:val="center"/>
                    <w:rPr>
                      <w:kern w:val="0"/>
                      <w:szCs w:val="21"/>
                    </w:rPr>
                  </w:pPr>
                  <w:r>
                    <w:rPr>
                      <w:kern w:val="0"/>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08" w:type="pct"/>
                  <w:noWrap w:val="0"/>
                  <w:vAlign w:val="center"/>
                </w:tcPr>
                <w:p>
                  <w:pPr>
                    <w:widowControl/>
                    <w:numPr>
                      <w:ilvl w:val="0"/>
                      <w:numId w:val="10"/>
                    </w:numPr>
                    <w:jc w:val="center"/>
                    <w:rPr>
                      <w:kern w:val="0"/>
                      <w:szCs w:val="21"/>
                    </w:rPr>
                  </w:pPr>
                </w:p>
              </w:tc>
              <w:tc>
                <w:tcPr>
                  <w:tcW w:w="1352" w:type="pct"/>
                  <w:noWrap w:val="0"/>
                  <w:vAlign w:val="center"/>
                </w:tcPr>
                <w:p>
                  <w:pPr>
                    <w:widowControl/>
                    <w:jc w:val="center"/>
                    <w:rPr>
                      <w:kern w:val="0"/>
                      <w:szCs w:val="21"/>
                    </w:rPr>
                  </w:pPr>
                  <w:r>
                    <w:rPr>
                      <w:szCs w:val="21"/>
                    </w:rPr>
                    <w:t>乙酸钠</w:t>
                  </w:r>
                </w:p>
              </w:tc>
              <w:tc>
                <w:tcPr>
                  <w:tcW w:w="710" w:type="pct"/>
                  <w:noWrap w:val="0"/>
                  <w:vAlign w:val="center"/>
                </w:tcPr>
                <w:p>
                  <w:pPr>
                    <w:widowControl/>
                    <w:jc w:val="center"/>
                    <w:rPr>
                      <w:kern w:val="0"/>
                      <w:szCs w:val="21"/>
                    </w:rPr>
                  </w:pPr>
                  <w:r>
                    <w:rPr>
                      <w:kern w:val="0"/>
                      <w:szCs w:val="21"/>
                    </w:rPr>
                    <w:t>127-09-3</w:t>
                  </w:r>
                </w:p>
              </w:tc>
              <w:tc>
                <w:tcPr>
                  <w:tcW w:w="1042" w:type="pct"/>
                  <w:noWrap w:val="0"/>
                  <w:vAlign w:val="center"/>
                </w:tcPr>
                <w:p>
                  <w:pPr>
                    <w:snapToGrid w:val="0"/>
                    <w:jc w:val="center"/>
                    <w:rPr>
                      <w:szCs w:val="21"/>
                    </w:rPr>
                  </w:pPr>
                  <w:r>
                    <w:rPr>
                      <w:szCs w:val="21"/>
                    </w:rPr>
                    <w:t>0.5</w:t>
                  </w:r>
                </w:p>
              </w:tc>
              <w:tc>
                <w:tcPr>
                  <w:tcW w:w="767" w:type="pct"/>
                  <w:noWrap w:val="0"/>
                  <w:vAlign w:val="center"/>
                </w:tcPr>
                <w:p>
                  <w:pPr>
                    <w:widowControl/>
                    <w:jc w:val="center"/>
                    <w:rPr>
                      <w:kern w:val="0"/>
                      <w:szCs w:val="21"/>
                    </w:rPr>
                  </w:pPr>
                  <w:r>
                    <w:rPr>
                      <w:kern w:val="0"/>
                      <w:szCs w:val="21"/>
                    </w:rPr>
                    <w:t>50</w:t>
                  </w:r>
                </w:p>
              </w:tc>
              <w:tc>
                <w:tcPr>
                  <w:tcW w:w="822" w:type="pct"/>
                  <w:noWrap w:val="0"/>
                  <w:vAlign w:val="center"/>
                </w:tcPr>
                <w:p>
                  <w:pPr>
                    <w:widowControl/>
                    <w:jc w:val="center"/>
                    <w:rPr>
                      <w:kern w:val="0"/>
                      <w:szCs w:val="21"/>
                    </w:rPr>
                  </w:pPr>
                  <w:r>
                    <w:rPr>
                      <w:kern w:val="0"/>
                      <w:szCs w:val="21"/>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08" w:type="pct"/>
                  <w:noWrap w:val="0"/>
                  <w:vAlign w:val="center"/>
                </w:tcPr>
                <w:p>
                  <w:pPr>
                    <w:widowControl/>
                    <w:numPr>
                      <w:ilvl w:val="0"/>
                      <w:numId w:val="10"/>
                    </w:numPr>
                    <w:jc w:val="center"/>
                    <w:rPr>
                      <w:kern w:val="0"/>
                      <w:szCs w:val="21"/>
                    </w:rPr>
                  </w:pPr>
                </w:p>
              </w:tc>
              <w:tc>
                <w:tcPr>
                  <w:tcW w:w="1352" w:type="pct"/>
                  <w:noWrap w:val="0"/>
                  <w:vAlign w:val="center"/>
                </w:tcPr>
                <w:p>
                  <w:pPr>
                    <w:snapToGrid w:val="0"/>
                    <w:jc w:val="center"/>
                    <w:rPr>
                      <w:szCs w:val="21"/>
                    </w:rPr>
                  </w:pPr>
                  <w:r>
                    <w:rPr>
                      <w:szCs w:val="21"/>
                    </w:rPr>
                    <w:t>盐酸（31%HCl）</w:t>
                  </w:r>
                </w:p>
              </w:tc>
              <w:tc>
                <w:tcPr>
                  <w:tcW w:w="710" w:type="pct"/>
                  <w:noWrap w:val="0"/>
                  <w:vAlign w:val="center"/>
                </w:tcPr>
                <w:p>
                  <w:pPr>
                    <w:widowControl/>
                    <w:jc w:val="center"/>
                    <w:rPr>
                      <w:kern w:val="0"/>
                      <w:szCs w:val="21"/>
                    </w:rPr>
                  </w:pPr>
                  <w:r>
                    <w:rPr>
                      <w:kern w:val="0"/>
                      <w:szCs w:val="21"/>
                    </w:rPr>
                    <w:t>/</w:t>
                  </w:r>
                </w:p>
              </w:tc>
              <w:tc>
                <w:tcPr>
                  <w:tcW w:w="1042" w:type="pct"/>
                  <w:noWrap w:val="0"/>
                  <w:vAlign w:val="center"/>
                </w:tcPr>
                <w:p>
                  <w:pPr>
                    <w:snapToGrid w:val="0"/>
                    <w:jc w:val="center"/>
                    <w:rPr>
                      <w:szCs w:val="21"/>
                    </w:rPr>
                  </w:pPr>
                  <w:r>
                    <w:rPr>
                      <w:szCs w:val="21"/>
                    </w:rPr>
                    <w:t>0.5（折为37%HCl 0.42）</w:t>
                  </w:r>
                </w:p>
              </w:tc>
              <w:tc>
                <w:tcPr>
                  <w:tcW w:w="767" w:type="pct"/>
                  <w:noWrap w:val="0"/>
                  <w:vAlign w:val="center"/>
                </w:tcPr>
                <w:p>
                  <w:pPr>
                    <w:widowControl/>
                    <w:jc w:val="center"/>
                    <w:rPr>
                      <w:kern w:val="0"/>
                      <w:szCs w:val="21"/>
                    </w:rPr>
                  </w:pPr>
                  <w:r>
                    <w:rPr>
                      <w:kern w:val="0"/>
                      <w:szCs w:val="21"/>
                    </w:rPr>
                    <w:t>7.5</w:t>
                  </w:r>
                </w:p>
              </w:tc>
              <w:tc>
                <w:tcPr>
                  <w:tcW w:w="822" w:type="pct"/>
                  <w:noWrap w:val="0"/>
                  <w:vAlign w:val="center"/>
                </w:tcPr>
                <w:p>
                  <w:pPr>
                    <w:widowControl/>
                    <w:jc w:val="center"/>
                    <w:rPr>
                      <w:kern w:val="0"/>
                      <w:szCs w:val="21"/>
                    </w:rPr>
                  </w:pPr>
                  <w:r>
                    <w:rPr>
                      <w:kern w:val="0"/>
                      <w:szCs w:val="21"/>
                    </w:rPr>
                    <w:t>0.056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08" w:type="pct"/>
                  <w:noWrap w:val="0"/>
                  <w:vAlign w:val="center"/>
                </w:tcPr>
                <w:p>
                  <w:pPr>
                    <w:widowControl/>
                    <w:numPr>
                      <w:ilvl w:val="0"/>
                      <w:numId w:val="10"/>
                    </w:numPr>
                    <w:jc w:val="center"/>
                    <w:rPr>
                      <w:kern w:val="0"/>
                      <w:szCs w:val="21"/>
                    </w:rPr>
                  </w:pPr>
                </w:p>
              </w:tc>
              <w:tc>
                <w:tcPr>
                  <w:tcW w:w="1352" w:type="pct"/>
                  <w:noWrap w:val="0"/>
                  <w:vAlign w:val="center"/>
                </w:tcPr>
                <w:p>
                  <w:pPr>
                    <w:snapToGrid w:val="0"/>
                    <w:jc w:val="center"/>
                    <w:rPr>
                      <w:szCs w:val="21"/>
                    </w:rPr>
                  </w:pPr>
                  <w:r>
                    <w:rPr>
                      <w:szCs w:val="21"/>
                    </w:rPr>
                    <w:t>氯酸钠（25%</w:t>
                  </w:r>
                  <w:r>
                    <w:t>NaClO</w:t>
                  </w:r>
                  <w:r>
                    <w:rPr>
                      <w:vertAlign w:val="subscript"/>
                    </w:rPr>
                    <w:t>3</w:t>
                  </w:r>
                  <w:r>
                    <w:t>）</w:t>
                  </w:r>
                </w:p>
              </w:tc>
              <w:tc>
                <w:tcPr>
                  <w:tcW w:w="710" w:type="pct"/>
                  <w:noWrap w:val="0"/>
                  <w:vAlign w:val="center"/>
                </w:tcPr>
                <w:p>
                  <w:pPr>
                    <w:widowControl/>
                    <w:jc w:val="center"/>
                    <w:rPr>
                      <w:kern w:val="0"/>
                      <w:szCs w:val="21"/>
                    </w:rPr>
                  </w:pPr>
                  <w:r>
                    <w:rPr>
                      <w:kern w:val="0"/>
                      <w:szCs w:val="21"/>
                    </w:rPr>
                    <w:t>127-09-3</w:t>
                  </w:r>
                </w:p>
              </w:tc>
              <w:tc>
                <w:tcPr>
                  <w:tcW w:w="1042" w:type="pct"/>
                  <w:noWrap w:val="0"/>
                  <w:vAlign w:val="center"/>
                </w:tcPr>
                <w:p>
                  <w:pPr>
                    <w:snapToGrid w:val="0"/>
                    <w:jc w:val="center"/>
                    <w:rPr>
                      <w:szCs w:val="21"/>
                    </w:rPr>
                  </w:pPr>
                  <w:r>
                    <w:rPr>
                      <w:szCs w:val="21"/>
                    </w:rPr>
                    <w:t>0.5</w:t>
                  </w:r>
                </w:p>
              </w:tc>
              <w:tc>
                <w:tcPr>
                  <w:tcW w:w="767" w:type="pct"/>
                  <w:noWrap w:val="0"/>
                  <w:vAlign w:val="center"/>
                </w:tcPr>
                <w:p>
                  <w:pPr>
                    <w:widowControl/>
                    <w:jc w:val="center"/>
                    <w:rPr>
                      <w:kern w:val="0"/>
                      <w:szCs w:val="21"/>
                    </w:rPr>
                  </w:pPr>
                  <w:r>
                    <w:rPr>
                      <w:kern w:val="0"/>
                      <w:szCs w:val="21"/>
                    </w:rPr>
                    <w:t>100</w:t>
                  </w:r>
                </w:p>
              </w:tc>
              <w:tc>
                <w:tcPr>
                  <w:tcW w:w="822" w:type="pct"/>
                  <w:noWrap w:val="0"/>
                  <w:vAlign w:val="center"/>
                </w:tcPr>
                <w:p>
                  <w:pPr>
                    <w:widowControl/>
                    <w:jc w:val="center"/>
                    <w:rPr>
                      <w:kern w:val="0"/>
                      <w:szCs w:val="21"/>
                    </w:rPr>
                  </w:pPr>
                  <w:r>
                    <w:rPr>
                      <w:kern w:val="0"/>
                      <w:szCs w:val="21"/>
                    </w:rPr>
                    <w:t>0.005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4178" w:type="pct"/>
                  <w:gridSpan w:val="5"/>
                  <w:noWrap w:val="0"/>
                  <w:vAlign w:val="center"/>
                </w:tcPr>
                <w:p>
                  <w:pPr>
                    <w:widowControl/>
                    <w:jc w:val="center"/>
                    <w:rPr>
                      <w:kern w:val="0"/>
                      <w:szCs w:val="21"/>
                    </w:rPr>
                  </w:pPr>
                  <w:r>
                    <w:rPr>
                      <w:kern w:val="0"/>
                      <w:szCs w:val="21"/>
                    </w:rPr>
                    <w:t>项目Q值∑</w:t>
                  </w:r>
                </w:p>
              </w:tc>
              <w:tc>
                <w:tcPr>
                  <w:tcW w:w="822" w:type="pct"/>
                  <w:noWrap w:val="0"/>
                  <w:vAlign w:val="center"/>
                </w:tcPr>
                <w:p>
                  <w:pPr>
                    <w:widowControl/>
                    <w:jc w:val="center"/>
                    <w:rPr>
                      <w:kern w:val="0"/>
                      <w:szCs w:val="21"/>
                    </w:rPr>
                  </w:pPr>
                  <w:r>
                    <w:rPr>
                      <w:kern w:val="0"/>
                      <w:szCs w:val="21"/>
                    </w:rPr>
                    <w:t>0.0206</w:t>
                  </w:r>
                </w:p>
              </w:tc>
            </w:tr>
          </w:tbl>
          <w:p>
            <w:pPr>
              <w:spacing w:line="360" w:lineRule="auto"/>
              <w:ind w:firstLine="480" w:firstLineChars="200"/>
              <w:rPr>
                <w:sz w:val="24"/>
              </w:rPr>
            </w:pPr>
            <w:r>
              <w:rPr>
                <w:sz w:val="24"/>
              </w:rPr>
              <w:t>根据上表，本项目的Q值为0.0206，因此本项目环境风险潜势为I。</w:t>
            </w:r>
          </w:p>
          <w:p>
            <w:pPr>
              <w:spacing w:line="360" w:lineRule="auto"/>
              <w:ind w:firstLine="480" w:firstLineChars="200"/>
              <w:rPr>
                <w:sz w:val="24"/>
              </w:rPr>
            </w:pPr>
            <w:r>
              <w:rPr>
                <w:sz w:val="24"/>
              </w:rPr>
              <w:t>（3）环境风险识别</w:t>
            </w:r>
          </w:p>
          <w:p>
            <w:pPr>
              <w:spacing w:line="360" w:lineRule="auto"/>
              <w:ind w:firstLine="480" w:firstLineChars="200"/>
              <w:rPr>
                <w:sz w:val="24"/>
              </w:rPr>
            </w:pPr>
            <w:r>
              <w:rPr>
                <w:sz w:val="24"/>
              </w:rPr>
              <w:t>风险识别包括物质危险性识别、生产系统危险性识别和危险物质向环境转移的途径识别。物质危险性识别包括主要原辅材料、燃料、中间产品、副产品、最终产品、污染物、火灾和爆炸伴生/次生物等；生产系统危险性识别包括主要生产装置、储运设施、公用工程和辅助生产设施，以及环境保护设施等；危险物质向环境转移的途径识别包括分析危险物质特性及可能的环境风险类型，识别危险物质影响环境的途径，分析可能影响的环境敏感目标。</w:t>
            </w:r>
          </w:p>
          <w:p>
            <w:pPr>
              <w:spacing w:line="360" w:lineRule="auto"/>
              <w:ind w:firstLine="480" w:firstLineChars="200"/>
              <w:rPr>
                <w:sz w:val="24"/>
              </w:rPr>
            </w:pPr>
            <w:r>
              <w:rPr>
                <w:sz w:val="24"/>
              </w:rPr>
              <w:t>1）来水超标</w:t>
            </w:r>
          </w:p>
          <w:p>
            <w:pPr>
              <w:spacing w:line="360" w:lineRule="auto"/>
              <w:ind w:firstLine="480" w:firstLineChars="200"/>
              <w:rPr>
                <w:sz w:val="24"/>
              </w:rPr>
            </w:pPr>
            <w:r>
              <w:rPr>
                <w:sz w:val="24"/>
              </w:rPr>
              <w:t>若项目接纳的生活污水不能满足进水水质要求而排入项目污水厂，可能造成项目后续各构筑物处理负荷增加、不能正常运作、最终出水不能满足排水标准要求，从而导致出水超标排放。</w:t>
            </w:r>
          </w:p>
          <w:p>
            <w:pPr>
              <w:spacing w:line="360" w:lineRule="auto"/>
              <w:ind w:firstLine="480" w:firstLineChars="200"/>
              <w:rPr>
                <w:sz w:val="24"/>
              </w:rPr>
            </w:pPr>
            <w:r>
              <w:rPr>
                <w:sz w:val="24"/>
              </w:rPr>
              <w:t>2）</w:t>
            </w:r>
            <w:r>
              <w:rPr>
                <w:rFonts w:hint="eastAsia"/>
                <w:sz w:val="24"/>
              </w:rPr>
              <w:t>化学品泄漏</w:t>
            </w:r>
          </w:p>
          <w:p>
            <w:pPr>
              <w:spacing w:line="360" w:lineRule="auto"/>
              <w:ind w:firstLine="480" w:firstLineChars="200"/>
              <w:rPr>
                <w:sz w:val="24"/>
              </w:rPr>
            </w:pPr>
            <w:r>
              <w:rPr>
                <w:sz w:val="24"/>
              </w:rPr>
              <w:t>本项目外购使用的化学品为液体，储存在溶液池内，其风险主要来源于储存化学品破损，发生</w:t>
            </w:r>
            <w:r>
              <w:rPr>
                <w:rFonts w:hint="eastAsia"/>
                <w:sz w:val="24"/>
              </w:rPr>
              <w:t>泄漏</w:t>
            </w:r>
            <w:r>
              <w:rPr>
                <w:sz w:val="24"/>
              </w:rPr>
              <w:t>，可能会对地表水和地下水造成影响。</w:t>
            </w:r>
          </w:p>
          <w:p>
            <w:pPr>
              <w:spacing w:line="360" w:lineRule="auto"/>
              <w:ind w:firstLine="480" w:firstLineChars="200"/>
              <w:rPr>
                <w:sz w:val="24"/>
              </w:rPr>
            </w:pPr>
            <w:r>
              <w:rPr>
                <w:sz w:val="24"/>
              </w:rPr>
              <w:t>3）生产过程</w:t>
            </w:r>
          </w:p>
          <w:p>
            <w:pPr>
              <w:spacing w:line="360" w:lineRule="auto"/>
              <w:ind w:firstLine="480" w:firstLineChars="200"/>
              <w:rPr>
                <w:sz w:val="24"/>
              </w:rPr>
            </w:pPr>
            <w:r>
              <w:rPr>
                <w:sz w:val="24"/>
              </w:rPr>
              <w:t>①加药装置风险因素分析</w:t>
            </w:r>
          </w:p>
          <w:p>
            <w:pPr>
              <w:spacing w:line="360" w:lineRule="auto"/>
              <w:ind w:firstLine="480" w:firstLineChars="200"/>
              <w:rPr>
                <w:sz w:val="24"/>
              </w:rPr>
            </w:pPr>
            <w:r>
              <w:rPr>
                <w:sz w:val="24"/>
              </w:rPr>
              <w:t>本项目加药设备、二氧化氯发生器因操作失误、设备故障等原因，可能导致</w:t>
            </w:r>
            <w:r>
              <w:rPr>
                <w:rFonts w:hint="eastAsia"/>
                <w:sz w:val="24"/>
              </w:rPr>
              <w:t>化学品泄漏</w:t>
            </w:r>
            <w:r>
              <w:rPr>
                <w:sz w:val="24"/>
              </w:rPr>
              <w:t>，形成危害。</w:t>
            </w:r>
          </w:p>
          <w:p>
            <w:pPr>
              <w:spacing w:line="360" w:lineRule="auto"/>
              <w:ind w:firstLine="480" w:firstLineChars="200"/>
              <w:rPr>
                <w:sz w:val="24"/>
              </w:rPr>
            </w:pPr>
            <w:r>
              <w:rPr>
                <w:sz w:val="24"/>
              </w:rPr>
              <w:t>②装卸作业分析隐患分析</w:t>
            </w:r>
          </w:p>
          <w:p>
            <w:pPr>
              <w:spacing w:line="360" w:lineRule="auto"/>
              <w:ind w:firstLine="480" w:firstLineChars="200"/>
              <w:rPr>
                <w:sz w:val="24"/>
              </w:rPr>
            </w:pPr>
            <w:r>
              <w:rPr>
                <w:sz w:val="24"/>
              </w:rPr>
              <w:t>在危险化学品的装卸过程中，易出现因工作人员操作不当而致使危险化学品外泄。外泄的物质具有腐蚀性，会引起环境事故。</w:t>
            </w:r>
          </w:p>
          <w:p>
            <w:pPr>
              <w:spacing w:line="360" w:lineRule="auto"/>
              <w:ind w:firstLine="480" w:firstLineChars="200"/>
              <w:rPr>
                <w:sz w:val="24"/>
              </w:rPr>
            </w:pPr>
            <w:r>
              <w:rPr>
                <w:sz w:val="24"/>
              </w:rPr>
              <w:t>③运输环节风险隐患分析</w:t>
            </w:r>
          </w:p>
          <w:p>
            <w:pPr>
              <w:spacing w:line="360" w:lineRule="auto"/>
              <w:ind w:firstLine="480" w:firstLineChars="200"/>
              <w:rPr>
                <w:sz w:val="24"/>
              </w:rPr>
            </w:pPr>
            <w:r>
              <w:rPr>
                <w:sz w:val="24"/>
              </w:rPr>
              <w:t>危险化学品在运输过程因发生覆车、撞击等事故，存在造成危险化学品储运设施开裂和爆炸的危险，并由此而引发危险化学品的大量泄漏进入环境中，从而导致中毒事故。</w:t>
            </w:r>
          </w:p>
          <w:p>
            <w:pPr>
              <w:spacing w:line="360" w:lineRule="auto"/>
              <w:ind w:firstLine="480" w:firstLineChars="200"/>
              <w:rPr>
                <w:sz w:val="24"/>
              </w:rPr>
            </w:pPr>
            <w:r>
              <w:rPr>
                <w:sz w:val="24"/>
              </w:rPr>
              <w:t>4）尾水事故排放</w:t>
            </w:r>
          </w:p>
          <w:p>
            <w:pPr>
              <w:spacing w:line="360" w:lineRule="auto"/>
              <w:ind w:firstLine="480" w:firstLineChars="200"/>
              <w:rPr>
                <w:sz w:val="24"/>
              </w:rPr>
            </w:pPr>
            <w:r>
              <w:rPr>
                <w:sz w:val="24"/>
              </w:rPr>
              <w:t>造成尾水事故排放的主要原因包括设备故障、污泥膨胀等。</w:t>
            </w:r>
          </w:p>
          <w:p>
            <w:pPr>
              <w:spacing w:line="360" w:lineRule="auto"/>
              <w:ind w:firstLine="480" w:firstLineChars="200"/>
              <w:rPr>
                <w:sz w:val="24"/>
              </w:rPr>
            </w:pPr>
            <w:r>
              <w:rPr>
                <w:sz w:val="24"/>
              </w:rPr>
              <w:t>污水处理厂一旦出现机械故障或停电，会直接影响污水处理厂的正常运行，尤其是遇到机械故障或长时间停电不运转将造成生化池中微生物大批死亡。</w:t>
            </w:r>
          </w:p>
          <w:p>
            <w:pPr>
              <w:spacing w:line="360" w:lineRule="auto"/>
              <w:ind w:firstLine="480" w:firstLineChars="200"/>
              <w:rPr>
                <w:sz w:val="24"/>
              </w:rPr>
            </w:pPr>
            <w:r>
              <w:rPr>
                <w:sz w:val="24"/>
              </w:rPr>
              <w:t>正常的活性污泥沉降性能很好，含水率一般在99%左右，当活性污泥变质时，污泥就不易沉淀，含水率上升，体积膨胀，澄清液减少，这就是污泥膨胀。根据国内外活性污泥系统调查结果，无论是普通活性污泥系统，还是生物脱氮除磷系统都会发污泥膨胀，污泥膨胀是自活性污泥法问世以来在运行管理上一直困扰人们的难题之一。污泥膨胀一般是由丝状菌和真菌引起的，其中由丝状菌过量繁殖引起的污泥膨胀最为常见。目前已知的近30种丝状菌中，与污泥膨胀问题密切相关的有十几种。有的丝状菌引起的污泥膨胀发展迅速，2～4d就可达到非常严重的结果，而且非常持久。当发生污泥膨胀时，会严重影响污水处理设施的处理效果，甚至完全失效时，尾水将严重超标排放。</w:t>
            </w:r>
          </w:p>
          <w:p>
            <w:pPr>
              <w:spacing w:line="360" w:lineRule="auto"/>
              <w:ind w:firstLine="480" w:firstLineChars="200"/>
              <w:rPr>
                <w:sz w:val="24"/>
              </w:rPr>
            </w:pPr>
            <w:r>
              <w:rPr>
                <w:sz w:val="24"/>
              </w:rPr>
              <w:t>5）其他因素</w:t>
            </w:r>
          </w:p>
          <w:p>
            <w:pPr>
              <w:spacing w:line="360" w:lineRule="auto"/>
              <w:ind w:firstLine="480" w:firstLineChars="200"/>
              <w:rPr>
                <w:sz w:val="24"/>
              </w:rPr>
            </w:pPr>
            <w:r>
              <w:rPr>
                <w:sz w:val="24"/>
              </w:rPr>
              <w:t>可能引发事故风险的还有：①自然灾害；②人为破坏等。以上2个因素从设计和管理上加强防范还是可以避免和减缓影响的。</w:t>
            </w:r>
          </w:p>
          <w:p>
            <w:pPr>
              <w:spacing w:line="360" w:lineRule="auto"/>
              <w:ind w:firstLine="482" w:firstLineChars="200"/>
              <w:rPr>
                <w:b/>
                <w:bCs/>
                <w:sz w:val="24"/>
              </w:rPr>
            </w:pPr>
            <w:r>
              <w:rPr>
                <w:b/>
                <w:bCs/>
                <w:sz w:val="24"/>
              </w:rPr>
              <w:t>2、环境风险管理及防范措施</w:t>
            </w:r>
          </w:p>
          <w:p>
            <w:pPr>
              <w:spacing w:line="360" w:lineRule="auto"/>
              <w:ind w:firstLine="480" w:firstLineChars="200"/>
              <w:rPr>
                <w:sz w:val="24"/>
              </w:rPr>
            </w:pPr>
            <w:r>
              <w:rPr>
                <w:sz w:val="24"/>
              </w:rPr>
              <w:t>为使环境风险减少到最低限度，必须加强劳动、安全、卫生和环境的管理。可以从人、物、环境和管理四个方面寻找影响事故的原因，制定完备、有效的安全防范措施，尽可能降低本项目环境风险事故发生的概率，减少事故的损失和危害。</w:t>
            </w:r>
          </w:p>
          <w:p>
            <w:pPr>
              <w:spacing w:line="360" w:lineRule="auto"/>
              <w:ind w:firstLine="480" w:firstLineChars="200"/>
              <w:rPr>
                <w:sz w:val="24"/>
              </w:rPr>
            </w:pPr>
            <w:r>
              <w:rPr>
                <w:sz w:val="24"/>
              </w:rPr>
              <w:t>（1）事故防范措施</w:t>
            </w:r>
          </w:p>
          <w:p>
            <w:pPr>
              <w:spacing w:line="360" w:lineRule="auto"/>
              <w:ind w:firstLine="480" w:firstLineChars="200"/>
              <w:rPr>
                <w:sz w:val="24"/>
              </w:rPr>
            </w:pPr>
            <w:r>
              <w:rPr>
                <w:sz w:val="24"/>
              </w:rPr>
              <w:t>设备故障风险防范措施</w:t>
            </w:r>
          </w:p>
          <w:p>
            <w:pPr>
              <w:spacing w:line="360" w:lineRule="auto"/>
              <w:ind w:firstLine="480" w:firstLineChars="200"/>
              <w:rPr>
                <w:sz w:val="24"/>
              </w:rPr>
            </w:pPr>
            <w:r>
              <w:rPr>
                <w:sz w:val="24"/>
              </w:rPr>
              <w:t>根据风险分析，提出防止风险事故的措施对策。措施对策从技术措施对策和管理措施对策两个层面进行探索。</w:t>
            </w:r>
          </w:p>
          <w:p>
            <w:pPr>
              <w:spacing w:line="360" w:lineRule="auto"/>
              <w:ind w:firstLine="480" w:firstLineChars="200"/>
              <w:rPr>
                <w:sz w:val="24"/>
              </w:rPr>
            </w:pPr>
            <w:r>
              <w:rPr>
                <w:sz w:val="24"/>
              </w:rPr>
              <w:t>1）污水处理厂稳定运行与管网的维护关系密切。应十分重视管网的维护及管理，防止泥沙沉积堵塞而影响管道的过水能力。管道衔接应防止泄漏污染地下水和掏空地基，淤塞应及时疏浚，保证管道通畅，同时最大限度地收集生活污水。污水干管和支管设计中，选择适当充满度和最小设计流速，防止污泥沉积。</w:t>
            </w:r>
          </w:p>
          <w:p>
            <w:pPr>
              <w:spacing w:line="360" w:lineRule="auto"/>
              <w:ind w:firstLine="480" w:firstLineChars="200"/>
              <w:rPr>
                <w:sz w:val="24"/>
              </w:rPr>
            </w:pPr>
            <w:r>
              <w:rPr>
                <w:sz w:val="24"/>
              </w:rPr>
              <w:t>污水管网应制定严格的维修制度，用户应严格执行国家、地方的有关排放标准。维修制度主要如下：</w:t>
            </w:r>
          </w:p>
          <w:p>
            <w:pPr>
              <w:spacing w:line="360" w:lineRule="auto"/>
              <w:ind w:firstLine="480" w:firstLineChars="200"/>
              <w:rPr>
                <w:sz w:val="24"/>
              </w:rPr>
            </w:pPr>
            <w:r>
              <w:rPr>
                <w:sz w:val="24"/>
              </w:rPr>
              <w:t>①操作运行人员严格按照操作规程进行设备的开、停车。</w:t>
            </w:r>
          </w:p>
          <w:p>
            <w:pPr>
              <w:spacing w:line="360" w:lineRule="auto"/>
              <w:ind w:firstLine="480" w:firstLineChars="200"/>
              <w:rPr>
                <w:sz w:val="24"/>
              </w:rPr>
            </w:pPr>
            <w:r>
              <w:rPr>
                <w:sz w:val="24"/>
              </w:rPr>
              <w:t>②操作运行人员严格执行巡回检查制度，认真填写运行记录。</w:t>
            </w:r>
          </w:p>
          <w:p>
            <w:pPr>
              <w:spacing w:line="360" w:lineRule="auto"/>
              <w:ind w:firstLine="480" w:firstLineChars="200"/>
              <w:rPr>
                <w:sz w:val="24"/>
              </w:rPr>
            </w:pPr>
            <w:r>
              <w:rPr>
                <w:sz w:val="24"/>
              </w:rPr>
              <w:t>③维修人员认真做好设备润滑工作，做到“四定”（即定人、定点、定量、定时）。</w:t>
            </w:r>
          </w:p>
          <w:p>
            <w:pPr>
              <w:spacing w:line="360" w:lineRule="auto"/>
              <w:ind w:firstLine="480" w:firstLineChars="200"/>
              <w:rPr>
                <w:sz w:val="24"/>
              </w:rPr>
            </w:pPr>
            <w:r>
              <w:rPr>
                <w:sz w:val="24"/>
              </w:rPr>
              <w:t>④操作运行人员和维修人员应经常注意保持设备整洁，及时消除跑、冒、滴、漏，暂时不能消除的维修人员应</w:t>
            </w:r>
            <w:r>
              <w:rPr>
                <w:rFonts w:hint="eastAsia"/>
                <w:sz w:val="24"/>
              </w:rPr>
              <w:t>做好</w:t>
            </w:r>
            <w:r>
              <w:rPr>
                <w:sz w:val="24"/>
              </w:rPr>
              <w:t>记录并挂牌，正常运行中，消除漏点后摘牌也应作记录。</w:t>
            </w:r>
          </w:p>
          <w:p>
            <w:pPr>
              <w:spacing w:line="360" w:lineRule="auto"/>
              <w:ind w:firstLine="480" w:firstLineChars="200"/>
              <w:rPr>
                <w:sz w:val="24"/>
              </w:rPr>
            </w:pPr>
            <w:r>
              <w:rPr>
                <w:sz w:val="24"/>
              </w:rPr>
              <w:t>⑤所有设备均应定期检查，注意防尘、防潮、防冻、防腐蚀。</w:t>
            </w:r>
          </w:p>
          <w:p>
            <w:pPr>
              <w:spacing w:line="360" w:lineRule="auto"/>
              <w:ind w:firstLine="480" w:firstLineChars="200"/>
              <w:rPr>
                <w:sz w:val="24"/>
              </w:rPr>
            </w:pPr>
            <w:r>
              <w:rPr>
                <w:sz w:val="24"/>
              </w:rPr>
              <w:t>⑥操作人员发现设备异常应立即查找原因，及时汇报，在紧急情况下，应采取果断措施。不能排除的故障，不清楚故障原因，不能盲目开车。未处理的问题应认真记录，与接班人员</w:t>
            </w:r>
            <w:r>
              <w:rPr>
                <w:rFonts w:hint="eastAsia"/>
                <w:sz w:val="24"/>
              </w:rPr>
              <w:t>交代清楚</w:t>
            </w:r>
            <w:r>
              <w:rPr>
                <w:sz w:val="24"/>
              </w:rPr>
              <w:t>。</w:t>
            </w:r>
          </w:p>
          <w:p>
            <w:pPr>
              <w:spacing w:line="360" w:lineRule="auto"/>
              <w:ind w:firstLine="480" w:firstLineChars="200"/>
              <w:rPr>
                <w:sz w:val="24"/>
              </w:rPr>
            </w:pPr>
            <w:r>
              <w:rPr>
                <w:sz w:val="24"/>
              </w:rPr>
              <w:t>⑦维修人员必须按设备使用要求设置机油装置，不得混用和滥用。</w:t>
            </w:r>
          </w:p>
          <w:p>
            <w:pPr>
              <w:spacing w:line="360" w:lineRule="auto"/>
              <w:ind w:firstLine="480" w:firstLineChars="200"/>
              <w:rPr>
                <w:sz w:val="24"/>
              </w:rPr>
            </w:pPr>
            <w:r>
              <w:rPr>
                <w:sz w:val="24"/>
              </w:rPr>
              <w:t>⑧操作运行人员应经常检查润滑部位的温升情况，轴承温升应保持在规定范围内。</w:t>
            </w:r>
          </w:p>
          <w:p>
            <w:pPr>
              <w:spacing w:line="360" w:lineRule="auto"/>
              <w:ind w:firstLine="480" w:firstLineChars="200"/>
              <w:rPr>
                <w:sz w:val="24"/>
              </w:rPr>
            </w:pPr>
            <w:r>
              <w:rPr>
                <w:sz w:val="24"/>
              </w:rPr>
              <w:t>⑨维修人员保管好盛装润滑油、脂的工器具，经常检查，定期清洗或更换，对不同种类及牌号的机油、脂应分别存放，并写上明显的标记。</w:t>
            </w:r>
          </w:p>
          <w:p>
            <w:pPr>
              <w:spacing w:line="360" w:lineRule="auto"/>
              <w:ind w:firstLine="480" w:firstLineChars="200"/>
              <w:rPr>
                <w:sz w:val="24"/>
              </w:rPr>
            </w:pPr>
            <w:r>
              <w:rPr>
                <w:sz w:val="24"/>
              </w:rPr>
              <w:t>2）污水处理厂采用双回路供电一用一备，水泵设计考虑备用，机械设备采用性能可靠优质产品，最好采用进口产品。</w:t>
            </w:r>
          </w:p>
          <w:p>
            <w:pPr>
              <w:spacing w:line="360" w:lineRule="auto"/>
              <w:ind w:firstLine="480" w:firstLineChars="200"/>
              <w:rPr>
                <w:sz w:val="24"/>
              </w:rPr>
            </w:pPr>
            <w:r>
              <w:rPr>
                <w:sz w:val="24"/>
              </w:rPr>
              <w:t>3）为使在事故状态下污水处理厂能够迅速恢复正常运行，应在主要水工建筑物容积上留有相应的缓冲能力，并配有相应设备（如回流泵、回流管道、阀门及仪表等）。</w:t>
            </w:r>
          </w:p>
          <w:p>
            <w:pPr>
              <w:spacing w:line="360" w:lineRule="auto"/>
              <w:ind w:firstLine="480" w:firstLineChars="200"/>
              <w:rPr>
                <w:sz w:val="24"/>
              </w:rPr>
            </w:pPr>
            <w:r>
              <w:rPr>
                <w:sz w:val="24"/>
              </w:rPr>
              <w:t>4）对污水处理厂各种机械电器、仪表等主要设备，必须选择质量优良、事故率低、便于维修的产品。关键设备应一备一用，易损部件要有备用件，在出现事故时能及时更换。</w:t>
            </w:r>
          </w:p>
          <w:p>
            <w:pPr>
              <w:spacing w:line="360" w:lineRule="auto"/>
              <w:ind w:firstLine="480" w:firstLineChars="200"/>
              <w:rPr>
                <w:sz w:val="24"/>
              </w:rPr>
            </w:pPr>
            <w:r>
              <w:rPr>
                <w:sz w:val="24"/>
              </w:rPr>
              <w:t>5）严格控制处理单元的水量、水质、停留时间、负荷强度等工艺参数，确保处理效果的稳定性。配备流量、水质自动分析监控仪器，定期取样监测。操作人员及时调整，使设备处于最佳工况。如发现不正常现象，必须立即采取预防措施。</w:t>
            </w:r>
          </w:p>
          <w:p>
            <w:pPr>
              <w:spacing w:line="360" w:lineRule="auto"/>
              <w:ind w:firstLine="480" w:firstLineChars="200"/>
              <w:rPr>
                <w:sz w:val="24"/>
              </w:rPr>
            </w:pPr>
            <w:r>
              <w:rPr>
                <w:sz w:val="24"/>
              </w:rPr>
              <w:t>6）考虑到污水的腐蚀性，淹没于水中的设备、部件所用材料须采用铬镍不锈钢或铸铁等耐腐蚀材料，平台以上部分可为铝合金或碳钢（镀锌或涂刷环氧漆）。</w:t>
            </w:r>
          </w:p>
          <w:p>
            <w:pPr>
              <w:spacing w:line="360" w:lineRule="auto"/>
              <w:ind w:firstLine="480" w:firstLineChars="200"/>
              <w:rPr>
                <w:sz w:val="24"/>
              </w:rPr>
            </w:pPr>
            <w:r>
              <w:rPr>
                <w:sz w:val="24"/>
              </w:rPr>
              <w:t>7）加强运行管理和进出水的监测工作，未经处理达标的污水严禁外排。</w:t>
            </w:r>
          </w:p>
          <w:p>
            <w:pPr>
              <w:spacing w:line="360" w:lineRule="auto"/>
              <w:ind w:firstLine="480" w:firstLineChars="200"/>
              <w:rPr>
                <w:sz w:val="24"/>
              </w:rPr>
            </w:pPr>
            <w:r>
              <w:rPr>
                <w:sz w:val="24"/>
              </w:rPr>
              <w:t>8）加强事故苗头监控，定期巡检、调节、保养、维修，及时发现有可能引起事故的异常运行苗头，消除事故隐患。</w:t>
            </w:r>
          </w:p>
          <w:p>
            <w:pPr>
              <w:spacing w:line="360" w:lineRule="auto"/>
              <w:ind w:firstLine="480" w:firstLineChars="200"/>
              <w:rPr>
                <w:sz w:val="24"/>
              </w:rPr>
            </w:pPr>
            <w:r>
              <w:rPr>
                <w:sz w:val="24"/>
              </w:rPr>
              <w:t>9）建立由污水处理厂厂长负责制的环境管理机构，从上到下建立起环境目标责任制，规范各部门的运行管理。对工作人员进行必要的审查，组织操作人员进行上岗前的专业培训。组织专业技术人员提前进岗，参与污水处理厂施工、安装、调试和验收的全过程，为今后的正常运行管理奠定基础。</w:t>
            </w:r>
          </w:p>
          <w:p>
            <w:pPr>
              <w:spacing w:line="360" w:lineRule="auto"/>
              <w:ind w:firstLine="480" w:firstLineChars="200"/>
              <w:rPr>
                <w:sz w:val="24"/>
              </w:rPr>
            </w:pPr>
            <w:r>
              <w:rPr>
                <w:sz w:val="24"/>
              </w:rPr>
              <w:t>10）主动接受和协助地方环保局和其他相关部门的监督和管理。鼓励公众参与对污水处理厂的监督，最大程度减小事故排放的可能性。</w:t>
            </w:r>
          </w:p>
          <w:p>
            <w:pPr>
              <w:spacing w:line="360" w:lineRule="auto"/>
              <w:ind w:firstLine="480" w:firstLineChars="200"/>
              <w:rPr>
                <w:sz w:val="24"/>
              </w:rPr>
            </w:pPr>
            <w:r>
              <w:rPr>
                <w:sz w:val="24"/>
              </w:rPr>
              <w:t>污水事故排放的风险防范措施：</w:t>
            </w:r>
          </w:p>
          <w:p>
            <w:pPr>
              <w:spacing w:line="360" w:lineRule="auto"/>
              <w:ind w:firstLine="480" w:firstLineChars="200"/>
              <w:rPr>
                <w:sz w:val="24"/>
              </w:rPr>
            </w:pPr>
            <w:r>
              <w:rPr>
                <w:sz w:val="24"/>
              </w:rPr>
              <w:t>本项目事故排放主要由于停电或机械故障以及人为操作时导致废水处理系统不能正常运行所致。</w:t>
            </w:r>
          </w:p>
          <w:p>
            <w:pPr>
              <w:spacing w:line="360" w:lineRule="auto"/>
              <w:ind w:firstLine="480" w:firstLineChars="200"/>
              <w:rPr>
                <w:sz w:val="24"/>
              </w:rPr>
            </w:pPr>
            <w:r>
              <w:rPr>
                <w:sz w:val="24"/>
              </w:rPr>
              <w:t>1）选用先进、成熟、可靠的工艺、设备以及行之有效的二次污染治理措施，确保出厂尾水稳定达标排放。</w:t>
            </w:r>
          </w:p>
          <w:p>
            <w:pPr>
              <w:spacing w:line="360" w:lineRule="auto"/>
              <w:ind w:firstLine="480" w:firstLineChars="200"/>
              <w:rPr>
                <w:sz w:val="24"/>
              </w:rPr>
            </w:pPr>
            <w:r>
              <w:rPr>
                <w:sz w:val="24"/>
              </w:rPr>
              <w:t>2）污水处理系统设置为并联的双系统，一开一备，确保处理系统连续、稳定运行；安装在线监测系统，加强出水水质监控。</w:t>
            </w:r>
          </w:p>
          <w:p>
            <w:pPr>
              <w:spacing w:line="360" w:lineRule="auto"/>
              <w:ind w:firstLine="480" w:firstLineChars="200"/>
              <w:rPr>
                <w:sz w:val="24"/>
              </w:rPr>
            </w:pPr>
            <w:r>
              <w:rPr>
                <w:sz w:val="24"/>
              </w:rPr>
              <w:t>3）本工程污水处理厂均采用双回路供电一用一备，主供电源为10kV市电电源供电。此外在突然停电时进厂节流井中心重力式快闭闸可以迅速关闭，确保生产安全。</w:t>
            </w:r>
          </w:p>
          <w:p>
            <w:pPr>
              <w:spacing w:line="360" w:lineRule="auto"/>
              <w:ind w:firstLine="480" w:firstLineChars="200"/>
              <w:rPr>
                <w:sz w:val="24"/>
              </w:rPr>
            </w:pPr>
            <w:r>
              <w:rPr>
                <w:sz w:val="24"/>
              </w:rPr>
              <w:t>4）建立完整的生产、环保和安全、应急管理制度，明确岗位职责，定期培训职工，提高安全生产和管理能力。</w:t>
            </w:r>
          </w:p>
          <w:p>
            <w:pPr>
              <w:spacing w:line="360" w:lineRule="auto"/>
              <w:ind w:firstLine="480" w:firstLineChars="200"/>
              <w:rPr>
                <w:sz w:val="24"/>
              </w:rPr>
            </w:pPr>
            <w:r>
              <w:rPr>
                <w:sz w:val="24"/>
              </w:rPr>
              <w:t>5）加强对污水处理设施的运行管理和维护，将事故消灭在萌芽状态。定期检测、维修，及时更换腐蚀受损设备，加强对污水处理设施的管理，杜绝污泥膨胀造成事故性排放。</w:t>
            </w:r>
          </w:p>
          <w:p>
            <w:pPr>
              <w:spacing w:line="360" w:lineRule="auto"/>
              <w:ind w:firstLine="480" w:firstLineChars="200"/>
              <w:rPr>
                <w:sz w:val="24"/>
              </w:rPr>
            </w:pPr>
            <w:r>
              <w:rPr>
                <w:sz w:val="24"/>
              </w:rPr>
              <w:t>6）因需要暂停运转的，须报当地环保部门审查和批准。因事故停止运转，应立即采取措施，停止废水排放，并及时报告当地环境保护行政主管部门。</w:t>
            </w:r>
          </w:p>
          <w:p>
            <w:pPr>
              <w:spacing w:line="360" w:lineRule="auto"/>
              <w:ind w:firstLine="480" w:firstLineChars="200"/>
              <w:rPr>
                <w:sz w:val="24"/>
              </w:rPr>
            </w:pPr>
            <w:r>
              <w:rPr>
                <w:sz w:val="24"/>
              </w:rPr>
              <w:t>7）建立完整的生产、环保和安全、应急管理制度，明确岗位职责，定期培训职工，提高安全生产和管理能力。</w:t>
            </w:r>
          </w:p>
          <w:p>
            <w:pPr>
              <w:spacing w:line="360" w:lineRule="auto"/>
              <w:ind w:firstLine="480" w:firstLineChars="200"/>
              <w:rPr>
                <w:sz w:val="24"/>
              </w:rPr>
            </w:pPr>
            <w:r>
              <w:rPr>
                <w:sz w:val="24"/>
              </w:rPr>
              <w:t>8）加强对污水处理设施的运行管理和维护，将事故消灭在萌芽状态。定期检测、维修，及时更换腐蚀受损设备，加强对污水处理设施的管理，杜绝污泥膨胀造成事故性排放。</w:t>
            </w:r>
          </w:p>
          <w:p>
            <w:pPr>
              <w:spacing w:line="360" w:lineRule="auto"/>
              <w:ind w:firstLine="480" w:firstLineChars="200"/>
              <w:rPr>
                <w:sz w:val="24"/>
              </w:rPr>
            </w:pPr>
            <w:r>
              <w:rPr>
                <w:sz w:val="24"/>
              </w:rPr>
              <w:t>管道泄漏风险防范措施项目涉及管道应采取以下风险防范措施：</w:t>
            </w:r>
          </w:p>
          <w:p>
            <w:pPr>
              <w:spacing w:line="360" w:lineRule="auto"/>
              <w:ind w:firstLine="480" w:firstLineChars="200"/>
              <w:rPr>
                <w:sz w:val="24"/>
              </w:rPr>
            </w:pPr>
            <w:r>
              <w:rPr>
                <w:sz w:val="24"/>
              </w:rPr>
              <w:t>①项目管道均采用钢筋砼管材，其本身具有良好的防腐、防漏功能；</w:t>
            </w:r>
          </w:p>
          <w:p>
            <w:pPr>
              <w:spacing w:line="360" w:lineRule="auto"/>
              <w:ind w:firstLine="480" w:firstLineChars="200"/>
              <w:rPr>
                <w:sz w:val="24"/>
              </w:rPr>
            </w:pPr>
            <w:r>
              <w:rPr>
                <w:sz w:val="24"/>
              </w:rPr>
              <w:t>②施工过程中，在下管前对管沟、平基、管座进行质量检测和复核，合格后方进行管道安装；在管道安装过程中，将管身垫稳后，对安装的管道进行了复测，在符合要求的情况再进行抹带浇筑，保证了管道安装后的质量。</w:t>
            </w:r>
          </w:p>
          <w:p>
            <w:pPr>
              <w:spacing w:line="360" w:lineRule="auto"/>
              <w:ind w:firstLine="480" w:firstLineChars="200"/>
              <w:rPr>
                <w:sz w:val="24"/>
              </w:rPr>
            </w:pPr>
            <w:r>
              <w:rPr>
                <w:sz w:val="24"/>
              </w:rPr>
              <w:t>③加强尾水管道巡查和检修，及时发现管道溢流和渗漏问题。</w:t>
            </w:r>
          </w:p>
          <w:p>
            <w:pPr>
              <w:spacing w:line="360" w:lineRule="auto"/>
              <w:ind w:firstLine="480" w:firstLineChars="200"/>
              <w:rPr>
                <w:sz w:val="24"/>
              </w:rPr>
            </w:pPr>
            <w:r>
              <w:rPr>
                <w:sz w:val="24"/>
              </w:rPr>
              <w:t>④制定环境风险应急预案，发生事故时</w:t>
            </w:r>
            <w:r>
              <w:rPr>
                <w:rFonts w:hint="eastAsia"/>
                <w:sz w:val="24"/>
              </w:rPr>
              <w:t>即刻</w:t>
            </w:r>
            <w:r>
              <w:rPr>
                <w:sz w:val="24"/>
              </w:rPr>
              <w:t>启用应急预案，尽可能减轻事故带来的环境影响。</w:t>
            </w:r>
          </w:p>
          <w:p>
            <w:pPr>
              <w:spacing w:line="360" w:lineRule="auto"/>
              <w:ind w:firstLine="480" w:firstLineChars="200"/>
              <w:rPr>
                <w:sz w:val="24"/>
              </w:rPr>
            </w:pPr>
            <w:r>
              <w:rPr>
                <w:sz w:val="24"/>
              </w:rPr>
              <w:t>（2）危险废物、消毒剂储存过程中风险防范措施</w:t>
            </w:r>
          </w:p>
          <w:p>
            <w:pPr>
              <w:spacing w:line="360" w:lineRule="auto"/>
              <w:ind w:firstLine="480" w:firstLineChars="200"/>
              <w:rPr>
                <w:sz w:val="24"/>
              </w:rPr>
            </w:pPr>
            <w:r>
              <w:rPr>
                <w:sz w:val="24"/>
              </w:rPr>
              <w:t>①危废间门口贴标识标牌，设防火提示牌，门口设置警示牌。</w:t>
            </w:r>
          </w:p>
          <w:p>
            <w:pPr>
              <w:spacing w:line="360" w:lineRule="auto"/>
              <w:ind w:firstLine="480" w:firstLineChars="200"/>
              <w:rPr>
                <w:sz w:val="24"/>
              </w:rPr>
            </w:pPr>
            <w:r>
              <w:rPr>
                <w:sz w:val="24"/>
              </w:rPr>
              <w:t>②设置管理责任人，作业人员须了解其接触的危险废物的性质、危害特性、包装容器的使用特性和发生意外时的应急措施，并配备必要的应急处理器材和防护用品。</w:t>
            </w:r>
          </w:p>
          <w:p>
            <w:pPr>
              <w:spacing w:line="360" w:lineRule="auto"/>
              <w:ind w:firstLine="480" w:firstLineChars="200"/>
              <w:rPr>
                <w:sz w:val="24"/>
              </w:rPr>
            </w:pPr>
            <w:r>
              <w:rPr>
                <w:sz w:val="24"/>
              </w:rPr>
              <w:t>③危险废物暂存间、加药间、污水处理池及区域等地面全部进行重点防渗处理，危废暂存间地面采取混凝土底板（厚度300mm，抗渗等级为P8）+2mm厚HDPE防渗膜+混凝土保护层（厚度100mm）+环氧树脂防腐层进行防渗处理，确保K≤1×10</w:t>
            </w:r>
            <w:r>
              <w:rPr>
                <w:sz w:val="24"/>
                <w:vertAlign w:val="superscript"/>
              </w:rPr>
              <w:t>-10</w:t>
            </w:r>
            <w:r>
              <w:rPr>
                <w:sz w:val="24"/>
              </w:rPr>
              <w:t>cm/s，同时评价要求暂存危险废物时，在此防渗措施基础上再增设不锈钢防渗托盘（边缘高度不少于10cm）进行防渗，避免由于操作不当导致危废物质泄漏。加药间、污水处理池及区域地面</w:t>
            </w:r>
            <w:r>
              <w:rPr>
                <w:rFonts w:hint="eastAsia"/>
                <w:sz w:val="24"/>
              </w:rPr>
              <w:t>采用</w:t>
            </w:r>
            <w:r>
              <w:rPr>
                <w:sz w:val="24"/>
              </w:rPr>
              <w:t>P8等级混凝土+2mmHDPE膜+钢筋混凝土硬化，确保K≤1×10</w:t>
            </w:r>
            <w:r>
              <w:rPr>
                <w:sz w:val="24"/>
                <w:vertAlign w:val="superscript"/>
              </w:rPr>
              <w:t>-7</w:t>
            </w:r>
            <w:r>
              <w:rPr>
                <w:sz w:val="24"/>
              </w:rPr>
              <w:t>cm/s，同时评价要求暂存消毒剂时，在此防渗措施基础上再增设不锈钢防渗托盘（边缘高度不少于10cm）进行防渗，避免由于操作不当导致消毒剂泄漏。</w:t>
            </w:r>
          </w:p>
          <w:p>
            <w:pPr>
              <w:spacing w:line="360" w:lineRule="auto"/>
              <w:ind w:firstLine="480" w:firstLineChars="200"/>
              <w:rPr>
                <w:sz w:val="24"/>
              </w:rPr>
            </w:pPr>
            <w:r>
              <w:rPr>
                <w:sz w:val="24"/>
              </w:rPr>
              <w:t>④液态危废、消毒剂采用专用密闭容器收集暂存，且容器下方设置不锈钢托盘，并设置空桶作为备用收容设施。</w:t>
            </w:r>
          </w:p>
          <w:p>
            <w:pPr>
              <w:spacing w:line="360" w:lineRule="auto"/>
              <w:ind w:firstLine="480" w:firstLineChars="200"/>
              <w:rPr>
                <w:sz w:val="24"/>
              </w:rPr>
            </w:pPr>
            <w:r>
              <w:rPr>
                <w:sz w:val="24"/>
              </w:rPr>
              <w:t>（3）风险应急措施</w:t>
            </w:r>
          </w:p>
          <w:p>
            <w:pPr>
              <w:spacing w:line="360" w:lineRule="auto"/>
              <w:ind w:firstLine="480" w:firstLineChars="200"/>
              <w:rPr>
                <w:sz w:val="24"/>
              </w:rPr>
            </w:pPr>
            <w:r>
              <w:rPr>
                <w:sz w:val="24"/>
              </w:rPr>
              <w:t>1）若出现出水水质异常，及时进行各处理单元的处理效率检测，并酌情启用备用设备、更换受损设备或不合格的污泥。</w:t>
            </w:r>
          </w:p>
          <w:p>
            <w:pPr>
              <w:spacing w:line="360" w:lineRule="auto"/>
              <w:ind w:firstLine="480" w:firstLineChars="200"/>
              <w:rPr>
                <w:sz w:val="24"/>
              </w:rPr>
            </w:pPr>
            <w:r>
              <w:rPr>
                <w:sz w:val="24"/>
              </w:rPr>
              <w:t>2）事故应急监测</w:t>
            </w:r>
          </w:p>
          <w:p>
            <w:pPr>
              <w:spacing w:line="360" w:lineRule="auto"/>
              <w:ind w:firstLine="480" w:firstLineChars="200"/>
              <w:rPr>
                <w:sz w:val="24"/>
              </w:rPr>
            </w:pPr>
            <w:r>
              <w:rPr>
                <w:sz w:val="24"/>
              </w:rPr>
              <w:t>事故发生后应立即通知当地环保部门，并通知当地所在地的上一级环保部门，立即启动环境应急监测预案，及时掌握发生事故的危害程度、影响范围及影响程度。监测因子确定为：COD</w:t>
            </w:r>
            <w:r>
              <w:rPr>
                <w:sz w:val="24"/>
                <w:vertAlign w:val="subscript"/>
              </w:rPr>
              <w:t>Cr</w:t>
            </w:r>
            <w:r>
              <w:rPr>
                <w:sz w:val="24"/>
              </w:rPr>
              <w:t>、BOD</w:t>
            </w:r>
            <w:r>
              <w:rPr>
                <w:sz w:val="24"/>
                <w:vertAlign w:val="subscript"/>
              </w:rPr>
              <w:t>5</w:t>
            </w:r>
            <w:r>
              <w:rPr>
                <w:sz w:val="24"/>
              </w:rPr>
              <w:t>、氨氮、总氮、总磷、SS、粪大肠菌群数等。</w:t>
            </w:r>
          </w:p>
          <w:p>
            <w:pPr>
              <w:spacing w:line="360" w:lineRule="auto"/>
              <w:ind w:firstLine="480" w:firstLineChars="200"/>
              <w:rPr>
                <w:sz w:val="24"/>
              </w:rPr>
            </w:pPr>
            <w:r>
              <w:rPr>
                <w:sz w:val="24"/>
              </w:rPr>
              <w:t>3）制定区域防灾救援方案，与当地政府、消防、环保和医疗救助等部门加强联系。以便风险事故发生时得到及时救援。</w:t>
            </w:r>
          </w:p>
          <w:p>
            <w:pPr>
              <w:spacing w:line="360" w:lineRule="auto"/>
              <w:ind w:firstLine="480" w:firstLineChars="200"/>
              <w:rPr>
                <w:sz w:val="24"/>
              </w:rPr>
            </w:pPr>
            <w:r>
              <w:rPr>
                <w:sz w:val="24"/>
              </w:rPr>
              <w:t>4）设立专职安全员岗位，负责生产一线安全工作的日常监督巡查；专职安全人员必须经过安全生产管理部门组织的职业培训，并取得注册安全工程师资格。</w:t>
            </w:r>
          </w:p>
          <w:p>
            <w:pPr>
              <w:spacing w:line="360" w:lineRule="auto"/>
              <w:ind w:firstLine="480" w:firstLineChars="200"/>
              <w:rPr>
                <w:sz w:val="24"/>
              </w:rPr>
            </w:pPr>
            <w:r>
              <w:rPr>
                <w:sz w:val="24"/>
              </w:rPr>
              <w:t>5）用于原辅材料贮存工具的容器必须依照《危险化学品管理条例》要求由专业生产企业定点生产，并经检测、检验合格，方可使用。容器必须定期送相应的质检部门检查，运输过程中封口严密，确保贮运原辅材料的容器在贮运过程中不因温度、湿度、压力的变化发生任何渗漏。</w:t>
            </w:r>
          </w:p>
          <w:p>
            <w:pPr>
              <w:spacing w:line="360" w:lineRule="auto"/>
              <w:ind w:firstLine="480" w:firstLineChars="200"/>
              <w:rPr>
                <w:sz w:val="24"/>
              </w:rPr>
            </w:pPr>
            <w:r>
              <w:rPr>
                <w:sz w:val="24"/>
              </w:rPr>
              <w:t>（3）发生爆管事故，应立即采取下列措施：</w:t>
            </w:r>
          </w:p>
          <w:p>
            <w:pPr>
              <w:spacing w:line="360" w:lineRule="auto"/>
              <w:ind w:firstLine="480" w:firstLineChars="200"/>
              <w:rPr>
                <w:sz w:val="24"/>
              </w:rPr>
            </w:pPr>
            <w:r>
              <w:rPr>
                <w:sz w:val="24"/>
              </w:rPr>
              <w:t>1）采用水下快速止水、基础化学加固技术和深层裂缝灌浆技术，在污水管不能停止运行的前提下，对管道接头渗水部位进行止水、密封和加固处理；</w:t>
            </w:r>
          </w:p>
          <w:p>
            <w:pPr>
              <w:spacing w:line="360" w:lineRule="auto"/>
              <w:ind w:firstLine="480" w:firstLineChars="200"/>
              <w:rPr>
                <w:sz w:val="24"/>
              </w:rPr>
            </w:pPr>
            <w:r>
              <w:rPr>
                <w:sz w:val="24"/>
              </w:rPr>
              <w:t>2）采用管道无损修复技术，在管道内接头部位安装柔性盖板系统，以适应结构的再变形，保证结构在再次变形时不再发生渗漏。同时，该柔性盖板系统有很好的耐腐蚀性和抗冲蚀性，完全满足在污水环境中的使用耐久性，且保证不因为流沙移动而造成磨损、破坏。</w:t>
            </w:r>
          </w:p>
          <w:p>
            <w:pPr>
              <w:spacing w:line="360" w:lineRule="auto"/>
              <w:ind w:firstLine="480" w:firstLineChars="200"/>
              <w:rPr>
                <w:sz w:val="24"/>
              </w:rPr>
            </w:pPr>
            <w:r>
              <w:rPr>
                <w:sz w:val="24"/>
              </w:rPr>
              <w:t>3）立即停止排水，启动应急措施，污水处理厂立即停止运行，待处理污水存放在事故池内及各处理设施内。同时，立即关停各用水单位用水，避免污水产生造成污水处理厂溢水。</w:t>
            </w:r>
          </w:p>
          <w:p>
            <w:pPr>
              <w:spacing w:line="360" w:lineRule="auto"/>
              <w:ind w:firstLine="480" w:firstLineChars="200"/>
              <w:rPr>
                <w:sz w:val="24"/>
              </w:rPr>
            </w:pPr>
            <w:r>
              <w:rPr>
                <w:sz w:val="24"/>
              </w:rPr>
              <w:t>（4）事故应急预案</w:t>
            </w:r>
          </w:p>
          <w:p>
            <w:pPr>
              <w:spacing w:line="360" w:lineRule="auto"/>
              <w:ind w:firstLine="480" w:firstLineChars="200"/>
              <w:rPr>
                <w:sz w:val="24"/>
              </w:rPr>
            </w:pPr>
            <w:r>
              <w:rPr>
                <w:sz w:val="24"/>
              </w:rPr>
              <w:t>事故</w:t>
            </w:r>
            <w:r>
              <w:rPr>
                <w:rFonts w:hint="eastAsia"/>
                <w:sz w:val="24"/>
              </w:rPr>
              <w:t>应急</w:t>
            </w:r>
            <w:r>
              <w:rPr>
                <w:sz w:val="24"/>
              </w:rPr>
              <w:t>救援预案应由污水厂管理和操作人员针对进厂废水特点及厂内化学品储存点位置、社会关注点布局的具体情况进行编写，为了能在事故发生的初期阶段采取紧急措施，控制事态，把事故损失降低到最小。针对可能出现</w:t>
            </w:r>
            <w:r>
              <w:rPr>
                <w:rFonts w:hint="eastAsia"/>
                <w:sz w:val="24"/>
              </w:rPr>
              <w:t>重大事故</w:t>
            </w:r>
            <w:r>
              <w:rPr>
                <w:sz w:val="24"/>
              </w:rPr>
              <w:t>，应该制定相应的事故应急预案，并根据污水厂建设情况，不断补充、完善。污水处理厂常见的事故应急处理对策如下：</w:t>
            </w:r>
          </w:p>
          <w:p>
            <w:pPr>
              <w:spacing w:line="360" w:lineRule="auto"/>
              <w:ind w:firstLine="480" w:firstLineChars="200"/>
              <w:rPr>
                <w:sz w:val="24"/>
              </w:rPr>
            </w:pPr>
            <w:r>
              <w:rPr>
                <w:sz w:val="24"/>
              </w:rPr>
              <w:t>A、水量超标情况</w:t>
            </w:r>
          </w:p>
          <w:p>
            <w:pPr>
              <w:spacing w:line="360" w:lineRule="auto"/>
              <w:ind w:firstLine="480" w:firstLineChars="200"/>
              <w:rPr>
                <w:sz w:val="24"/>
              </w:rPr>
            </w:pPr>
            <w:r>
              <w:rPr>
                <w:sz w:val="24"/>
              </w:rPr>
              <w:t>1）24小时内必须向环保、城建部门予以汇报，并紧急启用备用设备。</w:t>
            </w:r>
          </w:p>
          <w:p>
            <w:pPr>
              <w:spacing w:line="360" w:lineRule="auto"/>
              <w:ind w:firstLine="480" w:firstLineChars="200"/>
              <w:rPr>
                <w:sz w:val="24"/>
              </w:rPr>
            </w:pPr>
            <w:r>
              <w:rPr>
                <w:sz w:val="24"/>
              </w:rPr>
              <w:t>2）启用备用设备仍不能满足需要时，若有明确答复，立即关闭进水阀门或</w:t>
            </w:r>
            <w:r>
              <w:rPr>
                <w:rFonts w:hint="eastAsia"/>
                <w:sz w:val="24"/>
              </w:rPr>
              <w:t>启用</w:t>
            </w:r>
            <w:r>
              <w:rPr>
                <w:sz w:val="24"/>
              </w:rPr>
              <w:t>紧急溢流系统，若在一定时间内未有答复，根据公司技术要求，实施操作。做好相关备忘录工作和备案工作。</w:t>
            </w:r>
          </w:p>
          <w:p>
            <w:pPr>
              <w:spacing w:line="360" w:lineRule="auto"/>
              <w:ind w:firstLine="480" w:firstLineChars="200"/>
              <w:rPr>
                <w:sz w:val="24"/>
              </w:rPr>
            </w:pPr>
            <w:r>
              <w:rPr>
                <w:sz w:val="24"/>
              </w:rPr>
              <w:t>B、生物异常情况</w:t>
            </w:r>
          </w:p>
          <w:p>
            <w:pPr>
              <w:spacing w:line="360" w:lineRule="auto"/>
              <w:ind w:firstLine="480" w:firstLineChars="200"/>
              <w:rPr>
                <w:sz w:val="24"/>
              </w:rPr>
            </w:pPr>
            <w:r>
              <w:rPr>
                <w:sz w:val="24"/>
              </w:rPr>
              <w:t>由于工艺控制不当，进水水质变化以及环境因素变化等原因会导致污泥膨胀、生物相异常、污泥上浮、生物泡沫等生物异常现象，各水厂运行操作人员要严格按操作规程操作，遇到以上问题及时处理并上报。</w:t>
            </w:r>
          </w:p>
          <w:p>
            <w:pPr>
              <w:spacing w:line="360" w:lineRule="auto"/>
              <w:ind w:firstLine="480" w:firstLineChars="200"/>
              <w:rPr>
                <w:sz w:val="24"/>
              </w:rPr>
            </w:pPr>
            <w:r>
              <w:rPr>
                <w:sz w:val="24"/>
              </w:rPr>
              <w:t>1）污泥膨胀问题：</w:t>
            </w:r>
          </w:p>
          <w:p>
            <w:pPr>
              <w:spacing w:line="360" w:lineRule="auto"/>
              <w:ind w:firstLine="480" w:firstLineChars="200"/>
              <w:rPr>
                <w:sz w:val="24"/>
              </w:rPr>
            </w:pPr>
            <w:r>
              <w:rPr>
                <w:sz w:val="24"/>
              </w:rPr>
              <w:t>①发生污泥膨胀后，要进行分析研究确定污泥膨胀的种类及形成原因，分析膨胀的存在条件及成因。着重分析进水氮、磷营养物质是否足够，生化池内F/M、pH、溶解氧是否正常，进水水质、水量是否波动太大等因素。根据分析出的种类、因素</w:t>
            </w:r>
            <w:r>
              <w:rPr>
                <w:rFonts w:hint="eastAsia"/>
                <w:sz w:val="24"/>
              </w:rPr>
              <w:t>作</w:t>
            </w:r>
            <w:r>
              <w:rPr>
                <w:sz w:val="24"/>
              </w:rPr>
              <w:t>相应调整。</w:t>
            </w:r>
          </w:p>
          <w:p>
            <w:pPr>
              <w:spacing w:line="360" w:lineRule="auto"/>
              <w:ind w:firstLine="480" w:firstLineChars="200"/>
              <w:rPr>
                <w:sz w:val="24"/>
              </w:rPr>
            </w:pPr>
            <w:r>
              <w:rPr>
                <w:sz w:val="24"/>
              </w:rPr>
              <w:t>②由于临时原因造成的污泥膨胀问题，采取污泥助沉法或灭菌法解决；</w:t>
            </w:r>
          </w:p>
          <w:p>
            <w:pPr>
              <w:spacing w:line="360" w:lineRule="auto"/>
              <w:ind w:firstLine="480" w:firstLineChars="200"/>
              <w:rPr>
                <w:sz w:val="24"/>
              </w:rPr>
            </w:pPr>
            <w:r>
              <w:rPr>
                <w:sz w:val="24"/>
              </w:rPr>
              <w:t>③由于工艺运行控制不当原因造成的污泥膨胀问题，根据不同因素采取相应工艺调整措施解决；</w:t>
            </w:r>
          </w:p>
          <w:p>
            <w:pPr>
              <w:spacing w:line="360" w:lineRule="auto"/>
              <w:ind w:firstLine="480" w:firstLineChars="200"/>
              <w:rPr>
                <w:sz w:val="24"/>
              </w:rPr>
            </w:pPr>
            <w:r>
              <w:rPr>
                <w:sz w:val="24"/>
              </w:rPr>
              <w:t>2）生物泡沫问题</w:t>
            </w:r>
          </w:p>
          <w:p>
            <w:pPr>
              <w:spacing w:line="360" w:lineRule="auto"/>
              <w:ind w:firstLine="480" w:firstLineChars="200"/>
              <w:rPr>
                <w:sz w:val="24"/>
              </w:rPr>
            </w:pPr>
            <w:r>
              <w:rPr>
                <w:sz w:val="24"/>
              </w:rPr>
              <w:t>①发生泡沫后，要进行分析研究确定泡沫的种类及形成原因，根据分析出的种类、因素做相应调整。</w:t>
            </w:r>
          </w:p>
          <w:p>
            <w:pPr>
              <w:spacing w:line="360" w:lineRule="auto"/>
              <w:ind w:firstLine="480" w:firstLineChars="200"/>
              <w:rPr>
                <w:sz w:val="24"/>
              </w:rPr>
            </w:pPr>
            <w:r>
              <w:rPr>
                <w:sz w:val="24"/>
              </w:rPr>
              <w:t>②化学泡沫，采取水冲或加消泡剂解决。</w:t>
            </w:r>
          </w:p>
          <w:p>
            <w:pPr>
              <w:spacing w:line="360" w:lineRule="auto"/>
              <w:ind w:firstLine="480" w:firstLineChars="200"/>
              <w:rPr>
                <w:sz w:val="24"/>
              </w:rPr>
            </w:pPr>
            <w:r>
              <w:rPr>
                <w:sz w:val="24"/>
              </w:rPr>
              <w:t>③生物泡沫，增大排泥，降低污泥龄，预防为主。</w:t>
            </w:r>
          </w:p>
          <w:p>
            <w:pPr>
              <w:spacing w:line="360" w:lineRule="auto"/>
              <w:ind w:firstLine="480" w:firstLineChars="200"/>
              <w:rPr>
                <w:sz w:val="24"/>
              </w:rPr>
            </w:pPr>
            <w:r>
              <w:rPr>
                <w:sz w:val="24"/>
              </w:rPr>
              <w:t>3）污泥上浮问题</w:t>
            </w:r>
          </w:p>
          <w:p>
            <w:pPr>
              <w:spacing w:line="360" w:lineRule="auto"/>
              <w:ind w:firstLine="480" w:firstLineChars="200"/>
              <w:rPr>
                <w:sz w:val="24"/>
              </w:rPr>
            </w:pPr>
            <w:r>
              <w:rPr>
                <w:sz w:val="24"/>
              </w:rPr>
              <w:t>①酸化污泥上浮，采取及时排泥的控制措施。</w:t>
            </w:r>
          </w:p>
          <w:p>
            <w:pPr>
              <w:spacing w:line="360" w:lineRule="auto"/>
              <w:ind w:firstLine="480" w:firstLineChars="200"/>
              <w:rPr>
                <w:sz w:val="24"/>
              </w:rPr>
            </w:pPr>
            <w:r>
              <w:rPr>
                <w:sz w:val="24"/>
              </w:rPr>
              <w:t>②污泥上浮，采取</w:t>
            </w:r>
            <w:r>
              <w:rPr>
                <w:rFonts w:hint="eastAsia"/>
                <w:sz w:val="24"/>
              </w:rPr>
              <w:t>增加</w:t>
            </w:r>
            <w:r>
              <w:rPr>
                <w:sz w:val="24"/>
              </w:rPr>
              <w:t>剩余污泥的排放，降低污泥龄，控制硝化的控制措施。</w:t>
            </w:r>
          </w:p>
          <w:p>
            <w:pPr>
              <w:spacing w:line="360" w:lineRule="auto"/>
              <w:ind w:firstLine="482" w:firstLineChars="200"/>
              <w:rPr>
                <w:b/>
                <w:bCs/>
                <w:sz w:val="24"/>
              </w:rPr>
            </w:pPr>
            <w:r>
              <w:rPr>
                <w:b/>
                <w:bCs/>
                <w:sz w:val="24"/>
              </w:rPr>
              <w:t>3、其他风险防范措施</w:t>
            </w:r>
          </w:p>
          <w:p>
            <w:pPr>
              <w:spacing w:line="360" w:lineRule="auto"/>
              <w:ind w:firstLine="480" w:firstLineChars="200"/>
              <w:rPr>
                <w:sz w:val="24"/>
              </w:rPr>
            </w:pPr>
            <w:r>
              <w:rPr>
                <w:sz w:val="24"/>
              </w:rPr>
              <w:t>①加强职工管理，建立原料的日常保管、使用制度，进行必要的安全消防教育，并做好个人防护。</w:t>
            </w:r>
          </w:p>
          <w:p>
            <w:pPr>
              <w:spacing w:line="360" w:lineRule="auto"/>
              <w:ind w:firstLine="480" w:firstLineChars="200"/>
              <w:rPr>
                <w:sz w:val="24"/>
              </w:rPr>
            </w:pPr>
            <w:r>
              <w:rPr>
                <w:sz w:val="24"/>
              </w:rPr>
              <w:t>②定期对电器线路和消防设施进行检查，维护，确保其正常使用。</w:t>
            </w:r>
          </w:p>
          <w:p>
            <w:pPr>
              <w:spacing w:line="360" w:lineRule="auto"/>
              <w:ind w:firstLine="480" w:firstLineChars="200"/>
              <w:rPr>
                <w:sz w:val="24"/>
              </w:rPr>
            </w:pPr>
            <w:r>
              <w:rPr>
                <w:sz w:val="24"/>
              </w:rPr>
              <w:t>③强化工作人员的责任心和安全意识，认真开展安全检查工作，发现隐患及时整改，将事故消灭在萌芽状态。</w:t>
            </w:r>
          </w:p>
          <w:p>
            <w:pPr>
              <w:spacing w:line="360" w:lineRule="auto"/>
              <w:ind w:firstLine="480" w:firstLineChars="200"/>
              <w:rPr>
                <w:sz w:val="24"/>
              </w:rPr>
            </w:pPr>
            <w:r>
              <w:rPr>
                <w:sz w:val="24"/>
              </w:rPr>
              <w:t>④制定应急预案，建立健全安全、环境管理体系，一旦发生事故，要做到快速、高效、安全处置。</w:t>
            </w:r>
          </w:p>
          <w:p>
            <w:pPr>
              <w:spacing w:line="360" w:lineRule="auto"/>
              <w:ind w:firstLine="482" w:firstLineChars="200"/>
              <w:rPr>
                <w:b/>
                <w:bCs/>
                <w:sz w:val="24"/>
              </w:rPr>
            </w:pPr>
            <w:r>
              <w:rPr>
                <w:b/>
                <w:bCs/>
                <w:sz w:val="24"/>
              </w:rPr>
              <w:t>综上所述，本项目环境风险潜势为I，营运期落实本报告提出的各项措施、建立和落实各项风险预警防范措施和事故应急计划，杜绝重大安全事故和重大环境污染事故的发生，可使项目风险水平处于可接受程度。</w:t>
            </w:r>
          </w:p>
          <w:p>
            <w:pPr>
              <w:spacing w:line="360" w:lineRule="auto"/>
              <w:rPr>
                <w:b/>
                <w:bCs/>
                <w:sz w:val="24"/>
              </w:rPr>
            </w:pPr>
            <w:r>
              <w:rPr>
                <w:b/>
                <w:bCs/>
                <w:sz w:val="24"/>
              </w:rPr>
              <w:t>七、项目建成前后污染物排放“三本账”情况</w:t>
            </w:r>
          </w:p>
          <w:p>
            <w:pPr>
              <w:spacing w:line="360" w:lineRule="auto"/>
              <w:ind w:firstLine="480" w:firstLineChars="200"/>
              <w:rPr>
                <w:sz w:val="24"/>
              </w:rPr>
            </w:pPr>
            <w:r>
              <w:rPr>
                <w:sz w:val="24"/>
              </w:rPr>
              <w:t>根据现有工程污染物排放统计数据和工程分析，扩能前后污染物产排“三本帐”如表4-21所示。</w:t>
            </w:r>
          </w:p>
          <w:p>
            <w:pPr>
              <w:spacing w:line="360" w:lineRule="auto"/>
              <w:jc w:val="center"/>
              <w:rPr>
                <w:rFonts w:eastAsia="黑体"/>
                <w:sz w:val="24"/>
              </w:rPr>
            </w:pPr>
            <w:r>
              <w:rPr>
                <w:rFonts w:eastAsia="黑体"/>
                <w:sz w:val="24"/>
              </w:rPr>
              <w:t>表4-21  污水处理厂扩建后污染物产生及排放变化一览表 （单位：t/a）</w:t>
            </w:r>
          </w:p>
          <w:tbl>
            <w:tblPr>
              <w:tblStyle w:val="32"/>
              <w:tblW w:w="0" w:type="auto"/>
              <w:tblInd w:w="0" w:type="dxa"/>
              <w:tblLayout w:type="autofit"/>
              <w:tblCellMar>
                <w:top w:w="0" w:type="dxa"/>
                <w:left w:w="0" w:type="dxa"/>
                <w:bottom w:w="0" w:type="dxa"/>
                <w:right w:w="0" w:type="dxa"/>
              </w:tblCellMar>
            </w:tblPr>
            <w:tblGrid>
              <w:gridCol w:w="816"/>
              <w:gridCol w:w="1251"/>
              <w:gridCol w:w="982"/>
              <w:gridCol w:w="1320"/>
              <w:gridCol w:w="1320"/>
              <w:gridCol w:w="1159"/>
              <w:gridCol w:w="1580"/>
            </w:tblGrid>
            <w:tr>
              <w:tblPrEx>
                <w:tblCellMar>
                  <w:top w:w="0" w:type="dxa"/>
                  <w:left w:w="0" w:type="dxa"/>
                  <w:bottom w:w="0" w:type="dxa"/>
                  <w:right w:w="0" w:type="dxa"/>
                </w:tblCellMar>
              </w:tblPrEx>
              <w:trPr>
                <w:trHeight w:val="646" w:hRule="exact"/>
              </w:trPr>
              <w:tc>
                <w:tcPr>
                  <w:tcW w:w="816" w:type="dxa"/>
                  <w:tcBorders>
                    <w:top w:val="single" w:color="000000" w:sz="12" w:space="0"/>
                    <w:left w:val="nil"/>
                    <w:bottom w:val="single" w:color="000000" w:sz="6" w:space="0"/>
                    <w:right w:val="single" w:color="000000" w:sz="6" w:space="0"/>
                  </w:tcBorders>
                  <w:shd w:val="clear" w:color="auto" w:fill="CCFFFF"/>
                  <w:noWrap w:val="0"/>
                  <w:vAlign w:val="center"/>
                </w:tcPr>
                <w:p>
                  <w:pPr>
                    <w:snapToGrid w:val="0"/>
                    <w:jc w:val="center"/>
                    <w:rPr>
                      <w:kern w:val="0"/>
                      <w:szCs w:val="21"/>
                      <w:lang w:eastAsia="en-US"/>
                    </w:rPr>
                  </w:pPr>
                  <w:r>
                    <w:rPr>
                      <w:b/>
                      <w:bCs/>
                      <w:kern w:val="0"/>
                      <w:szCs w:val="21"/>
                      <w:lang w:eastAsia="en-US"/>
                    </w:rPr>
                    <w:t>污染</w:t>
                  </w:r>
                </w:p>
                <w:p>
                  <w:pPr>
                    <w:snapToGrid w:val="0"/>
                    <w:jc w:val="center"/>
                    <w:rPr>
                      <w:kern w:val="0"/>
                      <w:szCs w:val="21"/>
                      <w:lang w:eastAsia="en-US"/>
                    </w:rPr>
                  </w:pPr>
                  <w:r>
                    <w:rPr>
                      <w:b/>
                      <w:bCs/>
                      <w:kern w:val="0"/>
                      <w:szCs w:val="21"/>
                      <w:lang w:eastAsia="en-US"/>
                    </w:rPr>
                    <w:t>源</w:t>
                  </w:r>
                </w:p>
              </w:tc>
              <w:tc>
                <w:tcPr>
                  <w:tcW w:w="1251" w:type="dxa"/>
                  <w:tcBorders>
                    <w:top w:val="single" w:color="000000" w:sz="12" w:space="0"/>
                    <w:left w:val="single" w:color="000000" w:sz="6" w:space="0"/>
                    <w:bottom w:val="single" w:color="000000" w:sz="6" w:space="0"/>
                    <w:right w:val="single" w:color="000000" w:sz="6" w:space="0"/>
                  </w:tcBorders>
                  <w:shd w:val="clear" w:color="auto" w:fill="CCFFFF"/>
                  <w:noWrap w:val="0"/>
                  <w:vAlign w:val="center"/>
                </w:tcPr>
                <w:p>
                  <w:pPr>
                    <w:snapToGrid w:val="0"/>
                    <w:jc w:val="center"/>
                    <w:rPr>
                      <w:kern w:val="0"/>
                      <w:szCs w:val="21"/>
                      <w:lang w:eastAsia="en-US"/>
                    </w:rPr>
                  </w:pPr>
                  <w:r>
                    <w:rPr>
                      <w:b/>
                      <w:bCs/>
                      <w:kern w:val="0"/>
                      <w:szCs w:val="21"/>
                      <w:lang w:eastAsia="en-US"/>
                    </w:rPr>
                    <w:t>污染物</w:t>
                  </w:r>
                </w:p>
              </w:tc>
              <w:tc>
                <w:tcPr>
                  <w:tcW w:w="982" w:type="dxa"/>
                  <w:tcBorders>
                    <w:top w:val="single" w:color="000000" w:sz="12" w:space="0"/>
                    <w:left w:val="single" w:color="000000" w:sz="6" w:space="0"/>
                    <w:bottom w:val="single" w:color="000000" w:sz="6" w:space="0"/>
                    <w:right w:val="single" w:color="000000" w:sz="6" w:space="0"/>
                  </w:tcBorders>
                  <w:shd w:val="clear" w:color="auto" w:fill="CCFFFF"/>
                  <w:noWrap w:val="0"/>
                  <w:vAlign w:val="center"/>
                </w:tcPr>
                <w:p>
                  <w:pPr>
                    <w:snapToGrid w:val="0"/>
                    <w:jc w:val="center"/>
                    <w:rPr>
                      <w:b/>
                      <w:bCs/>
                      <w:kern w:val="0"/>
                      <w:szCs w:val="21"/>
                      <w:lang w:eastAsia="en-US"/>
                    </w:rPr>
                  </w:pPr>
                  <w:r>
                    <w:rPr>
                      <w:b/>
                      <w:bCs/>
                      <w:kern w:val="0"/>
                      <w:szCs w:val="21"/>
                      <w:lang w:eastAsia="en-US"/>
                    </w:rPr>
                    <w:t>现有</w:t>
                  </w:r>
                </w:p>
                <w:p>
                  <w:pPr>
                    <w:snapToGrid w:val="0"/>
                    <w:jc w:val="center"/>
                    <w:rPr>
                      <w:kern w:val="0"/>
                      <w:szCs w:val="21"/>
                      <w:lang w:eastAsia="en-US"/>
                    </w:rPr>
                  </w:pPr>
                  <w:r>
                    <w:rPr>
                      <w:b/>
                      <w:bCs/>
                      <w:kern w:val="0"/>
                      <w:szCs w:val="21"/>
                      <w:lang w:eastAsia="en-US"/>
                    </w:rPr>
                    <w:t>工程</w:t>
                  </w:r>
                </w:p>
              </w:tc>
              <w:tc>
                <w:tcPr>
                  <w:tcW w:w="1320" w:type="dxa"/>
                  <w:tcBorders>
                    <w:top w:val="single" w:color="000000" w:sz="12" w:space="0"/>
                    <w:left w:val="single" w:color="000000" w:sz="6" w:space="0"/>
                    <w:bottom w:val="single" w:color="000000" w:sz="6" w:space="0"/>
                    <w:right w:val="single" w:color="000000" w:sz="6" w:space="0"/>
                  </w:tcBorders>
                  <w:shd w:val="clear" w:color="auto" w:fill="CCFFFF"/>
                  <w:noWrap w:val="0"/>
                  <w:vAlign w:val="center"/>
                </w:tcPr>
                <w:p>
                  <w:pPr>
                    <w:snapToGrid w:val="0"/>
                    <w:jc w:val="center"/>
                    <w:rPr>
                      <w:kern w:val="0"/>
                      <w:szCs w:val="21"/>
                      <w:lang w:eastAsia="en-US"/>
                    </w:rPr>
                  </w:pPr>
                  <w:r>
                    <w:rPr>
                      <w:b/>
                      <w:bCs/>
                      <w:kern w:val="0"/>
                      <w:szCs w:val="21"/>
                      <w:lang w:eastAsia="en-US"/>
                    </w:rPr>
                    <w:t>本次扩建</w:t>
                  </w:r>
                </w:p>
              </w:tc>
              <w:tc>
                <w:tcPr>
                  <w:tcW w:w="1320" w:type="dxa"/>
                  <w:tcBorders>
                    <w:top w:val="single" w:color="000000" w:sz="12" w:space="0"/>
                    <w:left w:val="single" w:color="000000" w:sz="6" w:space="0"/>
                    <w:bottom w:val="single" w:color="000000" w:sz="6" w:space="0"/>
                    <w:right w:val="single" w:color="000000" w:sz="6" w:space="0"/>
                  </w:tcBorders>
                  <w:shd w:val="clear" w:color="auto" w:fill="CCFFFF"/>
                  <w:noWrap w:val="0"/>
                  <w:vAlign w:val="center"/>
                </w:tcPr>
                <w:p>
                  <w:pPr>
                    <w:snapToGrid w:val="0"/>
                    <w:jc w:val="center"/>
                    <w:rPr>
                      <w:kern w:val="0"/>
                      <w:szCs w:val="21"/>
                      <w:lang w:eastAsia="en-US"/>
                    </w:rPr>
                  </w:pPr>
                  <w:r>
                    <w:rPr>
                      <w:b/>
                      <w:bCs/>
                      <w:kern w:val="0"/>
                      <w:szCs w:val="21"/>
                      <w:lang w:eastAsia="en-US"/>
                    </w:rPr>
                    <w:t>“以新带老”</w:t>
                  </w:r>
                </w:p>
                <w:p>
                  <w:pPr>
                    <w:snapToGrid w:val="0"/>
                    <w:jc w:val="center"/>
                    <w:rPr>
                      <w:kern w:val="0"/>
                      <w:szCs w:val="21"/>
                      <w:lang w:eastAsia="en-US"/>
                    </w:rPr>
                  </w:pPr>
                  <w:r>
                    <w:rPr>
                      <w:b/>
                      <w:bCs/>
                      <w:kern w:val="0"/>
                      <w:szCs w:val="21"/>
                      <w:lang w:eastAsia="en-US"/>
                    </w:rPr>
                    <w:t>削减量</w:t>
                  </w:r>
                </w:p>
              </w:tc>
              <w:tc>
                <w:tcPr>
                  <w:tcW w:w="1159" w:type="dxa"/>
                  <w:tcBorders>
                    <w:top w:val="single" w:color="000000" w:sz="12" w:space="0"/>
                    <w:left w:val="single" w:color="000000" w:sz="6" w:space="0"/>
                    <w:bottom w:val="single" w:color="000000" w:sz="6" w:space="0"/>
                    <w:right w:val="single" w:color="000000" w:sz="6" w:space="0"/>
                  </w:tcBorders>
                  <w:shd w:val="clear" w:color="auto" w:fill="CCFFFF"/>
                  <w:noWrap w:val="0"/>
                  <w:vAlign w:val="center"/>
                </w:tcPr>
                <w:p>
                  <w:pPr>
                    <w:snapToGrid w:val="0"/>
                    <w:jc w:val="center"/>
                    <w:rPr>
                      <w:kern w:val="0"/>
                      <w:szCs w:val="21"/>
                      <w:lang w:eastAsia="en-US"/>
                    </w:rPr>
                  </w:pPr>
                  <w:r>
                    <w:rPr>
                      <w:b/>
                      <w:bCs/>
                      <w:kern w:val="0"/>
                      <w:szCs w:val="21"/>
                      <w:lang w:eastAsia="en-US"/>
                    </w:rPr>
                    <w:t>扩建后全</w:t>
                  </w:r>
                </w:p>
                <w:p>
                  <w:pPr>
                    <w:snapToGrid w:val="0"/>
                    <w:jc w:val="center"/>
                    <w:rPr>
                      <w:kern w:val="0"/>
                      <w:szCs w:val="21"/>
                      <w:lang w:eastAsia="en-US"/>
                    </w:rPr>
                  </w:pPr>
                  <w:r>
                    <w:rPr>
                      <w:b/>
                      <w:bCs/>
                      <w:kern w:val="0"/>
                      <w:szCs w:val="21"/>
                      <w:lang w:eastAsia="en-US"/>
                    </w:rPr>
                    <w:t>厂排放量</w:t>
                  </w:r>
                </w:p>
              </w:tc>
              <w:tc>
                <w:tcPr>
                  <w:tcW w:w="1580" w:type="dxa"/>
                  <w:tcBorders>
                    <w:top w:val="single" w:color="000000" w:sz="12" w:space="0"/>
                    <w:left w:val="single" w:color="000000" w:sz="6" w:space="0"/>
                    <w:bottom w:val="single" w:color="000000" w:sz="6" w:space="0"/>
                    <w:right w:val="nil"/>
                  </w:tcBorders>
                  <w:shd w:val="clear" w:color="auto" w:fill="CCFFFF"/>
                  <w:noWrap w:val="0"/>
                  <w:vAlign w:val="center"/>
                </w:tcPr>
                <w:p>
                  <w:pPr>
                    <w:snapToGrid w:val="0"/>
                    <w:jc w:val="center"/>
                    <w:rPr>
                      <w:kern w:val="0"/>
                      <w:szCs w:val="21"/>
                    </w:rPr>
                  </w:pPr>
                  <w:r>
                    <w:rPr>
                      <w:b/>
                      <w:bCs/>
                      <w:kern w:val="0"/>
                      <w:szCs w:val="21"/>
                    </w:rPr>
                    <w:t>扩建前后全厂</w:t>
                  </w:r>
                </w:p>
                <w:p>
                  <w:pPr>
                    <w:snapToGrid w:val="0"/>
                    <w:jc w:val="center"/>
                    <w:rPr>
                      <w:kern w:val="0"/>
                      <w:szCs w:val="21"/>
                    </w:rPr>
                  </w:pPr>
                  <w:r>
                    <w:rPr>
                      <w:b/>
                      <w:bCs/>
                      <w:kern w:val="0"/>
                      <w:szCs w:val="21"/>
                    </w:rPr>
                    <w:t>排放增减量</w:t>
                  </w:r>
                </w:p>
              </w:tc>
            </w:tr>
            <w:tr>
              <w:tblPrEx>
                <w:tblCellMar>
                  <w:top w:w="0" w:type="dxa"/>
                  <w:left w:w="0" w:type="dxa"/>
                  <w:bottom w:w="0" w:type="dxa"/>
                  <w:right w:w="0" w:type="dxa"/>
                </w:tblCellMar>
              </w:tblPrEx>
              <w:trPr>
                <w:trHeight w:val="420" w:hRule="exact"/>
              </w:trPr>
              <w:tc>
                <w:tcPr>
                  <w:tcW w:w="816" w:type="dxa"/>
                  <w:vMerge w:val="restart"/>
                  <w:tcBorders>
                    <w:top w:val="single" w:color="000000" w:sz="6" w:space="0"/>
                    <w:left w:val="nil"/>
                    <w:right w:val="single" w:color="000000" w:sz="6" w:space="0"/>
                  </w:tcBorders>
                  <w:noWrap w:val="0"/>
                  <w:vAlign w:val="center"/>
                </w:tcPr>
                <w:p>
                  <w:pPr>
                    <w:snapToGrid w:val="0"/>
                    <w:jc w:val="center"/>
                    <w:rPr>
                      <w:kern w:val="0"/>
                      <w:szCs w:val="21"/>
                      <w:lang w:eastAsia="en-US"/>
                    </w:rPr>
                  </w:pPr>
                  <w:r>
                    <w:rPr>
                      <w:kern w:val="0"/>
                      <w:szCs w:val="21"/>
                      <w:lang w:eastAsia="en-US"/>
                    </w:rPr>
                    <w:t>废水污染物</w:t>
                  </w:r>
                </w:p>
              </w:tc>
              <w:tc>
                <w:tcPr>
                  <w:tcW w:w="1251"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spacing w:val="-1"/>
                      <w:kern w:val="0"/>
                      <w:szCs w:val="21"/>
                      <w:lang w:eastAsia="en-US"/>
                    </w:rPr>
                    <w:t>水量m</w:t>
                  </w:r>
                  <w:r>
                    <w:rPr>
                      <w:spacing w:val="-1"/>
                      <w:kern w:val="0"/>
                      <w:szCs w:val="21"/>
                      <w:vertAlign w:val="superscript"/>
                      <w:lang w:eastAsia="en-US"/>
                    </w:rPr>
                    <w:t>3</w:t>
                  </w:r>
                  <w:r>
                    <w:rPr>
                      <w:spacing w:val="-1"/>
                      <w:kern w:val="0"/>
                      <w:szCs w:val="21"/>
                      <w:lang w:eastAsia="en-US"/>
                    </w:rPr>
                    <w:t>/a</w:t>
                  </w:r>
                </w:p>
              </w:tc>
              <w:tc>
                <w:tcPr>
                  <w:tcW w:w="982"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rPr>
                    <w:t>1000</w:t>
                  </w:r>
                </w:p>
              </w:tc>
              <w:tc>
                <w:tcPr>
                  <w:tcW w:w="1320"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rPr>
                    <w:t>500</w:t>
                  </w:r>
                </w:p>
              </w:tc>
              <w:tc>
                <w:tcPr>
                  <w:tcW w:w="1320"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w:t>
                  </w:r>
                </w:p>
              </w:tc>
              <w:tc>
                <w:tcPr>
                  <w:tcW w:w="1159"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rPr>
                    <w:t>1500</w:t>
                  </w:r>
                </w:p>
              </w:tc>
              <w:tc>
                <w:tcPr>
                  <w:tcW w:w="1580" w:type="dxa"/>
                  <w:tcBorders>
                    <w:top w:val="single" w:color="000000" w:sz="6" w:space="0"/>
                    <w:left w:val="single" w:color="000000" w:sz="6" w:space="0"/>
                    <w:bottom w:val="single" w:color="000000" w:sz="6" w:space="0"/>
                    <w:right w:val="nil"/>
                  </w:tcBorders>
                  <w:noWrap w:val="0"/>
                  <w:vAlign w:val="center"/>
                </w:tcPr>
                <w:p>
                  <w:pPr>
                    <w:snapToGrid w:val="0"/>
                    <w:jc w:val="center"/>
                    <w:rPr>
                      <w:kern w:val="0"/>
                      <w:szCs w:val="21"/>
                      <w:lang w:eastAsia="en-US"/>
                    </w:rPr>
                  </w:pPr>
                  <w:r>
                    <w:rPr>
                      <w:kern w:val="0"/>
                      <w:szCs w:val="21"/>
                      <w:lang w:eastAsia="en-US"/>
                    </w:rPr>
                    <w:t>+</w:t>
                  </w:r>
                  <w:r>
                    <w:rPr>
                      <w:kern w:val="0"/>
                      <w:szCs w:val="21"/>
                    </w:rPr>
                    <w:t>500</w:t>
                  </w:r>
                </w:p>
              </w:tc>
            </w:tr>
            <w:tr>
              <w:tblPrEx>
                <w:tblCellMar>
                  <w:top w:w="0" w:type="dxa"/>
                  <w:left w:w="0" w:type="dxa"/>
                  <w:bottom w:w="0" w:type="dxa"/>
                  <w:right w:w="0" w:type="dxa"/>
                </w:tblCellMar>
              </w:tblPrEx>
              <w:trPr>
                <w:trHeight w:val="326" w:hRule="exact"/>
              </w:trPr>
              <w:tc>
                <w:tcPr>
                  <w:tcW w:w="816" w:type="dxa"/>
                  <w:vMerge w:val="continue"/>
                  <w:tcBorders>
                    <w:left w:val="nil"/>
                    <w:right w:val="single" w:color="000000" w:sz="6" w:space="0"/>
                  </w:tcBorders>
                  <w:noWrap w:val="0"/>
                  <w:vAlign w:val="center"/>
                </w:tcPr>
                <w:p>
                  <w:pPr>
                    <w:jc w:val="center"/>
                    <w:rPr>
                      <w:szCs w:val="21"/>
                    </w:rPr>
                  </w:pPr>
                </w:p>
              </w:tc>
              <w:tc>
                <w:tcPr>
                  <w:tcW w:w="1251"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spacing w:val="-1"/>
                      <w:kern w:val="0"/>
                      <w:szCs w:val="21"/>
                      <w:lang w:eastAsia="en-US"/>
                    </w:rPr>
                    <w:t>COD</w:t>
                  </w:r>
                </w:p>
              </w:tc>
              <w:tc>
                <w:tcPr>
                  <w:tcW w:w="982"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rPr>
                    <w:t>18.25</w:t>
                  </w:r>
                </w:p>
              </w:tc>
              <w:tc>
                <w:tcPr>
                  <w:tcW w:w="1320" w:type="dxa"/>
                  <w:tcBorders>
                    <w:top w:val="single" w:color="000000" w:sz="6" w:space="0"/>
                    <w:left w:val="single" w:color="000000" w:sz="6" w:space="0"/>
                    <w:bottom w:val="single" w:color="000000" w:sz="6" w:space="0"/>
                    <w:right w:val="single" w:color="000000" w:sz="6" w:space="0"/>
                  </w:tcBorders>
                  <w:noWrap w:val="0"/>
                  <w:vAlign w:val="bottom"/>
                </w:tcPr>
                <w:p>
                  <w:pPr>
                    <w:snapToGrid w:val="0"/>
                    <w:jc w:val="center"/>
                    <w:rPr>
                      <w:kern w:val="0"/>
                      <w:szCs w:val="21"/>
                      <w:lang w:eastAsia="en-US"/>
                    </w:rPr>
                  </w:pPr>
                  <w:r>
                    <w:rPr>
                      <w:kern w:val="0"/>
                      <w:szCs w:val="21"/>
                      <w:lang w:eastAsia="en-US"/>
                    </w:rPr>
                    <w:t>9.125</w:t>
                  </w:r>
                </w:p>
              </w:tc>
              <w:tc>
                <w:tcPr>
                  <w:tcW w:w="1320"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0</w:t>
                  </w:r>
                </w:p>
              </w:tc>
              <w:tc>
                <w:tcPr>
                  <w:tcW w:w="1159"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rPr>
                    <w:t>27.375</w:t>
                  </w:r>
                </w:p>
              </w:tc>
              <w:tc>
                <w:tcPr>
                  <w:tcW w:w="1580" w:type="dxa"/>
                  <w:tcBorders>
                    <w:top w:val="single" w:color="000000" w:sz="6" w:space="0"/>
                    <w:left w:val="single" w:color="000000" w:sz="6" w:space="0"/>
                    <w:bottom w:val="single" w:color="000000" w:sz="6" w:space="0"/>
                    <w:right w:val="nil"/>
                  </w:tcBorders>
                  <w:noWrap w:val="0"/>
                  <w:vAlign w:val="bottom"/>
                </w:tcPr>
                <w:p>
                  <w:pPr>
                    <w:snapToGrid w:val="0"/>
                    <w:jc w:val="center"/>
                    <w:rPr>
                      <w:kern w:val="0"/>
                      <w:szCs w:val="21"/>
                      <w:lang w:eastAsia="en-US"/>
                    </w:rPr>
                  </w:pPr>
                  <w:r>
                    <w:rPr>
                      <w:kern w:val="0"/>
                      <w:szCs w:val="21"/>
                    </w:rPr>
                    <w:t>+</w:t>
                  </w:r>
                  <w:r>
                    <w:rPr>
                      <w:kern w:val="0"/>
                      <w:szCs w:val="21"/>
                      <w:lang w:eastAsia="en-US"/>
                    </w:rPr>
                    <w:t>9.125</w:t>
                  </w:r>
                </w:p>
              </w:tc>
            </w:tr>
            <w:tr>
              <w:tblPrEx>
                <w:tblCellMar>
                  <w:top w:w="0" w:type="dxa"/>
                  <w:left w:w="0" w:type="dxa"/>
                  <w:bottom w:w="0" w:type="dxa"/>
                  <w:right w:w="0" w:type="dxa"/>
                </w:tblCellMar>
              </w:tblPrEx>
              <w:trPr>
                <w:trHeight w:val="329" w:hRule="exact"/>
              </w:trPr>
              <w:tc>
                <w:tcPr>
                  <w:tcW w:w="816" w:type="dxa"/>
                  <w:vMerge w:val="continue"/>
                  <w:tcBorders>
                    <w:left w:val="nil"/>
                    <w:right w:val="single" w:color="000000" w:sz="6" w:space="0"/>
                  </w:tcBorders>
                  <w:noWrap w:val="0"/>
                  <w:vAlign w:val="center"/>
                </w:tcPr>
                <w:p>
                  <w:pPr>
                    <w:jc w:val="center"/>
                    <w:rPr>
                      <w:szCs w:val="21"/>
                    </w:rPr>
                  </w:pPr>
                </w:p>
              </w:tc>
              <w:tc>
                <w:tcPr>
                  <w:tcW w:w="1251"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spacing w:val="-1"/>
                      <w:kern w:val="0"/>
                      <w:position w:val="2"/>
                      <w:szCs w:val="21"/>
                      <w:lang w:eastAsia="en-US"/>
                    </w:rPr>
                    <w:t>NH</w:t>
                  </w:r>
                  <w:r>
                    <w:rPr>
                      <w:spacing w:val="-1"/>
                      <w:kern w:val="0"/>
                      <w:szCs w:val="21"/>
                      <w:vertAlign w:val="subscript"/>
                      <w:lang w:eastAsia="en-US"/>
                    </w:rPr>
                    <w:t>3</w:t>
                  </w:r>
                  <w:r>
                    <w:rPr>
                      <w:spacing w:val="-1"/>
                      <w:kern w:val="0"/>
                      <w:position w:val="2"/>
                      <w:szCs w:val="21"/>
                      <w:lang w:eastAsia="en-US"/>
                    </w:rPr>
                    <w:t>-N</w:t>
                  </w:r>
                </w:p>
              </w:tc>
              <w:tc>
                <w:tcPr>
                  <w:tcW w:w="982"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rPr>
                    <w:t>1.825</w:t>
                  </w:r>
                </w:p>
              </w:tc>
              <w:tc>
                <w:tcPr>
                  <w:tcW w:w="1320" w:type="dxa"/>
                  <w:tcBorders>
                    <w:top w:val="single" w:color="000000" w:sz="6" w:space="0"/>
                    <w:left w:val="single" w:color="000000" w:sz="6" w:space="0"/>
                    <w:bottom w:val="single" w:color="000000" w:sz="6" w:space="0"/>
                    <w:right w:val="single" w:color="000000" w:sz="6" w:space="0"/>
                  </w:tcBorders>
                  <w:noWrap w:val="0"/>
                  <w:vAlign w:val="bottom"/>
                </w:tcPr>
                <w:p>
                  <w:pPr>
                    <w:snapToGrid w:val="0"/>
                    <w:jc w:val="center"/>
                    <w:rPr>
                      <w:kern w:val="0"/>
                      <w:szCs w:val="21"/>
                      <w:lang w:eastAsia="en-US"/>
                    </w:rPr>
                  </w:pPr>
                  <w:r>
                    <w:rPr>
                      <w:kern w:val="0"/>
                      <w:szCs w:val="21"/>
                      <w:lang w:eastAsia="en-US"/>
                    </w:rPr>
                    <w:t>0.9125</w:t>
                  </w:r>
                </w:p>
              </w:tc>
              <w:tc>
                <w:tcPr>
                  <w:tcW w:w="1320"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0</w:t>
                  </w:r>
                </w:p>
              </w:tc>
              <w:tc>
                <w:tcPr>
                  <w:tcW w:w="1159"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rPr>
                    <w:t>2.7375</w:t>
                  </w:r>
                </w:p>
              </w:tc>
              <w:tc>
                <w:tcPr>
                  <w:tcW w:w="1580" w:type="dxa"/>
                  <w:tcBorders>
                    <w:top w:val="single" w:color="000000" w:sz="6" w:space="0"/>
                    <w:left w:val="single" w:color="000000" w:sz="6" w:space="0"/>
                    <w:bottom w:val="single" w:color="000000" w:sz="6" w:space="0"/>
                    <w:right w:val="nil"/>
                  </w:tcBorders>
                  <w:noWrap w:val="0"/>
                  <w:vAlign w:val="bottom"/>
                </w:tcPr>
                <w:p>
                  <w:pPr>
                    <w:snapToGrid w:val="0"/>
                    <w:jc w:val="center"/>
                    <w:rPr>
                      <w:kern w:val="0"/>
                      <w:szCs w:val="21"/>
                      <w:lang w:eastAsia="en-US"/>
                    </w:rPr>
                  </w:pPr>
                  <w:r>
                    <w:rPr>
                      <w:kern w:val="0"/>
                      <w:szCs w:val="21"/>
                    </w:rPr>
                    <w:t>+</w:t>
                  </w:r>
                  <w:r>
                    <w:rPr>
                      <w:kern w:val="0"/>
                      <w:szCs w:val="21"/>
                      <w:lang w:eastAsia="en-US"/>
                    </w:rPr>
                    <w:t>0.9125</w:t>
                  </w:r>
                </w:p>
              </w:tc>
            </w:tr>
            <w:tr>
              <w:tblPrEx>
                <w:tblCellMar>
                  <w:top w:w="0" w:type="dxa"/>
                  <w:left w:w="0" w:type="dxa"/>
                  <w:bottom w:w="0" w:type="dxa"/>
                  <w:right w:w="0" w:type="dxa"/>
                </w:tblCellMar>
              </w:tblPrEx>
              <w:trPr>
                <w:trHeight w:val="326" w:hRule="exact"/>
              </w:trPr>
              <w:tc>
                <w:tcPr>
                  <w:tcW w:w="816" w:type="dxa"/>
                  <w:vMerge w:val="continue"/>
                  <w:tcBorders>
                    <w:left w:val="nil"/>
                    <w:bottom w:val="single" w:color="000000" w:sz="6" w:space="0"/>
                    <w:right w:val="single" w:color="000000" w:sz="6" w:space="0"/>
                  </w:tcBorders>
                  <w:noWrap w:val="0"/>
                  <w:vAlign w:val="center"/>
                </w:tcPr>
                <w:p>
                  <w:pPr>
                    <w:jc w:val="center"/>
                    <w:rPr>
                      <w:szCs w:val="21"/>
                    </w:rPr>
                  </w:pPr>
                </w:p>
              </w:tc>
              <w:tc>
                <w:tcPr>
                  <w:tcW w:w="1251"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TP</w:t>
                  </w:r>
                </w:p>
              </w:tc>
              <w:tc>
                <w:tcPr>
                  <w:tcW w:w="982"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rPr>
                    <w:t>0.1825</w:t>
                  </w:r>
                </w:p>
              </w:tc>
              <w:tc>
                <w:tcPr>
                  <w:tcW w:w="1320" w:type="dxa"/>
                  <w:tcBorders>
                    <w:top w:val="single" w:color="000000" w:sz="6" w:space="0"/>
                    <w:left w:val="single" w:color="000000" w:sz="6" w:space="0"/>
                    <w:bottom w:val="single" w:color="000000" w:sz="6" w:space="0"/>
                    <w:right w:val="single" w:color="000000" w:sz="6" w:space="0"/>
                  </w:tcBorders>
                  <w:noWrap w:val="0"/>
                  <w:vAlign w:val="bottom"/>
                </w:tcPr>
                <w:p>
                  <w:pPr>
                    <w:snapToGrid w:val="0"/>
                    <w:jc w:val="center"/>
                    <w:rPr>
                      <w:kern w:val="0"/>
                      <w:szCs w:val="21"/>
                      <w:lang w:eastAsia="en-US"/>
                    </w:rPr>
                  </w:pPr>
                  <w:r>
                    <w:rPr>
                      <w:kern w:val="0"/>
                      <w:szCs w:val="21"/>
                      <w:lang w:eastAsia="en-US"/>
                    </w:rPr>
                    <w:t>0.0913</w:t>
                  </w:r>
                </w:p>
              </w:tc>
              <w:tc>
                <w:tcPr>
                  <w:tcW w:w="1320"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0</w:t>
                  </w:r>
                </w:p>
              </w:tc>
              <w:tc>
                <w:tcPr>
                  <w:tcW w:w="1159"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rPr>
                    <w:t>0.2738</w:t>
                  </w:r>
                </w:p>
              </w:tc>
              <w:tc>
                <w:tcPr>
                  <w:tcW w:w="1580" w:type="dxa"/>
                  <w:tcBorders>
                    <w:top w:val="single" w:color="000000" w:sz="6" w:space="0"/>
                    <w:left w:val="single" w:color="000000" w:sz="6" w:space="0"/>
                    <w:bottom w:val="single" w:color="000000" w:sz="6" w:space="0"/>
                    <w:right w:val="nil"/>
                  </w:tcBorders>
                  <w:noWrap w:val="0"/>
                  <w:vAlign w:val="bottom"/>
                </w:tcPr>
                <w:p>
                  <w:pPr>
                    <w:snapToGrid w:val="0"/>
                    <w:jc w:val="center"/>
                    <w:rPr>
                      <w:kern w:val="0"/>
                      <w:szCs w:val="21"/>
                      <w:lang w:eastAsia="en-US"/>
                    </w:rPr>
                  </w:pPr>
                  <w:r>
                    <w:rPr>
                      <w:kern w:val="0"/>
                      <w:szCs w:val="21"/>
                    </w:rPr>
                    <w:t>+</w:t>
                  </w:r>
                  <w:r>
                    <w:rPr>
                      <w:kern w:val="0"/>
                      <w:szCs w:val="21"/>
                      <w:lang w:eastAsia="en-US"/>
                    </w:rPr>
                    <w:t>0.0913</w:t>
                  </w:r>
                </w:p>
              </w:tc>
            </w:tr>
            <w:tr>
              <w:tblPrEx>
                <w:tblCellMar>
                  <w:top w:w="0" w:type="dxa"/>
                  <w:left w:w="0" w:type="dxa"/>
                  <w:bottom w:w="0" w:type="dxa"/>
                  <w:right w:w="0" w:type="dxa"/>
                </w:tblCellMar>
              </w:tblPrEx>
              <w:trPr>
                <w:trHeight w:val="326" w:hRule="exact"/>
              </w:trPr>
              <w:tc>
                <w:tcPr>
                  <w:tcW w:w="816" w:type="dxa"/>
                  <w:vMerge w:val="restart"/>
                  <w:tcBorders>
                    <w:top w:val="single" w:color="000000" w:sz="6" w:space="0"/>
                    <w:left w:val="nil"/>
                    <w:right w:val="single" w:color="000000" w:sz="6" w:space="0"/>
                  </w:tcBorders>
                  <w:noWrap w:val="0"/>
                  <w:vAlign w:val="center"/>
                </w:tcPr>
                <w:p>
                  <w:pPr>
                    <w:snapToGrid w:val="0"/>
                    <w:jc w:val="center"/>
                    <w:rPr>
                      <w:kern w:val="0"/>
                      <w:szCs w:val="21"/>
                      <w:lang w:eastAsia="en-US"/>
                    </w:rPr>
                  </w:pPr>
                  <w:r>
                    <w:rPr>
                      <w:kern w:val="0"/>
                      <w:szCs w:val="21"/>
                      <w:lang w:eastAsia="en-US"/>
                    </w:rPr>
                    <w:t>固废</w:t>
                  </w:r>
                </w:p>
              </w:tc>
              <w:tc>
                <w:tcPr>
                  <w:tcW w:w="1251"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栅渣</w:t>
                  </w:r>
                </w:p>
              </w:tc>
              <w:tc>
                <w:tcPr>
                  <w:tcW w:w="982" w:type="dxa"/>
                  <w:tcBorders>
                    <w:top w:val="single" w:color="000000" w:sz="6" w:space="0"/>
                    <w:left w:val="single" w:color="000000" w:sz="6" w:space="0"/>
                    <w:bottom w:val="single" w:color="000000" w:sz="6" w:space="0"/>
                    <w:right w:val="single" w:color="000000" w:sz="6" w:space="0"/>
                  </w:tcBorders>
                  <w:noWrap w:val="0"/>
                  <w:vAlign w:val="bottom"/>
                </w:tcPr>
                <w:p>
                  <w:pPr>
                    <w:snapToGrid w:val="0"/>
                    <w:jc w:val="center"/>
                    <w:rPr>
                      <w:kern w:val="0"/>
                      <w:szCs w:val="21"/>
                      <w:lang w:eastAsia="en-US"/>
                    </w:rPr>
                  </w:pPr>
                  <w:r>
                    <w:rPr>
                      <w:kern w:val="0"/>
                      <w:szCs w:val="21"/>
                      <w:lang w:eastAsia="en-US"/>
                    </w:rPr>
                    <w:t>13.14</w:t>
                  </w:r>
                </w:p>
              </w:tc>
              <w:tc>
                <w:tcPr>
                  <w:tcW w:w="1320" w:type="dxa"/>
                  <w:tcBorders>
                    <w:top w:val="single" w:color="000000" w:sz="6" w:space="0"/>
                    <w:left w:val="single" w:color="000000" w:sz="6" w:space="0"/>
                    <w:bottom w:val="single" w:color="000000" w:sz="6" w:space="0"/>
                    <w:right w:val="single" w:color="000000" w:sz="6" w:space="0"/>
                  </w:tcBorders>
                  <w:noWrap w:val="0"/>
                  <w:vAlign w:val="bottom"/>
                </w:tcPr>
                <w:p>
                  <w:pPr>
                    <w:snapToGrid w:val="0"/>
                    <w:jc w:val="center"/>
                    <w:rPr>
                      <w:kern w:val="0"/>
                      <w:szCs w:val="21"/>
                      <w:lang w:eastAsia="en-US"/>
                    </w:rPr>
                  </w:pPr>
                  <w:r>
                    <w:rPr>
                      <w:kern w:val="0"/>
                      <w:szCs w:val="21"/>
                      <w:lang w:eastAsia="en-US"/>
                    </w:rPr>
                    <w:t>6.57</w:t>
                  </w:r>
                </w:p>
              </w:tc>
              <w:tc>
                <w:tcPr>
                  <w:tcW w:w="1320"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0</w:t>
                  </w:r>
                </w:p>
              </w:tc>
              <w:tc>
                <w:tcPr>
                  <w:tcW w:w="1159"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19.71</w:t>
                  </w:r>
                </w:p>
              </w:tc>
              <w:tc>
                <w:tcPr>
                  <w:tcW w:w="1580" w:type="dxa"/>
                  <w:tcBorders>
                    <w:top w:val="single" w:color="000000" w:sz="6" w:space="0"/>
                    <w:left w:val="single" w:color="000000" w:sz="6" w:space="0"/>
                    <w:bottom w:val="single" w:color="000000" w:sz="6" w:space="0"/>
                    <w:right w:val="nil"/>
                  </w:tcBorders>
                  <w:noWrap w:val="0"/>
                  <w:vAlign w:val="bottom"/>
                </w:tcPr>
                <w:p>
                  <w:pPr>
                    <w:snapToGrid w:val="0"/>
                    <w:jc w:val="center"/>
                    <w:rPr>
                      <w:kern w:val="0"/>
                      <w:szCs w:val="21"/>
                      <w:lang w:eastAsia="en-US"/>
                    </w:rPr>
                  </w:pPr>
                  <w:r>
                    <w:rPr>
                      <w:kern w:val="0"/>
                      <w:szCs w:val="21"/>
                    </w:rPr>
                    <w:t>+</w:t>
                  </w:r>
                  <w:r>
                    <w:rPr>
                      <w:kern w:val="0"/>
                      <w:szCs w:val="21"/>
                      <w:lang w:eastAsia="en-US"/>
                    </w:rPr>
                    <w:t>6.57</w:t>
                  </w:r>
                </w:p>
              </w:tc>
            </w:tr>
            <w:tr>
              <w:tblPrEx>
                <w:tblCellMar>
                  <w:top w:w="0" w:type="dxa"/>
                  <w:left w:w="0" w:type="dxa"/>
                  <w:bottom w:w="0" w:type="dxa"/>
                  <w:right w:w="0" w:type="dxa"/>
                </w:tblCellMar>
              </w:tblPrEx>
              <w:trPr>
                <w:trHeight w:val="474" w:hRule="exact"/>
              </w:trPr>
              <w:tc>
                <w:tcPr>
                  <w:tcW w:w="816" w:type="dxa"/>
                  <w:vMerge w:val="continue"/>
                  <w:tcBorders>
                    <w:left w:val="nil"/>
                    <w:right w:val="single" w:color="000000" w:sz="6" w:space="0"/>
                  </w:tcBorders>
                  <w:noWrap w:val="0"/>
                  <w:vAlign w:val="center"/>
                </w:tcPr>
                <w:p>
                  <w:pPr>
                    <w:jc w:val="center"/>
                    <w:rPr>
                      <w:szCs w:val="21"/>
                    </w:rPr>
                  </w:pPr>
                </w:p>
              </w:tc>
              <w:tc>
                <w:tcPr>
                  <w:tcW w:w="1251"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砂粒</w:t>
                  </w:r>
                </w:p>
              </w:tc>
              <w:tc>
                <w:tcPr>
                  <w:tcW w:w="982" w:type="dxa"/>
                  <w:tcBorders>
                    <w:top w:val="single" w:color="000000" w:sz="6" w:space="0"/>
                    <w:left w:val="single" w:color="000000" w:sz="6" w:space="0"/>
                    <w:bottom w:val="single" w:color="000000" w:sz="6" w:space="0"/>
                    <w:right w:val="single" w:color="000000" w:sz="6" w:space="0"/>
                  </w:tcBorders>
                  <w:noWrap w:val="0"/>
                  <w:vAlign w:val="bottom"/>
                </w:tcPr>
                <w:p>
                  <w:pPr>
                    <w:snapToGrid w:val="0"/>
                    <w:jc w:val="center"/>
                    <w:rPr>
                      <w:kern w:val="0"/>
                      <w:szCs w:val="21"/>
                      <w:lang w:eastAsia="en-US"/>
                    </w:rPr>
                  </w:pPr>
                  <w:r>
                    <w:rPr>
                      <w:kern w:val="0"/>
                      <w:szCs w:val="21"/>
                      <w:lang w:eastAsia="en-US"/>
                    </w:rPr>
                    <w:t>2.0531</w:t>
                  </w:r>
                </w:p>
              </w:tc>
              <w:tc>
                <w:tcPr>
                  <w:tcW w:w="1320" w:type="dxa"/>
                  <w:tcBorders>
                    <w:top w:val="single" w:color="000000" w:sz="6" w:space="0"/>
                    <w:left w:val="single" w:color="000000" w:sz="6" w:space="0"/>
                    <w:bottom w:val="single" w:color="000000" w:sz="6" w:space="0"/>
                    <w:right w:val="single" w:color="000000" w:sz="6" w:space="0"/>
                  </w:tcBorders>
                  <w:noWrap w:val="0"/>
                  <w:vAlign w:val="bottom"/>
                </w:tcPr>
                <w:p>
                  <w:pPr>
                    <w:snapToGrid w:val="0"/>
                    <w:jc w:val="center"/>
                    <w:rPr>
                      <w:kern w:val="0"/>
                      <w:szCs w:val="21"/>
                      <w:lang w:eastAsia="en-US"/>
                    </w:rPr>
                  </w:pPr>
                  <w:r>
                    <w:rPr>
                      <w:kern w:val="0"/>
                      <w:szCs w:val="21"/>
                      <w:lang w:eastAsia="en-US"/>
                    </w:rPr>
                    <w:t>1.0266</w:t>
                  </w:r>
                </w:p>
              </w:tc>
              <w:tc>
                <w:tcPr>
                  <w:tcW w:w="1320"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0</w:t>
                  </w:r>
                </w:p>
              </w:tc>
              <w:tc>
                <w:tcPr>
                  <w:tcW w:w="1159"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3.0797</w:t>
                  </w:r>
                </w:p>
              </w:tc>
              <w:tc>
                <w:tcPr>
                  <w:tcW w:w="1580" w:type="dxa"/>
                  <w:tcBorders>
                    <w:top w:val="single" w:color="000000" w:sz="6" w:space="0"/>
                    <w:left w:val="single" w:color="000000" w:sz="6" w:space="0"/>
                    <w:bottom w:val="single" w:color="000000" w:sz="6" w:space="0"/>
                    <w:right w:val="nil"/>
                  </w:tcBorders>
                  <w:noWrap w:val="0"/>
                  <w:vAlign w:val="bottom"/>
                </w:tcPr>
                <w:p>
                  <w:pPr>
                    <w:snapToGrid w:val="0"/>
                    <w:jc w:val="center"/>
                    <w:rPr>
                      <w:kern w:val="0"/>
                      <w:szCs w:val="21"/>
                      <w:lang w:eastAsia="en-US"/>
                    </w:rPr>
                  </w:pPr>
                  <w:r>
                    <w:rPr>
                      <w:kern w:val="0"/>
                      <w:szCs w:val="21"/>
                    </w:rPr>
                    <w:t>+</w:t>
                  </w:r>
                  <w:r>
                    <w:rPr>
                      <w:kern w:val="0"/>
                      <w:szCs w:val="21"/>
                      <w:lang w:eastAsia="en-US"/>
                    </w:rPr>
                    <w:t>1.0266</w:t>
                  </w:r>
                </w:p>
              </w:tc>
            </w:tr>
            <w:tr>
              <w:tblPrEx>
                <w:tblCellMar>
                  <w:top w:w="0" w:type="dxa"/>
                  <w:left w:w="0" w:type="dxa"/>
                  <w:bottom w:w="0" w:type="dxa"/>
                  <w:right w:w="0" w:type="dxa"/>
                </w:tblCellMar>
              </w:tblPrEx>
              <w:trPr>
                <w:trHeight w:val="326" w:hRule="exact"/>
              </w:trPr>
              <w:tc>
                <w:tcPr>
                  <w:tcW w:w="816" w:type="dxa"/>
                  <w:vMerge w:val="continue"/>
                  <w:tcBorders>
                    <w:left w:val="nil"/>
                    <w:right w:val="single" w:color="000000" w:sz="6" w:space="0"/>
                  </w:tcBorders>
                  <w:noWrap w:val="0"/>
                  <w:vAlign w:val="center"/>
                </w:tcPr>
                <w:p>
                  <w:pPr>
                    <w:jc w:val="center"/>
                    <w:rPr>
                      <w:szCs w:val="21"/>
                    </w:rPr>
                  </w:pPr>
                </w:p>
              </w:tc>
              <w:tc>
                <w:tcPr>
                  <w:tcW w:w="1251"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污泥</w:t>
                  </w:r>
                </w:p>
              </w:tc>
              <w:tc>
                <w:tcPr>
                  <w:tcW w:w="982" w:type="dxa"/>
                  <w:tcBorders>
                    <w:top w:val="single" w:color="000000" w:sz="6" w:space="0"/>
                    <w:left w:val="single" w:color="000000" w:sz="6" w:space="0"/>
                    <w:bottom w:val="single" w:color="000000" w:sz="6" w:space="0"/>
                    <w:right w:val="single" w:color="000000" w:sz="6" w:space="0"/>
                  </w:tcBorders>
                  <w:noWrap w:val="0"/>
                  <w:vAlign w:val="bottom"/>
                </w:tcPr>
                <w:p>
                  <w:pPr>
                    <w:snapToGrid w:val="0"/>
                    <w:jc w:val="center"/>
                    <w:rPr>
                      <w:kern w:val="0"/>
                      <w:szCs w:val="21"/>
                      <w:lang w:eastAsia="en-US"/>
                    </w:rPr>
                  </w:pPr>
                  <w:r>
                    <w:rPr>
                      <w:kern w:val="0"/>
                      <w:szCs w:val="21"/>
                      <w:lang w:eastAsia="en-US"/>
                    </w:rPr>
                    <w:t>6.205</w:t>
                  </w:r>
                </w:p>
              </w:tc>
              <w:tc>
                <w:tcPr>
                  <w:tcW w:w="1320" w:type="dxa"/>
                  <w:tcBorders>
                    <w:top w:val="single" w:color="000000" w:sz="6" w:space="0"/>
                    <w:left w:val="single" w:color="000000" w:sz="6" w:space="0"/>
                    <w:bottom w:val="single" w:color="000000" w:sz="6" w:space="0"/>
                    <w:right w:val="single" w:color="000000" w:sz="6" w:space="0"/>
                  </w:tcBorders>
                  <w:noWrap w:val="0"/>
                  <w:vAlign w:val="bottom"/>
                </w:tcPr>
                <w:p>
                  <w:pPr>
                    <w:snapToGrid w:val="0"/>
                    <w:jc w:val="center"/>
                    <w:rPr>
                      <w:kern w:val="0"/>
                      <w:szCs w:val="21"/>
                      <w:lang w:eastAsia="en-US"/>
                    </w:rPr>
                  </w:pPr>
                  <w:r>
                    <w:rPr>
                      <w:kern w:val="0"/>
                      <w:szCs w:val="21"/>
                      <w:lang w:eastAsia="en-US"/>
                    </w:rPr>
                    <w:t>3.1025</w:t>
                  </w:r>
                </w:p>
              </w:tc>
              <w:tc>
                <w:tcPr>
                  <w:tcW w:w="1320"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0</w:t>
                  </w:r>
                </w:p>
              </w:tc>
              <w:tc>
                <w:tcPr>
                  <w:tcW w:w="1159"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9.3075</w:t>
                  </w:r>
                </w:p>
              </w:tc>
              <w:tc>
                <w:tcPr>
                  <w:tcW w:w="1580" w:type="dxa"/>
                  <w:tcBorders>
                    <w:top w:val="single" w:color="000000" w:sz="6" w:space="0"/>
                    <w:left w:val="single" w:color="000000" w:sz="6" w:space="0"/>
                    <w:bottom w:val="single" w:color="000000" w:sz="6" w:space="0"/>
                    <w:right w:val="nil"/>
                  </w:tcBorders>
                  <w:noWrap w:val="0"/>
                  <w:vAlign w:val="bottom"/>
                </w:tcPr>
                <w:p>
                  <w:pPr>
                    <w:snapToGrid w:val="0"/>
                    <w:jc w:val="center"/>
                    <w:rPr>
                      <w:kern w:val="0"/>
                      <w:szCs w:val="21"/>
                      <w:lang w:eastAsia="en-US"/>
                    </w:rPr>
                  </w:pPr>
                  <w:r>
                    <w:rPr>
                      <w:kern w:val="0"/>
                      <w:szCs w:val="21"/>
                    </w:rPr>
                    <w:t>+</w:t>
                  </w:r>
                  <w:r>
                    <w:rPr>
                      <w:kern w:val="0"/>
                      <w:szCs w:val="21"/>
                      <w:lang w:eastAsia="en-US"/>
                    </w:rPr>
                    <w:t>3.1025</w:t>
                  </w:r>
                </w:p>
              </w:tc>
            </w:tr>
            <w:tr>
              <w:tblPrEx>
                <w:tblCellMar>
                  <w:top w:w="0" w:type="dxa"/>
                  <w:left w:w="0" w:type="dxa"/>
                  <w:bottom w:w="0" w:type="dxa"/>
                  <w:right w:w="0" w:type="dxa"/>
                </w:tblCellMar>
              </w:tblPrEx>
              <w:trPr>
                <w:trHeight w:val="326" w:hRule="exact"/>
              </w:trPr>
              <w:tc>
                <w:tcPr>
                  <w:tcW w:w="816" w:type="dxa"/>
                  <w:vMerge w:val="continue"/>
                  <w:tcBorders>
                    <w:left w:val="nil"/>
                    <w:right w:val="single" w:color="000000" w:sz="6" w:space="0"/>
                  </w:tcBorders>
                  <w:noWrap w:val="0"/>
                  <w:vAlign w:val="center"/>
                </w:tcPr>
                <w:p>
                  <w:pPr>
                    <w:jc w:val="center"/>
                    <w:rPr>
                      <w:szCs w:val="21"/>
                    </w:rPr>
                  </w:pPr>
                </w:p>
              </w:tc>
              <w:tc>
                <w:tcPr>
                  <w:tcW w:w="1251"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生活垃圾</w:t>
                  </w:r>
                </w:p>
              </w:tc>
              <w:tc>
                <w:tcPr>
                  <w:tcW w:w="982"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0.5475</w:t>
                  </w:r>
                </w:p>
              </w:tc>
              <w:tc>
                <w:tcPr>
                  <w:tcW w:w="1320"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rPr>
                    <w:t>0</w:t>
                  </w:r>
                </w:p>
              </w:tc>
              <w:tc>
                <w:tcPr>
                  <w:tcW w:w="1320"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0</w:t>
                  </w:r>
                </w:p>
              </w:tc>
              <w:tc>
                <w:tcPr>
                  <w:tcW w:w="1159"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0.5475</w:t>
                  </w:r>
                </w:p>
              </w:tc>
              <w:tc>
                <w:tcPr>
                  <w:tcW w:w="1580" w:type="dxa"/>
                  <w:tcBorders>
                    <w:top w:val="single" w:color="000000" w:sz="6" w:space="0"/>
                    <w:left w:val="single" w:color="000000" w:sz="6" w:space="0"/>
                    <w:bottom w:val="single" w:color="000000" w:sz="6" w:space="0"/>
                    <w:right w:val="nil"/>
                  </w:tcBorders>
                  <w:noWrap w:val="0"/>
                  <w:vAlign w:val="center"/>
                </w:tcPr>
                <w:p>
                  <w:pPr>
                    <w:snapToGrid w:val="0"/>
                    <w:jc w:val="center"/>
                    <w:rPr>
                      <w:kern w:val="0"/>
                      <w:szCs w:val="21"/>
                      <w:lang w:eastAsia="en-US"/>
                    </w:rPr>
                  </w:pPr>
                  <w:r>
                    <w:rPr>
                      <w:kern w:val="0"/>
                      <w:szCs w:val="21"/>
                      <w:lang w:eastAsia="en-US"/>
                    </w:rPr>
                    <w:t>+</w:t>
                  </w:r>
                  <w:r>
                    <w:rPr>
                      <w:kern w:val="0"/>
                      <w:szCs w:val="21"/>
                    </w:rPr>
                    <w:t>0</w:t>
                  </w:r>
                </w:p>
              </w:tc>
            </w:tr>
            <w:tr>
              <w:tblPrEx>
                <w:tblCellMar>
                  <w:top w:w="0" w:type="dxa"/>
                  <w:left w:w="0" w:type="dxa"/>
                  <w:bottom w:w="0" w:type="dxa"/>
                  <w:right w:w="0" w:type="dxa"/>
                </w:tblCellMar>
              </w:tblPrEx>
              <w:trPr>
                <w:trHeight w:val="638" w:hRule="exact"/>
              </w:trPr>
              <w:tc>
                <w:tcPr>
                  <w:tcW w:w="816" w:type="dxa"/>
                  <w:vMerge w:val="continue"/>
                  <w:tcBorders>
                    <w:left w:val="nil"/>
                    <w:right w:val="single" w:color="000000" w:sz="6" w:space="0"/>
                  </w:tcBorders>
                  <w:noWrap w:val="0"/>
                  <w:vAlign w:val="center"/>
                </w:tcPr>
                <w:p>
                  <w:pPr>
                    <w:jc w:val="center"/>
                    <w:rPr>
                      <w:szCs w:val="21"/>
                    </w:rPr>
                  </w:pPr>
                </w:p>
              </w:tc>
              <w:tc>
                <w:tcPr>
                  <w:tcW w:w="1251"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在线监测废液</w:t>
                  </w:r>
                </w:p>
              </w:tc>
              <w:tc>
                <w:tcPr>
                  <w:tcW w:w="982"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0.2</w:t>
                  </w:r>
                </w:p>
              </w:tc>
              <w:tc>
                <w:tcPr>
                  <w:tcW w:w="1320"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rPr>
                    <w:t>0</w:t>
                  </w:r>
                </w:p>
              </w:tc>
              <w:tc>
                <w:tcPr>
                  <w:tcW w:w="1320"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0</w:t>
                  </w:r>
                </w:p>
              </w:tc>
              <w:tc>
                <w:tcPr>
                  <w:tcW w:w="1159"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0.2</w:t>
                  </w:r>
                </w:p>
              </w:tc>
              <w:tc>
                <w:tcPr>
                  <w:tcW w:w="1580" w:type="dxa"/>
                  <w:tcBorders>
                    <w:top w:val="single" w:color="000000" w:sz="6" w:space="0"/>
                    <w:left w:val="single" w:color="000000" w:sz="6" w:space="0"/>
                    <w:bottom w:val="single" w:color="000000" w:sz="6" w:space="0"/>
                    <w:right w:val="nil"/>
                  </w:tcBorders>
                  <w:noWrap w:val="0"/>
                  <w:vAlign w:val="center"/>
                </w:tcPr>
                <w:p>
                  <w:pPr>
                    <w:snapToGrid w:val="0"/>
                    <w:jc w:val="center"/>
                    <w:rPr>
                      <w:kern w:val="0"/>
                      <w:szCs w:val="21"/>
                      <w:lang w:eastAsia="en-US"/>
                    </w:rPr>
                  </w:pPr>
                  <w:r>
                    <w:rPr>
                      <w:kern w:val="0"/>
                      <w:szCs w:val="21"/>
                      <w:lang w:eastAsia="en-US"/>
                    </w:rPr>
                    <w:t>+</w:t>
                  </w:r>
                  <w:r>
                    <w:rPr>
                      <w:kern w:val="0"/>
                      <w:szCs w:val="21"/>
                    </w:rPr>
                    <w:t>0</w:t>
                  </w:r>
                </w:p>
              </w:tc>
            </w:tr>
            <w:tr>
              <w:tblPrEx>
                <w:tblCellMar>
                  <w:top w:w="0" w:type="dxa"/>
                  <w:left w:w="0" w:type="dxa"/>
                  <w:bottom w:w="0" w:type="dxa"/>
                  <w:right w:w="0" w:type="dxa"/>
                </w:tblCellMar>
              </w:tblPrEx>
              <w:trPr>
                <w:trHeight w:val="847" w:hRule="exact"/>
              </w:trPr>
              <w:tc>
                <w:tcPr>
                  <w:tcW w:w="816" w:type="dxa"/>
                  <w:vMerge w:val="continue"/>
                  <w:tcBorders>
                    <w:left w:val="nil"/>
                    <w:right w:val="single" w:color="000000" w:sz="6" w:space="0"/>
                  </w:tcBorders>
                  <w:noWrap w:val="0"/>
                  <w:vAlign w:val="center"/>
                </w:tcPr>
                <w:p>
                  <w:pPr>
                    <w:jc w:val="center"/>
                    <w:rPr>
                      <w:szCs w:val="21"/>
                    </w:rPr>
                  </w:pPr>
                </w:p>
              </w:tc>
              <w:tc>
                <w:tcPr>
                  <w:tcW w:w="1251"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废机油</w:t>
                  </w:r>
                </w:p>
              </w:tc>
              <w:tc>
                <w:tcPr>
                  <w:tcW w:w="982"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rPr>
                    <w:t>0.05</w:t>
                  </w:r>
                </w:p>
              </w:tc>
              <w:tc>
                <w:tcPr>
                  <w:tcW w:w="1320"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rPr>
                    <w:t>0.05</w:t>
                  </w:r>
                </w:p>
              </w:tc>
              <w:tc>
                <w:tcPr>
                  <w:tcW w:w="1320"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0</w:t>
                  </w:r>
                </w:p>
              </w:tc>
              <w:tc>
                <w:tcPr>
                  <w:tcW w:w="1159"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0.1</w:t>
                  </w:r>
                </w:p>
              </w:tc>
              <w:tc>
                <w:tcPr>
                  <w:tcW w:w="1580" w:type="dxa"/>
                  <w:tcBorders>
                    <w:top w:val="single" w:color="000000" w:sz="6" w:space="0"/>
                    <w:left w:val="single" w:color="000000" w:sz="6" w:space="0"/>
                    <w:bottom w:val="single" w:color="000000" w:sz="6" w:space="0"/>
                    <w:right w:val="nil"/>
                  </w:tcBorders>
                  <w:noWrap w:val="0"/>
                  <w:vAlign w:val="center"/>
                </w:tcPr>
                <w:p>
                  <w:pPr>
                    <w:snapToGrid w:val="0"/>
                    <w:jc w:val="center"/>
                    <w:rPr>
                      <w:kern w:val="0"/>
                      <w:szCs w:val="21"/>
                      <w:lang w:eastAsia="en-US"/>
                    </w:rPr>
                  </w:pPr>
                  <w:r>
                    <w:rPr>
                      <w:kern w:val="0"/>
                      <w:szCs w:val="21"/>
                      <w:lang w:eastAsia="en-US"/>
                    </w:rPr>
                    <w:t>+0.</w:t>
                  </w:r>
                  <w:r>
                    <w:rPr>
                      <w:kern w:val="0"/>
                      <w:szCs w:val="21"/>
                    </w:rPr>
                    <w:t>05</w:t>
                  </w:r>
                </w:p>
              </w:tc>
            </w:tr>
            <w:tr>
              <w:tblPrEx>
                <w:tblCellMar>
                  <w:top w:w="0" w:type="dxa"/>
                  <w:left w:w="0" w:type="dxa"/>
                  <w:bottom w:w="0" w:type="dxa"/>
                  <w:right w:w="0" w:type="dxa"/>
                </w:tblCellMar>
              </w:tblPrEx>
              <w:trPr>
                <w:trHeight w:val="848" w:hRule="exact"/>
              </w:trPr>
              <w:tc>
                <w:tcPr>
                  <w:tcW w:w="816" w:type="dxa"/>
                  <w:vMerge w:val="continue"/>
                  <w:tcBorders>
                    <w:left w:val="nil"/>
                    <w:right w:val="single" w:color="000000" w:sz="6" w:space="0"/>
                  </w:tcBorders>
                  <w:noWrap w:val="0"/>
                  <w:vAlign w:val="center"/>
                </w:tcPr>
                <w:p>
                  <w:pPr>
                    <w:jc w:val="center"/>
                    <w:rPr>
                      <w:szCs w:val="21"/>
                    </w:rPr>
                  </w:pPr>
                </w:p>
              </w:tc>
              <w:tc>
                <w:tcPr>
                  <w:tcW w:w="1251"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废含油棉纱、手套</w:t>
                  </w:r>
                </w:p>
              </w:tc>
              <w:tc>
                <w:tcPr>
                  <w:tcW w:w="982"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rPr>
                    <w:t>0.005</w:t>
                  </w:r>
                </w:p>
              </w:tc>
              <w:tc>
                <w:tcPr>
                  <w:tcW w:w="1320"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rPr>
                    <w:t>0.005</w:t>
                  </w:r>
                </w:p>
              </w:tc>
              <w:tc>
                <w:tcPr>
                  <w:tcW w:w="1320"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0</w:t>
                  </w:r>
                </w:p>
              </w:tc>
              <w:tc>
                <w:tcPr>
                  <w:tcW w:w="1159"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0.01</w:t>
                  </w:r>
                </w:p>
              </w:tc>
              <w:tc>
                <w:tcPr>
                  <w:tcW w:w="1580" w:type="dxa"/>
                  <w:tcBorders>
                    <w:top w:val="single" w:color="000000" w:sz="6" w:space="0"/>
                    <w:left w:val="single" w:color="000000" w:sz="6" w:space="0"/>
                    <w:bottom w:val="single" w:color="000000" w:sz="6" w:space="0"/>
                    <w:right w:val="nil"/>
                  </w:tcBorders>
                  <w:noWrap w:val="0"/>
                  <w:vAlign w:val="center"/>
                </w:tcPr>
                <w:p>
                  <w:pPr>
                    <w:snapToGrid w:val="0"/>
                    <w:jc w:val="center"/>
                    <w:rPr>
                      <w:kern w:val="0"/>
                      <w:szCs w:val="21"/>
                      <w:lang w:eastAsia="en-US"/>
                    </w:rPr>
                  </w:pPr>
                  <w:r>
                    <w:rPr>
                      <w:kern w:val="0"/>
                      <w:szCs w:val="21"/>
                      <w:lang w:eastAsia="en-US"/>
                    </w:rPr>
                    <w:t>+0.</w:t>
                  </w:r>
                  <w:r>
                    <w:rPr>
                      <w:kern w:val="0"/>
                      <w:szCs w:val="21"/>
                    </w:rPr>
                    <w:t>005</w:t>
                  </w:r>
                </w:p>
              </w:tc>
            </w:tr>
            <w:tr>
              <w:tblPrEx>
                <w:tblCellMar>
                  <w:top w:w="0" w:type="dxa"/>
                  <w:left w:w="0" w:type="dxa"/>
                  <w:bottom w:w="0" w:type="dxa"/>
                  <w:right w:w="0" w:type="dxa"/>
                </w:tblCellMar>
              </w:tblPrEx>
              <w:trPr>
                <w:trHeight w:val="326" w:hRule="exact"/>
              </w:trPr>
              <w:tc>
                <w:tcPr>
                  <w:tcW w:w="816" w:type="dxa"/>
                  <w:vMerge w:val="restart"/>
                  <w:tcBorders>
                    <w:top w:val="single" w:color="000000" w:sz="6" w:space="0"/>
                    <w:left w:val="nil"/>
                    <w:right w:val="single" w:color="000000" w:sz="6" w:space="0"/>
                  </w:tcBorders>
                  <w:noWrap w:val="0"/>
                  <w:vAlign w:val="center"/>
                </w:tcPr>
                <w:p>
                  <w:pPr>
                    <w:snapToGrid w:val="0"/>
                    <w:jc w:val="center"/>
                    <w:rPr>
                      <w:kern w:val="0"/>
                      <w:szCs w:val="21"/>
                      <w:lang w:eastAsia="en-US"/>
                    </w:rPr>
                  </w:pPr>
                  <w:r>
                    <w:rPr>
                      <w:kern w:val="0"/>
                      <w:szCs w:val="21"/>
                      <w:lang w:eastAsia="en-US"/>
                    </w:rPr>
                    <w:t>废气</w:t>
                  </w:r>
                </w:p>
              </w:tc>
              <w:tc>
                <w:tcPr>
                  <w:tcW w:w="1251"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spacing w:val="-1"/>
                      <w:kern w:val="0"/>
                      <w:position w:val="2"/>
                      <w:szCs w:val="21"/>
                      <w:lang w:eastAsia="en-US"/>
                    </w:rPr>
                    <w:t>NH</w:t>
                  </w:r>
                  <w:r>
                    <w:rPr>
                      <w:spacing w:val="-1"/>
                      <w:kern w:val="0"/>
                      <w:position w:val="2"/>
                      <w:szCs w:val="21"/>
                      <w:vertAlign w:val="subscript"/>
                    </w:rPr>
                    <w:t>3</w:t>
                  </w:r>
                </w:p>
              </w:tc>
              <w:tc>
                <w:tcPr>
                  <w:tcW w:w="982"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rPr>
                    <w:t>0.000931</w:t>
                  </w:r>
                </w:p>
              </w:tc>
              <w:tc>
                <w:tcPr>
                  <w:tcW w:w="1320" w:type="dxa"/>
                  <w:tcBorders>
                    <w:top w:val="single" w:color="000000" w:sz="6" w:space="0"/>
                    <w:left w:val="single" w:color="000000" w:sz="6" w:space="0"/>
                    <w:bottom w:val="single" w:color="000000" w:sz="6" w:space="0"/>
                    <w:right w:val="single" w:color="000000" w:sz="6" w:space="0"/>
                  </w:tcBorders>
                  <w:noWrap w:val="0"/>
                  <w:vAlign w:val="bottom"/>
                </w:tcPr>
                <w:p>
                  <w:pPr>
                    <w:snapToGrid w:val="0"/>
                    <w:jc w:val="center"/>
                    <w:rPr>
                      <w:kern w:val="0"/>
                      <w:szCs w:val="21"/>
                      <w:lang w:eastAsia="en-US"/>
                    </w:rPr>
                  </w:pPr>
                  <w:r>
                    <w:rPr>
                      <w:snapToGrid w:val="0"/>
                      <w:kern w:val="21"/>
                      <w:szCs w:val="21"/>
                    </w:rPr>
                    <w:t>0.0002631</w:t>
                  </w:r>
                </w:p>
              </w:tc>
              <w:tc>
                <w:tcPr>
                  <w:tcW w:w="1320"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snapToGrid w:val="0"/>
                      <w:kern w:val="21"/>
                      <w:szCs w:val="21"/>
                    </w:rPr>
                    <w:t>3.61</w:t>
                  </w:r>
                  <w:r>
                    <w:rPr>
                      <w:kern w:val="0"/>
                      <w:szCs w:val="21"/>
                      <w:lang w:eastAsia="en-US"/>
                    </w:rPr>
                    <w:t>×10</w:t>
                  </w:r>
                  <w:r>
                    <w:rPr>
                      <w:kern w:val="0"/>
                      <w:szCs w:val="21"/>
                      <w:vertAlign w:val="superscript"/>
                      <w:lang w:eastAsia="en-US"/>
                    </w:rPr>
                    <w:t>-</w:t>
                  </w:r>
                  <w:r>
                    <w:rPr>
                      <w:kern w:val="0"/>
                      <w:szCs w:val="21"/>
                      <w:vertAlign w:val="superscript"/>
                    </w:rPr>
                    <w:t>5</w:t>
                  </w:r>
                </w:p>
              </w:tc>
              <w:tc>
                <w:tcPr>
                  <w:tcW w:w="1159" w:type="dxa"/>
                  <w:tcBorders>
                    <w:top w:val="single" w:color="000000" w:sz="6" w:space="0"/>
                    <w:left w:val="single" w:color="000000" w:sz="6" w:space="0"/>
                    <w:bottom w:val="single" w:color="000000" w:sz="6" w:space="0"/>
                    <w:right w:val="single" w:color="000000" w:sz="6" w:space="0"/>
                  </w:tcBorders>
                  <w:noWrap w:val="0"/>
                  <w:vAlign w:val="bottom"/>
                </w:tcPr>
                <w:p>
                  <w:pPr>
                    <w:snapToGrid w:val="0"/>
                    <w:jc w:val="center"/>
                    <w:rPr>
                      <w:kern w:val="0"/>
                      <w:szCs w:val="21"/>
                      <w:lang w:eastAsia="en-US"/>
                    </w:rPr>
                  </w:pPr>
                  <w:r>
                    <w:rPr>
                      <w:kern w:val="0"/>
                      <w:szCs w:val="21"/>
                      <w:lang w:eastAsia="en-US"/>
                    </w:rPr>
                    <w:t>0.001158</w:t>
                  </w:r>
                </w:p>
              </w:tc>
              <w:tc>
                <w:tcPr>
                  <w:tcW w:w="1580" w:type="dxa"/>
                  <w:tcBorders>
                    <w:top w:val="single" w:color="000000" w:sz="6" w:space="0"/>
                    <w:left w:val="single" w:color="000000" w:sz="6" w:space="0"/>
                    <w:bottom w:val="single" w:color="000000" w:sz="6" w:space="0"/>
                    <w:right w:val="nil"/>
                  </w:tcBorders>
                  <w:noWrap w:val="0"/>
                  <w:vAlign w:val="bottom"/>
                </w:tcPr>
                <w:p>
                  <w:pPr>
                    <w:snapToGrid w:val="0"/>
                    <w:jc w:val="center"/>
                    <w:rPr>
                      <w:kern w:val="0"/>
                      <w:szCs w:val="21"/>
                      <w:lang w:eastAsia="en-US"/>
                    </w:rPr>
                  </w:pPr>
                  <w:r>
                    <w:rPr>
                      <w:kern w:val="0"/>
                      <w:szCs w:val="21"/>
                    </w:rPr>
                    <w:t>+</w:t>
                  </w:r>
                  <w:r>
                    <w:rPr>
                      <w:kern w:val="0"/>
                      <w:szCs w:val="21"/>
                      <w:lang w:eastAsia="en-US"/>
                    </w:rPr>
                    <w:t>0.000227</w:t>
                  </w:r>
                </w:p>
              </w:tc>
            </w:tr>
            <w:tr>
              <w:tblPrEx>
                <w:tblCellMar>
                  <w:top w:w="0" w:type="dxa"/>
                  <w:left w:w="0" w:type="dxa"/>
                  <w:bottom w:w="0" w:type="dxa"/>
                  <w:right w:w="0" w:type="dxa"/>
                </w:tblCellMar>
              </w:tblPrEx>
              <w:trPr>
                <w:trHeight w:val="336" w:hRule="exact"/>
              </w:trPr>
              <w:tc>
                <w:tcPr>
                  <w:tcW w:w="816" w:type="dxa"/>
                  <w:vMerge w:val="continue"/>
                  <w:tcBorders>
                    <w:left w:val="nil"/>
                    <w:bottom w:val="single" w:color="000000" w:sz="12" w:space="0"/>
                    <w:right w:val="single" w:color="000000" w:sz="6" w:space="0"/>
                  </w:tcBorders>
                  <w:noWrap w:val="0"/>
                  <w:vAlign w:val="center"/>
                </w:tcPr>
                <w:p>
                  <w:pPr>
                    <w:jc w:val="center"/>
                    <w:rPr>
                      <w:szCs w:val="21"/>
                    </w:rPr>
                  </w:pPr>
                </w:p>
              </w:tc>
              <w:tc>
                <w:tcPr>
                  <w:tcW w:w="1251" w:type="dxa"/>
                  <w:tcBorders>
                    <w:top w:val="single" w:color="000000" w:sz="6" w:space="0"/>
                    <w:left w:val="single" w:color="000000" w:sz="6" w:space="0"/>
                    <w:bottom w:val="single" w:color="000000" w:sz="12" w:space="0"/>
                    <w:right w:val="single" w:color="000000" w:sz="6" w:space="0"/>
                  </w:tcBorders>
                  <w:noWrap w:val="0"/>
                  <w:vAlign w:val="center"/>
                </w:tcPr>
                <w:p>
                  <w:pPr>
                    <w:snapToGrid w:val="0"/>
                    <w:jc w:val="center"/>
                    <w:rPr>
                      <w:kern w:val="0"/>
                      <w:szCs w:val="21"/>
                      <w:lang w:eastAsia="en-US"/>
                    </w:rPr>
                  </w:pPr>
                  <w:r>
                    <w:rPr>
                      <w:kern w:val="0"/>
                      <w:position w:val="2"/>
                      <w:szCs w:val="21"/>
                      <w:lang w:eastAsia="en-US"/>
                    </w:rPr>
                    <w:t>H</w:t>
                  </w:r>
                  <w:r>
                    <w:rPr>
                      <w:kern w:val="0"/>
                      <w:position w:val="2"/>
                      <w:szCs w:val="21"/>
                      <w:vertAlign w:val="subscript"/>
                    </w:rPr>
                    <w:t>2</w:t>
                  </w:r>
                  <w:r>
                    <w:rPr>
                      <w:kern w:val="0"/>
                      <w:position w:val="2"/>
                      <w:szCs w:val="21"/>
                      <w:lang w:eastAsia="en-US"/>
                    </w:rPr>
                    <w:t>S</w:t>
                  </w:r>
                </w:p>
              </w:tc>
              <w:tc>
                <w:tcPr>
                  <w:tcW w:w="982" w:type="dxa"/>
                  <w:tcBorders>
                    <w:top w:val="single" w:color="000000" w:sz="6" w:space="0"/>
                    <w:left w:val="single" w:color="000000" w:sz="6" w:space="0"/>
                    <w:bottom w:val="single" w:color="000000" w:sz="12" w:space="0"/>
                    <w:right w:val="single" w:color="000000" w:sz="6" w:space="0"/>
                  </w:tcBorders>
                  <w:noWrap w:val="0"/>
                  <w:vAlign w:val="center"/>
                </w:tcPr>
                <w:p>
                  <w:pPr>
                    <w:snapToGrid w:val="0"/>
                    <w:jc w:val="center"/>
                    <w:rPr>
                      <w:kern w:val="0"/>
                      <w:szCs w:val="21"/>
                      <w:lang w:eastAsia="en-US"/>
                    </w:rPr>
                  </w:pPr>
                  <w:r>
                    <w:rPr>
                      <w:kern w:val="0"/>
                      <w:szCs w:val="21"/>
                    </w:rPr>
                    <w:t>0.008118</w:t>
                  </w:r>
                </w:p>
              </w:tc>
              <w:tc>
                <w:tcPr>
                  <w:tcW w:w="1320" w:type="dxa"/>
                  <w:tcBorders>
                    <w:top w:val="single" w:color="000000" w:sz="6" w:space="0"/>
                    <w:left w:val="single" w:color="000000" w:sz="6" w:space="0"/>
                    <w:bottom w:val="single" w:color="000000" w:sz="12" w:space="0"/>
                    <w:right w:val="single" w:color="000000" w:sz="6" w:space="0"/>
                  </w:tcBorders>
                  <w:noWrap w:val="0"/>
                  <w:vAlign w:val="bottom"/>
                </w:tcPr>
                <w:p>
                  <w:pPr>
                    <w:snapToGrid w:val="0"/>
                    <w:jc w:val="center"/>
                    <w:rPr>
                      <w:kern w:val="0"/>
                      <w:szCs w:val="21"/>
                      <w:lang w:eastAsia="en-US"/>
                    </w:rPr>
                  </w:pPr>
                  <w:r>
                    <w:rPr>
                      <w:snapToGrid w:val="0"/>
                      <w:kern w:val="21"/>
                      <w:szCs w:val="21"/>
                    </w:rPr>
                    <w:t>0.001702</w:t>
                  </w:r>
                </w:p>
              </w:tc>
              <w:tc>
                <w:tcPr>
                  <w:tcW w:w="1320" w:type="dxa"/>
                  <w:tcBorders>
                    <w:top w:val="single" w:color="000000" w:sz="6" w:space="0"/>
                    <w:left w:val="single" w:color="000000" w:sz="6" w:space="0"/>
                    <w:bottom w:val="single" w:color="000000" w:sz="12" w:space="0"/>
                    <w:right w:val="single" w:color="000000" w:sz="6" w:space="0"/>
                  </w:tcBorders>
                  <w:noWrap w:val="0"/>
                  <w:vAlign w:val="center"/>
                </w:tcPr>
                <w:p>
                  <w:pPr>
                    <w:snapToGrid w:val="0"/>
                    <w:jc w:val="center"/>
                    <w:rPr>
                      <w:kern w:val="0"/>
                      <w:szCs w:val="21"/>
                      <w:lang w:eastAsia="en-US"/>
                    </w:rPr>
                  </w:pPr>
                  <w:r>
                    <w:rPr>
                      <w:snapToGrid w:val="0"/>
                      <w:kern w:val="21"/>
                      <w:szCs w:val="21"/>
                    </w:rPr>
                    <w:t>0.0003</w:t>
                  </w:r>
                </w:p>
              </w:tc>
              <w:tc>
                <w:tcPr>
                  <w:tcW w:w="1159" w:type="dxa"/>
                  <w:tcBorders>
                    <w:top w:val="single" w:color="000000" w:sz="6" w:space="0"/>
                    <w:left w:val="single" w:color="000000" w:sz="6" w:space="0"/>
                    <w:bottom w:val="single" w:color="000000" w:sz="12" w:space="0"/>
                    <w:right w:val="single" w:color="000000" w:sz="6" w:space="0"/>
                  </w:tcBorders>
                  <w:noWrap w:val="0"/>
                  <w:vAlign w:val="bottom"/>
                </w:tcPr>
                <w:p>
                  <w:pPr>
                    <w:snapToGrid w:val="0"/>
                    <w:jc w:val="center"/>
                    <w:rPr>
                      <w:kern w:val="0"/>
                      <w:szCs w:val="21"/>
                      <w:lang w:eastAsia="en-US"/>
                    </w:rPr>
                  </w:pPr>
                  <w:r>
                    <w:rPr>
                      <w:kern w:val="0"/>
                      <w:szCs w:val="21"/>
                      <w:lang w:eastAsia="en-US"/>
                    </w:rPr>
                    <w:t>0.00952</w:t>
                  </w:r>
                </w:p>
              </w:tc>
              <w:tc>
                <w:tcPr>
                  <w:tcW w:w="1580" w:type="dxa"/>
                  <w:tcBorders>
                    <w:top w:val="single" w:color="000000" w:sz="6" w:space="0"/>
                    <w:left w:val="single" w:color="000000" w:sz="6" w:space="0"/>
                    <w:bottom w:val="single" w:color="000000" w:sz="12" w:space="0"/>
                    <w:right w:val="nil"/>
                  </w:tcBorders>
                  <w:noWrap w:val="0"/>
                  <w:vAlign w:val="bottom"/>
                </w:tcPr>
                <w:p>
                  <w:pPr>
                    <w:snapToGrid w:val="0"/>
                    <w:jc w:val="center"/>
                    <w:rPr>
                      <w:kern w:val="0"/>
                      <w:szCs w:val="21"/>
                      <w:lang w:eastAsia="en-US"/>
                    </w:rPr>
                  </w:pPr>
                  <w:r>
                    <w:rPr>
                      <w:kern w:val="0"/>
                      <w:szCs w:val="21"/>
                    </w:rPr>
                    <w:t>+</w:t>
                  </w:r>
                  <w:r>
                    <w:rPr>
                      <w:kern w:val="0"/>
                      <w:szCs w:val="21"/>
                      <w:lang w:eastAsia="en-US"/>
                    </w:rPr>
                    <w:t>0.001402</w:t>
                  </w:r>
                </w:p>
              </w:tc>
            </w:tr>
          </w:tbl>
          <w:p>
            <w:pPr>
              <w:spacing w:line="360" w:lineRule="auto"/>
              <w:rPr>
                <w:b/>
                <w:bCs/>
                <w:sz w:val="24"/>
              </w:rPr>
            </w:pPr>
            <w:r>
              <w:rPr>
                <w:b/>
                <w:bCs/>
                <w:sz w:val="24"/>
              </w:rPr>
              <w:t>八、环保投资</w:t>
            </w:r>
          </w:p>
          <w:p>
            <w:pPr>
              <w:spacing w:line="360" w:lineRule="auto"/>
              <w:ind w:firstLine="480" w:firstLineChars="200"/>
              <w:rPr>
                <w:sz w:val="24"/>
              </w:rPr>
            </w:pPr>
            <w:r>
              <w:rPr>
                <w:sz w:val="24"/>
              </w:rPr>
              <w:t>本建设项目环保投资为32.4万元，占项目总投资500万元的6.48%。具体环保治理措施及投资清单详见下表。</w:t>
            </w:r>
          </w:p>
          <w:p>
            <w:pPr>
              <w:adjustRightInd w:val="0"/>
              <w:jc w:val="center"/>
              <w:textAlignment w:val="baseline"/>
              <w:rPr>
                <w:rFonts w:eastAsia="黑体"/>
                <w:sz w:val="24"/>
                <w:szCs w:val="20"/>
              </w:rPr>
            </w:pPr>
            <w:r>
              <w:rPr>
                <w:rFonts w:eastAsia="黑体"/>
                <w:sz w:val="24"/>
                <w:szCs w:val="20"/>
              </w:rPr>
              <w:t>表4-19    污染防治措施及投资估算表</w:t>
            </w:r>
          </w:p>
          <w:tbl>
            <w:tblPr>
              <w:tblStyle w:val="32"/>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661"/>
              <w:gridCol w:w="1318"/>
              <w:gridCol w:w="4933"/>
              <w:gridCol w:w="864"/>
              <w:gridCol w:w="662"/>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blHeader/>
                <w:jc w:val="center"/>
              </w:trPr>
              <w:tc>
                <w:tcPr>
                  <w:tcW w:w="392" w:type="pct"/>
                  <w:shd w:val="clear" w:color="auto" w:fill="CCFFFF"/>
                  <w:noWrap w:val="0"/>
                  <w:vAlign w:val="center"/>
                </w:tcPr>
                <w:p>
                  <w:pPr>
                    <w:widowControl/>
                    <w:jc w:val="center"/>
                    <w:rPr>
                      <w:b/>
                      <w:kern w:val="21"/>
                      <w:szCs w:val="21"/>
                    </w:rPr>
                  </w:pPr>
                  <w:r>
                    <w:rPr>
                      <w:b/>
                      <w:kern w:val="21"/>
                      <w:szCs w:val="21"/>
                    </w:rPr>
                    <w:t>序号</w:t>
                  </w:r>
                </w:p>
              </w:tc>
              <w:tc>
                <w:tcPr>
                  <w:tcW w:w="781" w:type="pct"/>
                  <w:shd w:val="clear" w:color="auto" w:fill="CCFFFF"/>
                  <w:noWrap w:val="0"/>
                  <w:vAlign w:val="center"/>
                </w:tcPr>
                <w:p>
                  <w:pPr>
                    <w:widowControl/>
                    <w:jc w:val="center"/>
                    <w:rPr>
                      <w:b/>
                      <w:kern w:val="21"/>
                      <w:szCs w:val="21"/>
                    </w:rPr>
                  </w:pPr>
                  <w:r>
                    <w:rPr>
                      <w:b/>
                      <w:kern w:val="21"/>
                      <w:szCs w:val="21"/>
                    </w:rPr>
                    <w:t>项  目</w:t>
                  </w:r>
                </w:p>
              </w:tc>
              <w:tc>
                <w:tcPr>
                  <w:tcW w:w="2923" w:type="pct"/>
                  <w:shd w:val="clear" w:color="auto" w:fill="CCFFFF"/>
                  <w:noWrap w:val="0"/>
                  <w:vAlign w:val="center"/>
                </w:tcPr>
                <w:p>
                  <w:pPr>
                    <w:widowControl/>
                    <w:jc w:val="center"/>
                    <w:rPr>
                      <w:b/>
                      <w:kern w:val="21"/>
                      <w:szCs w:val="21"/>
                    </w:rPr>
                  </w:pPr>
                  <w:r>
                    <w:rPr>
                      <w:b/>
                      <w:kern w:val="21"/>
                      <w:szCs w:val="21"/>
                    </w:rPr>
                    <w:t>内    容</w:t>
                  </w:r>
                </w:p>
              </w:tc>
              <w:tc>
                <w:tcPr>
                  <w:tcW w:w="512" w:type="pct"/>
                  <w:shd w:val="clear" w:color="auto" w:fill="CCFFFF"/>
                  <w:noWrap w:val="0"/>
                  <w:vAlign w:val="center"/>
                </w:tcPr>
                <w:p>
                  <w:pPr>
                    <w:widowControl/>
                    <w:jc w:val="center"/>
                    <w:rPr>
                      <w:b/>
                      <w:kern w:val="21"/>
                      <w:szCs w:val="21"/>
                    </w:rPr>
                  </w:pPr>
                  <w:r>
                    <w:rPr>
                      <w:b/>
                      <w:kern w:val="21"/>
                      <w:szCs w:val="21"/>
                    </w:rPr>
                    <w:t>投资</w:t>
                  </w:r>
                </w:p>
              </w:tc>
              <w:tc>
                <w:tcPr>
                  <w:tcW w:w="392" w:type="pct"/>
                  <w:shd w:val="clear" w:color="auto" w:fill="CCFFFF"/>
                  <w:noWrap w:val="0"/>
                  <w:vAlign w:val="center"/>
                </w:tcPr>
                <w:p>
                  <w:pPr>
                    <w:widowControl/>
                    <w:jc w:val="center"/>
                    <w:rPr>
                      <w:b/>
                      <w:kern w:val="21"/>
                      <w:szCs w:val="21"/>
                    </w:rPr>
                  </w:pPr>
                  <w:r>
                    <w:rPr>
                      <w:b/>
                      <w:kern w:val="21"/>
                      <w:szCs w:val="21"/>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2" w:type="pct"/>
                  <w:vMerge w:val="restart"/>
                  <w:noWrap w:val="0"/>
                  <w:vAlign w:val="center"/>
                </w:tcPr>
                <w:p>
                  <w:pPr>
                    <w:widowControl/>
                    <w:jc w:val="center"/>
                    <w:rPr>
                      <w:kern w:val="21"/>
                      <w:szCs w:val="21"/>
                    </w:rPr>
                  </w:pPr>
                  <w:r>
                    <w:rPr>
                      <w:kern w:val="21"/>
                      <w:szCs w:val="21"/>
                    </w:rPr>
                    <w:t>施工期</w:t>
                  </w:r>
                </w:p>
              </w:tc>
              <w:tc>
                <w:tcPr>
                  <w:tcW w:w="781" w:type="pct"/>
                  <w:noWrap w:val="0"/>
                  <w:vAlign w:val="center"/>
                </w:tcPr>
                <w:p>
                  <w:pPr>
                    <w:widowControl/>
                    <w:jc w:val="center"/>
                    <w:rPr>
                      <w:kern w:val="21"/>
                      <w:szCs w:val="21"/>
                    </w:rPr>
                  </w:pPr>
                  <w:r>
                    <w:rPr>
                      <w:kern w:val="21"/>
                      <w:szCs w:val="21"/>
                    </w:rPr>
                    <w:t>扬尘防治</w:t>
                  </w:r>
                </w:p>
              </w:tc>
              <w:tc>
                <w:tcPr>
                  <w:tcW w:w="2923" w:type="pct"/>
                  <w:noWrap w:val="0"/>
                  <w:vAlign w:val="center"/>
                </w:tcPr>
                <w:p>
                  <w:pPr>
                    <w:widowControl/>
                    <w:jc w:val="center"/>
                    <w:rPr>
                      <w:kern w:val="21"/>
                      <w:szCs w:val="21"/>
                    </w:rPr>
                  </w:pPr>
                  <w:r>
                    <w:rPr>
                      <w:kern w:val="21"/>
                      <w:szCs w:val="21"/>
                    </w:rPr>
                    <w:t>洒水降尘、及时清扫路面尘土、材料遮盖、施工围挡等</w:t>
                  </w:r>
                </w:p>
              </w:tc>
              <w:tc>
                <w:tcPr>
                  <w:tcW w:w="512" w:type="pct"/>
                  <w:noWrap w:val="0"/>
                  <w:vAlign w:val="center"/>
                </w:tcPr>
                <w:p>
                  <w:pPr>
                    <w:widowControl/>
                    <w:jc w:val="center"/>
                    <w:rPr>
                      <w:kern w:val="21"/>
                      <w:szCs w:val="21"/>
                    </w:rPr>
                  </w:pPr>
                  <w:r>
                    <w:rPr>
                      <w:kern w:val="21"/>
                      <w:szCs w:val="21"/>
                    </w:rPr>
                    <w:t>0.8</w:t>
                  </w:r>
                </w:p>
              </w:tc>
              <w:tc>
                <w:tcPr>
                  <w:tcW w:w="392" w:type="pct"/>
                  <w:noWrap w:val="0"/>
                  <w:vAlign w:val="center"/>
                </w:tcPr>
                <w:p>
                  <w:pPr>
                    <w:widowControl/>
                    <w:jc w:val="center"/>
                    <w:rPr>
                      <w:kern w:val="21"/>
                      <w:szCs w:val="21"/>
                    </w:rPr>
                  </w:pPr>
                  <w:r>
                    <w:rPr>
                      <w:kern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pPr>
                    <w:widowControl/>
                    <w:jc w:val="center"/>
                    <w:rPr>
                      <w:kern w:val="21"/>
                      <w:szCs w:val="21"/>
                    </w:rPr>
                  </w:pPr>
                </w:p>
              </w:tc>
              <w:tc>
                <w:tcPr>
                  <w:tcW w:w="781" w:type="pct"/>
                  <w:noWrap w:val="0"/>
                  <w:vAlign w:val="center"/>
                </w:tcPr>
                <w:p>
                  <w:pPr>
                    <w:widowControl/>
                    <w:jc w:val="center"/>
                    <w:rPr>
                      <w:kern w:val="21"/>
                      <w:szCs w:val="21"/>
                    </w:rPr>
                  </w:pPr>
                  <w:r>
                    <w:rPr>
                      <w:kern w:val="21"/>
                      <w:szCs w:val="21"/>
                    </w:rPr>
                    <w:t>废水防治</w:t>
                  </w:r>
                </w:p>
              </w:tc>
              <w:tc>
                <w:tcPr>
                  <w:tcW w:w="2923" w:type="pct"/>
                  <w:noWrap w:val="0"/>
                  <w:vAlign w:val="center"/>
                </w:tcPr>
                <w:p>
                  <w:pPr>
                    <w:widowControl/>
                    <w:jc w:val="center"/>
                    <w:rPr>
                      <w:kern w:val="21"/>
                      <w:szCs w:val="21"/>
                    </w:rPr>
                  </w:pPr>
                  <w:r>
                    <w:rPr>
                      <w:kern w:val="21"/>
                      <w:szCs w:val="21"/>
                    </w:rPr>
                    <w:t>施工废水经沉淀池沉淀后用于场地降尘等全部回用</w:t>
                  </w:r>
                </w:p>
              </w:tc>
              <w:tc>
                <w:tcPr>
                  <w:tcW w:w="512" w:type="pct"/>
                  <w:noWrap w:val="0"/>
                  <w:vAlign w:val="center"/>
                </w:tcPr>
                <w:p>
                  <w:pPr>
                    <w:widowControl/>
                    <w:jc w:val="center"/>
                    <w:rPr>
                      <w:kern w:val="21"/>
                      <w:szCs w:val="21"/>
                    </w:rPr>
                  </w:pPr>
                  <w:r>
                    <w:rPr>
                      <w:kern w:val="21"/>
                      <w:szCs w:val="21"/>
                    </w:rPr>
                    <w:t>0.4</w:t>
                  </w:r>
                </w:p>
              </w:tc>
              <w:tc>
                <w:tcPr>
                  <w:tcW w:w="392" w:type="pct"/>
                  <w:noWrap w:val="0"/>
                  <w:vAlign w:val="center"/>
                </w:tcPr>
                <w:p>
                  <w:pPr>
                    <w:widowControl/>
                    <w:jc w:val="center"/>
                    <w:rPr>
                      <w:kern w:val="21"/>
                      <w:szCs w:val="21"/>
                    </w:rPr>
                  </w:pPr>
                  <w:r>
                    <w:rPr>
                      <w:kern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pPr>
                    <w:widowControl/>
                    <w:jc w:val="center"/>
                    <w:rPr>
                      <w:kern w:val="21"/>
                      <w:szCs w:val="21"/>
                    </w:rPr>
                  </w:pPr>
                </w:p>
              </w:tc>
              <w:tc>
                <w:tcPr>
                  <w:tcW w:w="781" w:type="pct"/>
                  <w:noWrap w:val="0"/>
                  <w:vAlign w:val="center"/>
                </w:tcPr>
                <w:p>
                  <w:pPr>
                    <w:widowControl/>
                    <w:jc w:val="center"/>
                    <w:rPr>
                      <w:kern w:val="21"/>
                      <w:szCs w:val="21"/>
                    </w:rPr>
                  </w:pPr>
                  <w:r>
                    <w:rPr>
                      <w:kern w:val="21"/>
                      <w:szCs w:val="21"/>
                    </w:rPr>
                    <w:t>噪声防治</w:t>
                  </w:r>
                </w:p>
              </w:tc>
              <w:tc>
                <w:tcPr>
                  <w:tcW w:w="2923" w:type="pct"/>
                  <w:noWrap w:val="0"/>
                  <w:vAlign w:val="center"/>
                </w:tcPr>
                <w:p>
                  <w:pPr>
                    <w:widowControl/>
                    <w:jc w:val="center"/>
                    <w:rPr>
                      <w:kern w:val="21"/>
                      <w:szCs w:val="21"/>
                    </w:rPr>
                  </w:pPr>
                  <w:r>
                    <w:rPr>
                      <w:kern w:val="21"/>
                      <w:szCs w:val="21"/>
                    </w:rPr>
                    <w:t>选取低噪声设备施工，设置临时隔声屏障等</w:t>
                  </w:r>
                </w:p>
              </w:tc>
              <w:tc>
                <w:tcPr>
                  <w:tcW w:w="512" w:type="pct"/>
                  <w:noWrap w:val="0"/>
                  <w:vAlign w:val="center"/>
                </w:tcPr>
                <w:p>
                  <w:pPr>
                    <w:widowControl/>
                    <w:jc w:val="center"/>
                    <w:rPr>
                      <w:kern w:val="21"/>
                      <w:szCs w:val="21"/>
                    </w:rPr>
                  </w:pPr>
                  <w:r>
                    <w:rPr>
                      <w:kern w:val="21"/>
                      <w:szCs w:val="21"/>
                    </w:rPr>
                    <w:t>0.8</w:t>
                  </w:r>
                </w:p>
              </w:tc>
              <w:tc>
                <w:tcPr>
                  <w:tcW w:w="392" w:type="pct"/>
                  <w:noWrap w:val="0"/>
                  <w:vAlign w:val="center"/>
                </w:tcPr>
                <w:p>
                  <w:pPr>
                    <w:widowControl/>
                    <w:jc w:val="center"/>
                    <w:rPr>
                      <w:kern w:val="21"/>
                      <w:szCs w:val="21"/>
                    </w:rPr>
                  </w:pPr>
                  <w:r>
                    <w:rPr>
                      <w:kern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pPr>
                    <w:widowControl/>
                    <w:jc w:val="center"/>
                    <w:rPr>
                      <w:kern w:val="21"/>
                      <w:szCs w:val="21"/>
                    </w:rPr>
                  </w:pPr>
                </w:p>
              </w:tc>
              <w:tc>
                <w:tcPr>
                  <w:tcW w:w="781" w:type="pct"/>
                  <w:noWrap w:val="0"/>
                  <w:vAlign w:val="center"/>
                </w:tcPr>
                <w:p>
                  <w:pPr>
                    <w:widowControl/>
                    <w:jc w:val="center"/>
                    <w:rPr>
                      <w:kern w:val="21"/>
                      <w:szCs w:val="21"/>
                    </w:rPr>
                  </w:pPr>
                  <w:r>
                    <w:rPr>
                      <w:kern w:val="21"/>
                      <w:szCs w:val="21"/>
                    </w:rPr>
                    <w:t>固废处置</w:t>
                  </w:r>
                </w:p>
              </w:tc>
              <w:tc>
                <w:tcPr>
                  <w:tcW w:w="2923" w:type="pct"/>
                  <w:noWrap w:val="0"/>
                  <w:vAlign w:val="center"/>
                </w:tcPr>
                <w:p>
                  <w:pPr>
                    <w:widowControl/>
                    <w:jc w:val="center"/>
                    <w:rPr>
                      <w:kern w:val="21"/>
                      <w:szCs w:val="21"/>
                    </w:rPr>
                  </w:pPr>
                  <w:r>
                    <w:rPr>
                      <w:kern w:val="21"/>
                      <w:szCs w:val="21"/>
                    </w:rPr>
                    <w:t>建渣堆放场所“三防”措施，土石方及时回填，生活垃圾日产日清</w:t>
                  </w:r>
                </w:p>
              </w:tc>
              <w:tc>
                <w:tcPr>
                  <w:tcW w:w="512" w:type="pct"/>
                  <w:noWrap w:val="0"/>
                  <w:vAlign w:val="center"/>
                </w:tcPr>
                <w:p>
                  <w:pPr>
                    <w:widowControl/>
                    <w:jc w:val="center"/>
                    <w:rPr>
                      <w:kern w:val="21"/>
                      <w:szCs w:val="21"/>
                    </w:rPr>
                  </w:pPr>
                  <w:r>
                    <w:rPr>
                      <w:kern w:val="21"/>
                      <w:szCs w:val="21"/>
                    </w:rPr>
                    <w:t>1.0</w:t>
                  </w:r>
                </w:p>
              </w:tc>
              <w:tc>
                <w:tcPr>
                  <w:tcW w:w="392" w:type="pct"/>
                  <w:noWrap w:val="0"/>
                  <w:vAlign w:val="center"/>
                </w:tcPr>
                <w:p>
                  <w:pPr>
                    <w:widowControl/>
                    <w:jc w:val="center"/>
                    <w:rPr>
                      <w:kern w:val="21"/>
                      <w:szCs w:val="21"/>
                    </w:rPr>
                  </w:pPr>
                  <w:r>
                    <w:rPr>
                      <w:kern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pPr>
                    <w:widowControl/>
                    <w:jc w:val="center"/>
                    <w:rPr>
                      <w:kern w:val="21"/>
                      <w:szCs w:val="21"/>
                    </w:rPr>
                  </w:pPr>
                </w:p>
              </w:tc>
              <w:tc>
                <w:tcPr>
                  <w:tcW w:w="781" w:type="pct"/>
                  <w:noWrap w:val="0"/>
                  <w:vAlign w:val="center"/>
                </w:tcPr>
                <w:p>
                  <w:pPr>
                    <w:widowControl/>
                    <w:jc w:val="center"/>
                    <w:rPr>
                      <w:kern w:val="21"/>
                      <w:szCs w:val="21"/>
                    </w:rPr>
                  </w:pPr>
                  <w:r>
                    <w:rPr>
                      <w:kern w:val="21"/>
                      <w:szCs w:val="21"/>
                    </w:rPr>
                    <w:t>水土流失防治</w:t>
                  </w:r>
                </w:p>
              </w:tc>
              <w:tc>
                <w:tcPr>
                  <w:tcW w:w="2923" w:type="pct"/>
                  <w:noWrap w:val="0"/>
                  <w:vAlign w:val="center"/>
                </w:tcPr>
                <w:p>
                  <w:pPr>
                    <w:widowControl/>
                    <w:jc w:val="center"/>
                    <w:rPr>
                      <w:kern w:val="21"/>
                      <w:szCs w:val="21"/>
                    </w:rPr>
                  </w:pPr>
                  <w:r>
                    <w:rPr>
                      <w:kern w:val="21"/>
                      <w:szCs w:val="21"/>
                    </w:rPr>
                    <w:t>挖出土方土工布护栏、临时排水沟</w:t>
                  </w:r>
                </w:p>
              </w:tc>
              <w:tc>
                <w:tcPr>
                  <w:tcW w:w="512" w:type="pct"/>
                  <w:noWrap w:val="0"/>
                  <w:vAlign w:val="center"/>
                </w:tcPr>
                <w:p>
                  <w:pPr>
                    <w:widowControl/>
                    <w:jc w:val="center"/>
                    <w:rPr>
                      <w:kern w:val="21"/>
                      <w:szCs w:val="21"/>
                    </w:rPr>
                  </w:pPr>
                  <w:r>
                    <w:rPr>
                      <w:kern w:val="21"/>
                      <w:szCs w:val="21"/>
                    </w:rPr>
                    <w:t>0.2</w:t>
                  </w:r>
                </w:p>
              </w:tc>
              <w:tc>
                <w:tcPr>
                  <w:tcW w:w="392" w:type="pct"/>
                  <w:noWrap w:val="0"/>
                  <w:vAlign w:val="center"/>
                </w:tcPr>
                <w:p>
                  <w:pPr>
                    <w:widowControl/>
                    <w:jc w:val="center"/>
                    <w:rPr>
                      <w:kern w:val="21"/>
                      <w:szCs w:val="21"/>
                    </w:rPr>
                  </w:pPr>
                  <w:r>
                    <w:rPr>
                      <w:kern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pPr>
                    <w:widowControl/>
                    <w:jc w:val="center"/>
                    <w:rPr>
                      <w:kern w:val="21"/>
                      <w:szCs w:val="21"/>
                    </w:rPr>
                  </w:pPr>
                </w:p>
              </w:tc>
              <w:tc>
                <w:tcPr>
                  <w:tcW w:w="781" w:type="pct"/>
                  <w:noWrap w:val="0"/>
                  <w:vAlign w:val="center"/>
                </w:tcPr>
                <w:p>
                  <w:pPr>
                    <w:widowControl/>
                    <w:jc w:val="center"/>
                    <w:rPr>
                      <w:kern w:val="21"/>
                      <w:szCs w:val="21"/>
                    </w:rPr>
                  </w:pPr>
                  <w:r>
                    <w:rPr>
                      <w:kern w:val="21"/>
                      <w:szCs w:val="21"/>
                    </w:rPr>
                    <w:t>环境监理</w:t>
                  </w:r>
                </w:p>
              </w:tc>
              <w:tc>
                <w:tcPr>
                  <w:tcW w:w="2923" w:type="pct"/>
                  <w:noWrap w:val="0"/>
                  <w:vAlign w:val="center"/>
                </w:tcPr>
                <w:p>
                  <w:pPr>
                    <w:widowControl/>
                    <w:jc w:val="center"/>
                    <w:rPr>
                      <w:kern w:val="21"/>
                      <w:szCs w:val="21"/>
                    </w:rPr>
                  </w:pPr>
                  <w:r>
                    <w:rPr>
                      <w:kern w:val="21"/>
                      <w:szCs w:val="21"/>
                    </w:rPr>
                    <w:t>施工期环保措施执行、落实情况</w:t>
                  </w:r>
                </w:p>
              </w:tc>
              <w:tc>
                <w:tcPr>
                  <w:tcW w:w="512" w:type="pct"/>
                  <w:noWrap w:val="0"/>
                  <w:vAlign w:val="center"/>
                </w:tcPr>
                <w:p>
                  <w:pPr>
                    <w:widowControl/>
                    <w:jc w:val="center"/>
                    <w:rPr>
                      <w:kern w:val="21"/>
                      <w:szCs w:val="21"/>
                    </w:rPr>
                  </w:pPr>
                  <w:r>
                    <w:rPr>
                      <w:kern w:val="21"/>
                      <w:szCs w:val="21"/>
                    </w:rPr>
                    <w:t>1.0</w:t>
                  </w:r>
                </w:p>
              </w:tc>
              <w:tc>
                <w:tcPr>
                  <w:tcW w:w="392" w:type="pct"/>
                  <w:noWrap w:val="0"/>
                  <w:vAlign w:val="center"/>
                </w:tcPr>
                <w:p>
                  <w:pPr>
                    <w:widowControl/>
                    <w:jc w:val="center"/>
                    <w:rPr>
                      <w:kern w:val="21"/>
                      <w:szCs w:val="21"/>
                    </w:rPr>
                  </w:pPr>
                  <w:r>
                    <w:rPr>
                      <w:kern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2" w:type="pct"/>
                  <w:vMerge w:val="restart"/>
                  <w:noWrap w:val="0"/>
                  <w:vAlign w:val="center"/>
                </w:tcPr>
                <w:p>
                  <w:pPr>
                    <w:widowControl/>
                    <w:jc w:val="center"/>
                    <w:rPr>
                      <w:kern w:val="21"/>
                      <w:szCs w:val="21"/>
                    </w:rPr>
                  </w:pPr>
                  <w:r>
                    <w:rPr>
                      <w:kern w:val="21"/>
                      <w:szCs w:val="21"/>
                    </w:rPr>
                    <w:t>营运期</w:t>
                  </w:r>
                </w:p>
              </w:tc>
              <w:tc>
                <w:tcPr>
                  <w:tcW w:w="781" w:type="pct"/>
                  <w:vMerge w:val="restart"/>
                  <w:noWrap w:val="0"/>
                  <w:vAlign w:val="center"/>
                </w:tcPr>
                <w:p>
                  <w:pPr>
                    <w:widowControl/>
                    <w:jc w:val="center"/>
                    <w:rPr>
                      <w:kern w:val="21"/>
                      <w:szCs w:val="21"/>
                    </w:rPr>
                  </w:pPr>
                  <w:r>
                    <w:rPr>
                      <w:kern w:val="21"/>
                      <w:szCs w:val="21"/>
                    </w:rPr>
                    <w:t>废水</w:t>
                  </w:r>
                </w:p>
                <w:p>
                  <w:pPr>
                    <w:widowControl/>
                    <w:jc w:val="center"/>
                    <w:rPr>
                      <w:kern w:val="21"/>
                      <w:szCs w:val="21"/>
                    </w:rPr>
                  </w:pPr>
                  <w:r>
                    <w:rPr>
                      <w:kern w:val="21"/>
                      <w:szCs w:val="21"/>
                    </w:rPr>
                    <w:t>治理措施</w:t>
                  </w:r>
                </w:p>
              </w:tc>
              <w:tc>
                <w:tcPr>
                  <w:tcW w:w="2923" w:type="pct"/>
                  <w:noWrap w:val="0"/>
                  <w:vAlign w:val="center"/>
                </w:tcPr>
                <w:p>
                  <w:pPr>
                    <w:widowControl/>
                    <w:jc w:val="center"/>
                    <w:rPr>
                      <w:kern w:val="21"/>
                      <w:szCs w:val="21"/>
                    </w:rPr>
                  </w:pPr>
                  <w:r>
                    <w:rPr>
                      <w:kern w:val="21"/>
                      <w:szCs w:val="21"/>
                    </w:rPr>
                    <w:t>生产废水与厂区内生活污水排入项目污水处理厂处理</w:t>
                  </w:r>
                </w:p>
              </w:tc>
              <w:tc>
                <w:tcPr>
                  <w:tcW w:w="512" w:type="pct"/>
                  <w:noWrap w:val="0"/>
                  <w:vAlign w:val="center"/>
                </w:tcPr>
                <w:p>
                  <w:pPr>
                    <w:widowControl/>
                    <w:jc w:val="center"/>
                    <w:rPr>
                      <w:kern w:val="21"/>
                      <w:szCs w:val="21"/>
                    </w:rPr>
                  </w:pPr>
                  <w:r>
                    <w:rPr>
                      <w:kern w:val="21"/>
                      <w:szCs w:val="21"/>
                    </w:rPr>
                    <w:t>/</w:t>
                  </w:r>
                </w:p>
              </w:tc>
              <w:tc>
                <w:tcPr>
                  <w:tcW w:w="392" w:type="pct"/>
                  <w:noWrap w:val="0"/>
                  <w:vAlign w:val="center"/>
                </w:tcPr>
                <w:p>
                  <w:pPr>
                    <w:widowControl/>
                    <w:jc w:val="center"/>
                    <w:rPr>
                      <w:kern w:val="21"/>
                      <w:szCs w:val="21"/>
                    </w:rPr>
                  </w:pPr>
                  <w:r>
                    <w:rPr>
                      <w:kern w:val="21"/>
                      <w:szCs w:val="21"/>
                    </w:rPr>
                    <w:t>计入工程投资</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pPr>
                    <w:widowControl/>
                    <w:jc w:val="center"/>
                    <w:rPr>
                      <w:kern w:val="21"/>
                      <w:szCs w:val="21"/>
                    </w:rPr>
                  </w:pPr>
                </w:p>
              </w:tc>
              <w:tc>
                <w:tcPr>
                  <w:tcW w:w="781" w:type="pct"/>
                  <w:vMerge w:val="continue"/>
                  <w:noWrap w:val="0"/>
                  <w:vAlign w:val="center"/>
                </w:tcPr>
                <w:p>
                  <w:pPr>
                    <w:widowControl/>
                    <w:jc w:val="center"/>
                    <w:rPr>
                      <w:kern w:val="21"/>
                      <w:szCs w:val="21"/>
                    </w:rPr>
                  </w:pPr>
                </w:p>
              </w:tc>
              <w:tc>
                <w:tcPr>
                  <w:tcW w:w="2923" w:type="pct"/>
                  <w:noWrap w:val="0"/>
                  <w:vAlign w:val="center"/>
                </w:tcPr>
                <w:p>
                  <w:pPr>
                    <w:widowControl/>
                    <w:jc w:val="center"/>
                    <w:rPr>
                      <w:kern w:val="21"/>
                      <w:szCs w:val="21"/>
                    </w:rPr>
                  </w:pPr>
                  <w:r>
                    <w:rPr>
                      <w:kern w:val="21"/>
                      <w:szCs w:val="21"/>
                    </w:rPr>
                    <w:t>规范废水排口建设，包括排污井、标志牌、在线监测装置等</w:t>
                  </w:r>
                </w:p>
              </w:tc>
              <w:tc>
                <w:tcPr>
                  <w:tcW w:w="512" w:type="pct"/>
                  <w:noWrap w:val="0"/>
                  <w:vAlign w:val="center"/>
                </w:tcPr>
                <w:p>
                  <w:pPr>
                    <w:widowControl/>
                    <w:jc w:val="center"/>
                    <w:rPr>
                      <w:kern w:val="21"/>
                      <w:szCs w:val="21"/>
                    </w:rPr>
                  </w:pPr>
                  <w:r>
                    <w:rPr>
                      <w:kern w:val="21"/>
                      <w:szCs w:val="21"/>
                    </w:rPr>
                    <w:t>依托现有</w:t>
                  </w:r>
                </w:p>
              </w:tc>
              <w:tc>
                <w:tcPr>
                  <w:tcW w:w="392" w:type="pct"/>
                  <w:noWrap w:val="0"/>
                  <w:vAlign w:val="center"/>
                </w:tcPr>
                <w:p>
                  <w:pPr>
                    <w:widowControl/>
                    <w:jc w:val="center"/>
                    <w:rPr>
                      <w:kern w:val="21"/>
                      <w:szCs w:val="21"/>
                    </w:rPr>
                  </w:pPr>
                  <w:r>
                    <w:rPr>
                      <w:kern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pPr>
                    <w:widowControl/>
                    <w:jc w:val="center"/>
                    <w:rPr>
                      <w:kern w:val="21"/>
                      <w:szCs w:val="21"/>
                    </w:rPr>
                  </w:pPr>
                </w:p>
              </w:tc>
              <w:tc>
                <w:tcPr>
                  <w:tcW w:w="781" w:type="pct"/>
                  <w:noWrap w:val="0"/>
                  <w:vAlign w:val="center"/>
                </w:tcPr>
                <w:p>
                  <w:pPr>
                    <w:widowControl/>
                    <w:jc w:val="center"/>
                    <w:rPr>
                      <w:kern w:val="21"/>
                      <w:szCs w:val="21"/>
                    </w:rPr>
                  </w:pPr>
                  <w:r>
                    <w:rPr>
                      <w:kern w:val="21"/>
                      <w:szCs w:val="21"/>
                    </w:rPr>
                    <w:t>废气治理措施</w:t>
                  </w:r>
                </w:p>
              </w:tc>
              <w:tc>
                <w:tcPr>
                  <w:tcW w:w="2923" w:type="pct"/>
                  <w:noWrap w:val="0"/>
                  <w:vAlign w:val="center"/>
                </w:tcPr>
                <w:p>
                  <w:pPr>
                    <w:widowControl/>
                    <w:jc w:val="center"/>
                    <w:rPr>
                      <w:kern w:val="21"/>
                      <w:szCs w:val="21"/>
                    </w:rPr>
                  </w:pPr>
                  <w:r>
                    <w:rPr>
                      <w:kern w:val="21"/>
                      <w:szCs w:val="21"/>
                    </w:rPr>
                    <w:t>密闭产生恶臭的区域，采用机械抽风、自然补风的方式收集恶臭污染物；恶臭污染物经喷淋塔（碱液）除臭系统处理达标后经15m高排气筒排放；</w:t>
                  </w:r>
                </w:p>
              </w:tc>
              <w:tc>
                <w:tcPr>
                  <w:tcW w:w="512" w:type="pct"/>
                  <w:noWrap w:val="0"/>
                  <w:vAlign w:val="center"/>
                </w:tcPr>
                <w:p>
                  <w:pPr>
                    <w:widowControl/>
                    <w:jc w:val="center"/>
                    <w:rPr>
                      <w:kern w:val="21"/>
                      <w:szCs w:val="21"/>
                    </w:rPr>
                  </w:pPr>
                  <w:r>
                    <w:rPr>
                      <w:kern w:val="21"/>
                      <w:szCs w:val="21"/>
                    </w:rPr>
                    <w:t>10.0</w:t>
                  </w:r>
                </w:p>
              </w:tc>
              <w:tc>
                <w:tcPr>
                  <w:tcW w:w="392" w:type="pct"/>
                  <w:noWrap w:val="0"/>
                  <w:vAlign w:val="center"/>
                </w:tcPr>
                <w:p>
                  <w:pPr>
                    <w:widowControl/>
                    <w:jc w:val="center"/>
                    <w:rPr>
                      <w:kern w:val="21"/>
                      <w:szCs w:val="21"/>
                    </w:rPr>
                  </w:pPr>
                  <w:r>
                    <w:rPr>
                      <w:kern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pPr>
                    <w:widowControl/>
                    <w:jc w:val="center"/>
                    <w:rPr>
                      <w:kern w:val="21"/>
                      <w:szCs w:val="21"/>
                    </w:rPr>
                  </w:pPr>
                </w:p>
              </w:tc>
              <w:tc>
                <w:tcPr>
                  <w:tcW w:w="781" w:type="pct"/>
                  <w:noWrap w:val="0"/>
                  <w:vAlign w:val="center"/>
                </w:tcPr>
                <w:p>
                  <w:pPr>
                    <w:widowControl/>
                    <w:jc w:val="center"/>
                    <w:rPr>
                      <w:kern w:val="21"/>
                      <w:szCs w:val="21"/>
                    </w:rPr>
                  </w:pPr>
                  <w:r>
                    <w:rPr>
                      <w:kern w:val="21"/>
                      <w:szCs w:val="21"/>
                    </w:rPr>
                    <w:t>噪声治理</w:t>
                  </w:r>
                </w:p>
              </w:tc>
              <w:tc>
                <w:tcPr>
                  <w:tcW w:w="2923" w:type="pct"/>
                  <w:noWrap w:val="0"/>
                  <w:vAlign w:val="center"/>
                </w:tcPr>
                <w:p>
                  <w:pPr>
                    <w:widowControl/>
                    <w:jc w:val="center"/>
                    <w:rPr>
                      <w:kern w:val="21"/>
                      <w:szCs w:val="21"/>
                    </w:rPr>
                  </w:pPr>
                  <w:r>
                    <w:rPr>
                      <w:kern w:val="21"/>
                      <w:szCs w:val="21"/>
                    </w:rPr>
                    <w:t>选用低噪声设备，高噪声设备采取隔声、消声、吸声、基础减震处理等措施</w:t>
                  </w:r>
                </w:p>
              </w:tc>
              <w:tc>
                <w:tcPr>
                  <w:tcW w:w="512" w:type="pct"/>
                  <w:noWrap w:val="0"/>
                  <w:vAlign w:val="center"/>
                </w:tcPr>
                <w:p>
                  <w:pPr>
                    <w:widowControl/>
                    <w:jc w:val="center"/>
                    <w:rPr>
                      <w:kern w:val="21"/>
                      <w:szCs w:val="21"/>
                    </w:rPr>
                  </w:pPr>
                  <w:r>
                    <w:rPr>
                      <w:kern w:val="21"/>
                      <w:szCs w:val="21"/>
                    </w:rPr>
                    <w:t>2.0</w:t>
                  </w:r>
                </w:p>
              </w:tc>
              <w:tc>
                <w:tcPr>
                  <w:tcW w:w="392" w:type="pct"/>
                  <w:noWrap w:val="0"/>
                  <w:vAlign w:val="center"/>
                </w:tcPr>
                <w:p>
                  <w:pPr>
                    <w:widowControl/>
                    <w:jc w:val="center"/>
                    <w:rPr>
                      <w:kern w:val="21"/>
                      <w:szCs w:val="21"/>
                    </w:rPr>
                  </w:pPr>
                  <w:r>
                    <w:rPr>
                      <w:kern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2" w:hRule="atLeast"/>
                <w:jc w:val="center"/>
              </w:trPr>
              <w:tc>
                <w:tcPr>
                  <w:tcW w:w="392" w:type="pct"/>
                  <w:vMerge w:val="continue"/>
                  <w:noWrap w:val="0"/>
                  <w:vAlign w:val="center"/>
                </w:tcPr>
                <w:p>
                  <w:pPr>
                    <w:widowControl/>
                    <w:jc w:val="center"/>
                    <w:rPr>
                      <w:kern w:val="21"/>
                      <w:szCs w:val="21"/>
                    </w:rPr>
                  </w:pPr>
                </w:p>
              </w:tc>
              <w:tc>
                <w:tcPr>
                  <w:tcW w:w="781" w:type="pct"/>
                  <w:vMerge w:val="restart"/>
                  <w:noWrap w:val="0"/>
                  <w:vAlign w:val="center"/>
                </w:tcPr>
                <w:p>
                  <w:pPr>
                    <w:widowControl/>
                    <w:jc w:val="center"/>
                    <w:rPr>
                      <w:kern w:val="21"/>
                      <w:szCs w:val="21"/>
                    </w:rPr>
                  </w:pPr>
                  <w:r>
                    <w:rPr>
                      <w:kern w:val="21"/>
                      <w:szCs w:val="21"/>
                    </w:rPr>
                    <w:t>固体废物</w:t>
                  </w:r>
                </w:p>
                <w:p>
                  <w:pPr>
                    <w:widowControl/>
                    <w:jc w:val="center"/>
                    <w:rPr>
                      <w:kern w:val="21"/>
                      <w:szCs w:val="21"/>
                    </w:rPr>
                  </w:pPr>
                  <w:r>
                    <w:rPr>
                      <w:kern w:val="21"/>
                      <w:szCs w:val="21"/>
                    </w:rPr>
                    <w:t>处理</w:t>
                  </w:r>
                </w:p>
              </w:tc>
              <w:tc>
                <w:tcPr>
                  <w:tcW w:w="2923" w:type="pct"/>
                  <w:noWrap w:val="0"/>
                  <w:vAlign w:val="center"/>
                </w:tcPr>
                <w:p>
                  <w:pPr>
                    <w:widowControl/>
                    <w:jc w:val="center"/>
                    <w:rPr>
                      <w:kern w:val="21"/>
                      <w:szCs w:val="21"/>
                    </w:rPr>
                  </w:pPr>
                  <w:r>
                    <w:rPr>
                      <w:kern w:val="21"/>
                      <w:szCs w:val="21"/>
                    </w:rPr>
                    <w:t>其余生活垃圾由环卫部门定期收集。</w:t>
                  </w:r>
                </w:p>
              </w:tc>
              <w:tc>
                <w:tcPr>
                  <w:tcW w:w="512" w:type="pct"/>
                  <w:noWrap w:val="0"/>
                  <w:vAlign w:val="center"/>
                </w:tcPr>
                <w:p>
                  <w:pPr>
                    <w:widowControl/>
                    <w:jc w:val="center"/>
                    <w:rPr>
                      <w:kern w:val="21"/>
                      <w:szCs w:val="21"/>
                    </w:rPr>
                  </w:pPr>
                  <w:r>
                    <w:rPr>
                      <w:kern w:val="21"/>
                      <w:szCs w:val="21"/>
                    </w:rPr>
                    <w:t>0.5</w:t>
                  </w:r>
                </w:p>
              </w:tc>
              <w:tc>
                <w:tcPr>
                  <w:tcW w:w="392" w:type="pct"/>
                  <w:noWrap w:val="0"/>
                  <w:vAlign w:val="center"/>
                </w:tcPr>
                <w:p>
                  <w:pPr>
                    <w:widowControl/>
                    <w:jc w:val="center"/>
                    <w:rPr>
                      <w:kern w:val="21"/>
                      <w:szCs w:val="21"/>
                    </w:rPr>
                  </w:pPr>
                  <w:r>
                    <w:rPr>
                      <w:kern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pPr>
                    <w:widowControl/>
                    <w:jc w:val="center"/>
                    <w:rPr>
                      <w:kern w:val="21"/>
                      <w:szCs w:val="21"/>
                    </w:rPr>
                  </w:pPr>
                </w:p>
              </w:tc>
              <w:tc>
                <w:tcPr>
                  <w:tcW w:w="781" w:type="pct"/>
                  <w:vMerge w:val="continue"/>
                  <w:noWrap w:val="0"/>
                  <w:vAlign w:val="center"/>
                </w:tcPr>
                <w:p>
                  <w:pPr>
                    <w:widowControl/>
                    <w:jc w:val="center"/>
                    <w:rPr>
                      <w:kern w:val="21"/>
                      <w:szCs w:val="21"/>
                    </w:rPr>
                  </w:pPr>
                </w:p>
              </w:tc>
              <w:tc>
                <w:tcPr>
                  <w:tcW w:w="2923" w:type="pct"/>
                  <w:noWrap w:val="0"/>
                  <w:vAlign w:val="center"/>
                </w:tcPr>
                <w:p>
                  <w:pPr>
                    <w:widowControl/>
                    <w:jc w:val="center"/>
                    <w:rPr>
                      <w:kern w:val="21"/>
                      <w:szCs w:val="21"/>
                    </w:rPr>
                  </w:pPr>
                  <w:r>
                    <w:rPr>
                      <w:kern w:val="21"/>
                      <w:szCs w:val="21"/>
                    </w:rPr>
                    <w:t>产生的栅渣及砂粒经统一收集、脱水等预处理后及时清运至垃圾填埋场处置。</w:t>
                  </w:r>
                </w:p>
              </w:tc>
              <w:tc>
                <w:tcPr>
                  <w:tcW w:w="512" w:type="pct"/>
                  <w:noWrap w:val="0"/>
                  <w:vAlign w:val="center"/>
                </w:tcPr>
                <w:p>
                  <w:pPr>
                    <w:widowControl/>
                    <w:jc w:val="center"/>
                    <w:rPr>
                      <w:kern w:val="21"/>
                      <w:szCs w:val="21"/>
                    </w:rPr>
                  </w:pPr>
                  <w:r>
                    <w:rPr>
                      <w:kern w:val="21"/>
                      <w:szCs w:val="21"/>
                    </w:rPr>
                    <w:t>1.2</w:t>
                  </w:r>
                </w:p>
              </w:tc>
              <w:tc>
                <w:tcPr>
                  <w:tcW w:w="392" w:type="pct"/>
                  <w:noWrap w:val="0"/>
                  <w:vAlign w:val="center"/>
                </w:tcPr>
                <w:p>
                  <w:pPr>
                    <w:widowControl/>
                    <w:jc w:val="center"/>
                    <w:rPr>
                      <w:kern w:val="21"/>
                      <w:szCs w:val="21"/>
                    </w:rPr>
                  </w:pPr>
                  <w:r>
                    <w:rPr>
                      <w:kern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pPr>
                    <w:widowControl/>
                    <w:jc w:val="center"/>
                    <w:rPr>
                      <w:kern w:val="21"/>
                      <w:szCs w:val="21"/>
                    </w:rPr>
                  </w:pPr>
                </w:p>
              </w:tc>
              <w:tc>
                <w:tcPr>
                  <w:tcW w:w="781" w:type="pct"/>
                  <w:vMerge w:val="continue"/>
                  <w:noWrap w:val="0"/>
                  <w:vAlign w:val="center"/>
                </w:tcPr>
                <w:p>
                  <w:pPr>
                    <w:widowControl/>
                    <w:jc w:val="center"/>
                    <w:rPr>
                      <w:kern w:val="21"/>
                      <w:szCs w:val="21"/>
                    </w:rPr>
                  </w:pPr>
                </w:p>
              </w:tc>
              <w:tc>
                <w:tcPr>
                  <w:tcW w:w="2923" w:type="pct"/>
                  <w:noWrap w:val="0"/>
                  <w:vAlign w:val="center"/>
                </w:tcPr>
                <w:p>
                  <w:pPr>
                    <w:widowControl/>
                    <w:jc w:val="center"/>
                    <w:rPr>
                      <w:kern w:val="21"/>
                      <w:szCs w:val="21"/>
                    </w:rPr>
                  </w:pPr>
                  <w:r>
                    <w:rPr>
                      <w:kern w:val="21"/>
                      <w:szCs w:val="21"/>
                    </w:rPr>
                    <w:t>项目污泥脱水后，含水率可降低至60%以下，进入污泥料仓密闭暂存，定期由密封翻斗车外运委托渠县万晟同新环保科技有限公司进行无害化处置。</w:t>
                  </w:r>
                </w:p>
              </w:tc>
              <w:tc>
                <w:tcPr>
                  <w:tcW w:w="512" w:type="pct"/>
                  <w:noWrap w:val="0"/>
                  <w:vAlign w:val="center"/>
                </w:tcPr>
                <w:p>
                  <w:pPr>
                    <w:widowControl/>
                    <w:jc w:val="center"/>
                    <w:rPr>
                      <w:kern w:val="21"/>
                      <w:szCs w:val="21"/>
                    </w:rPr>
                  </w:pPr>
                  <w:r>
                    <w:rPr>
                      <w:kern w:val="21"/>
                      <w:szCs w:val="21"/>
                    </w:rPr>
                    <w:t>8.0</w:t>
                  </w:r>
                </w:p>
              </w:tc>
              <w:tc>
                <w:tcPr>
                  <w:tcW w:w="392" w:type="pct"/>
                  <w:noWrap w:val="0"/>
                  <w:vAlign w:val="center"/>
                </w:tcPr>
                <w:p>
                  <w:pPr>
                    <w:widowControl/>
                    <w:jc w:val="center"/>
                    <w:rPr>
                      <w:kern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pPr>
                    <w:widowControl/>
                    <w:jc w:val="center"/>
                    <w:rPr>
                      <w:kern w:val="21"/>
                      <w:szCs w:val="21"/>
                    </w:rPr>
                  </w:pPr>
                </w:p>
              </w:tc>
              <w:tc>
                <w:tcPr>
                  <w:tcW w:w="781" w:type="pct"/>
                  <w:vMerge w:val="continue"/>
                  <w:noWrap w:val="0"/>
                  <w:vAlign w:val="center"/>
                </w:tcPr>
                <w:p>
                  <w:pPr>
                    <w:widowControl/>
                    <w:jc w:val="center"/>
                    <w:rPr>
                      <w:kern w:val="21"/>
                      <w:szCs w:val="21"/>
                    </w:rPr>
                  </w:pPr>
                </w:p>
              </w:tc>
              <w:tc>
                <w:tcPr>
                  <w:tcW w:w="2923" w:type="pct"/>
                  <w:noWrap w:val="0"/>
                  <w:vAlign w:val="center"/>
                </w:tcPr>
                <w:p>
                  <w:pPr>
                    <w:widowControl/>
                    <w:jc w:val="center"/>
                    <w:rPr>
                      <w:kern w:val="21"/>
                      <w:szCs w:val="21"/>
                    </w:rPr>
                  </w:pPr>
                  <w:r>
                    <w:rPr>
                      <w:kern w:val="21"/>
                      <w:szCs w:val="21"/>
                    </w:rPr>
                    <w:t>分类集中收集后暂存于厂区现有危废间，定期交由资质单位进行处理。</w:t>
                  </w:r>
                </w:p>
              </w:tc>
              <w:tc>
                <w:tcPr>
                  <w:tcW w:w="512" w:type="pct"/>
                  <w:noWrap w:val="0"/>
                  <w:vAlign w:val="center"/>
                </w:tcPr>
                <w:p>
                  <w:pPr>
                    <w:widowControl/>
                    <w:jc w:val="center"/>
                    <w:rPr>
                      <w:kern w:val="21"/>
                      <w:szCs w:val="21"/>
                    </w:rPr>
                  </w:pPr>
                  <w:r>
                    <w:rPr>
                      <w:kern w:val="21"/>
                      <w:szCs w:val="21"/>
                    </w:rPr>
                    <w:t>/</w:t>
                  </w:r>
                </w:p>
              </w:tc>
              <w:tc>
                <w:tcPr>
                  <w:tcW w:w="392" w:type="pct"/>
                  <w:noWrap w:val="0"/>
                  <w:vAlign w:val="center"/>
                </w:tcPr>
                <w:p>
                  <w:pPr>
                    <w:widowControl/>
                    <w:jc w:val="center"/>
                    <w:rPr>
                      <w:kern w:val="21"/>
                      <w:szCs w:val="21"/>
                    </w:rPr>
                  </w:pPr>
                  <w:r>
                    <w:rPr>
                      <w:kern w:val="21"/>
                      <w:szCs w:val="21"/>
                    </w:rPr>
                    <w:t>依托现有</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71" w:hRule="atLeast"/>
                <w:jc w:val="center"/>
              </w:trPr>
              <w:tc>
                <w:tcPr>
                  <w:tcW w:w="392" w:type="pct"/>
                  <w:vMerge w:val="continue"/>
                  <w:noWrap w:val="0"/>
                  <w:vAlign w:val="center"/>
                </w:tcPr>
                <w:p>
                  <w:pPr>
                    <w:widowControl/>
                    <w:jc w:val="center"/>
                    <w:rPr>
                      <w:kern w:val="21"/>
                      <w:szCs w:val="21"/>
                    </w:rPr>
                  </w:pPr>
                </w:p>
              </w:tc>
              <w:tc>
                <w:tcPr>
                  <w:tcW w:w="781" w:type="pct"/>
                  <w:noWrap w:val="0"/>
                  <w:vAlign w:val="center"/>
                </w:tcPr>
                <w:p>
                  <w:pPr>
                    <w:widowControl/>
                    <w:jc w:val="center"/>
                    <w:rPr>
                      <w:kern w:val="21"/>
                      <w:szCs w:val="21"/>
                    </w:rPr>
                  </w:pPr>
                  <w:r>
                    <w:rPr>
                      <w:kern w:val="21"/>
                      <w:szCs w:val="21"/>
                    </w:rPr>
                    <w:t>地下水防治</w:t>
                  </w:r>
                </w:p>
              </w:tc>
              <w:tc>
                <w:tcPr>
                  <w:tcW w:w="2923" w:type="pct"/>
                  <w:noWrap w:val="0"/>
                  <w:vAlign w:val="center"/>
                </w:tcPr>
                <w:p>
                  <w:pPr>
                    <w:widowControl/>
                    <w:rPr>
                      <w:kern w:val="21"/>
                      <w:szCs w:val="21"/>
                    </w:rPr>
                  </w:pPr>
                  <w:r>
                    <w:rPr>
                      <w:kern w:val="21"/>
                      <w:szCs w:val="21"/>
                    </w:rPr>
                    <w:t>重点防渗区为：本次新增的调节池和污泥池、一体化设备区域、污泥料仓区域。</w:t>
                  </w:r>
                </w:p>
                <w:p>
                  <w:pPr>
                    <w:widowControl/>
                    <w:rPr>
                      <w:kern w:val="21"/>
                      <w:szCs w:val="21"/>
                    </w:rPr>
                  </w:pPr>
                  <w:r>
                    <w:rPr>
                      <w:kern w:val="21"/>
                      <w:szCs w:val="21"/>
                    </w:rPr>
                    <w:t>一般防渗区为：本次新增的反冲洗水罐区域。</w:t>
                  </w:r>
                </w:p>
                <w:p>
                  <w:pPr>
                    <w:widowControl/>
                    <w:rPr>
                      <w:kern w:val="21"/>
                      <w:szCs w:val="21"/>
                    </w:rPr>
                  </w:pPr>
                  <w:r>
                    <w:rPr>
                      <w:kern w:val="21"/>
                      <w:szCs w:val="21"/>
                    </w:rPr>
                    <w:t>简单防渗区为：本次新增的简单防渗区域为厂区道路。</w:t>
                  </w:r>
                </w:p>
              </w:tc>
              <w:tc>
                <w:tcPr>
                  <w:tcW w:w="512" w:type="pct"/>
                  <w:noWrap w:val="0"/>
                  <w:vAlign w:val="center"/>
                </w:tcPr>
                <w:p>
                  <w:pPr>
                    <w:widowControl/>
                    <w:jc w:val="center"/>
                    <w:rPr>
                      <w:kern w:val="21"/>
                      <w:szCs w:val="21"/>
                    </w:rPr>
                  </w:pPr>
                  <w:r>
                    <w:rPr>
                      <w:kern w:val="21"/>
                      <w:szCs w:val="21"/>
                    </w:rPr>
                    <w:t>/</w:t>
                  </w:r>
                </w:p>
              </w:tc>
              <w:tc>
                <w:tcPr>
                  <w:tcW w:w="392" w:type="pct"/>
                  <w:noWrap w:val="0"/>
                  <w:vAlign w:val="center"/>
                </w:tcPr>
                <w:p>
                  <w:pPr>
                    <w:widowControl/>
                    <w:jc w:val="center"/>
                    <w:rPr>
                      <w:kern w:val="21"/>
                      <w:szCs w:val="21"/>
                    </w:rPr>
                  </w:pPr>
                  <w:r>
                    <w:rPr>
                      <w:kern w:val="21"/>
                      <w:szCs w:val="21"/>
                    </w:rPr>
                    <w:t>计入主体工程</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pPr>
                    <w:widowControl/>
                    <w:jc w:val="center"/>
                    <w:rPr>
                      <w:kern w:val="21"/>
                      <w:szCs w:val="21"/>
                    </w:rPr>
                  </w:pPr>
                </w:p>
              </w:tc>
              <w:tc>
                <w:tcPr>
                  <w:tcW w:w="781" w:type="pct"/>
                  <w:noWrap w:val="0"/>
                  <w:vAlign w:val="center"/>
                </w:tcPr>
                <w:p>
                  <w:pPr>
                    <w:widowControl/>
                    <w:jc w:val="center"/>
                    <w:rPr>
                      <w:kern w:val="21"/>
                      <w:szCs w:val="21"/>
                    </w:rPr>
                  </w:pPr>
                  <w:r>
                    <w:rPr>
                      <w:kern w:val="21"/>
                      <w:szCs w:val="21"/>
                    </w:rPr>
                    <w:t>绿化</w:t>
                  </w:r>
                </w:p>
              </w:tc>
              <w:tc>
                <w:tcPr>
                  <w:tcW w:w="2923" w:type="pct"/>
                  <w:noWrap w:val="0"/>
                  <w:vAlign w:val="center"/>
                </w:tcPr>
                <w:p>
                  <w:pPr>
                    <w:widowControl/>
                    <w:jc w:val="center"/>
                    <w:rPr>
                      <w:kern w:val="21"/>
                      <w:szCs w:val="21"/>
                    </w:rPr>
                  </w:pPr>
                  <w:r>
                    <w:rPr>
                      <w:kern w:val="21"/>
                      <w:szCs w:val="21"/>
                    </w:rPr>
                    <w:t>厂区设置大面积绿化，种植对恶臭有吸附作用的乔木</w:t>
                  </w:r>
                </w:p>
              </w:tc>
              <w:tc>
                <w:tcPr>
                  <w:tcW w:w="512" w:type="pct"/>
                  <w:noWrap w:val="0"/>
                  <w:vAlign w:val="center"/>
                </w:tcPr>
                <w:p>
                  <w:pPr>
                    <w:widowControl/>
                    <w:jc w:val="center"/>
                    <w:rPr>
                      <w:kern w:val="21"/>
                      <w:szCs w:val="21"/>
                    </w:rPr>
                  </w:pPr>
                  <w:r>
                    <w:rPr>
                      <w:kern w:val="21"/>
                      <w:szCs w:val="21"/>
                    </w:rPr>
                    <w:t>/</w:t>
                  </w:r>
                </w:p>
              </w:tc>
              <w:tc>
                <w:tcPr>
                  <w:tcW w:w="392" w:type="pct"/>
                  <w:vMerge w:val="restart"/>
                  <w:noWrap w:val="0"/>
                  <w:vAlign w:val="center"/>
                </w:tcPr>
                <w:p>
                  <w:pPr>
                    <w:widowControl/>
                    <w:jc w:val="center"/>
                    <w:rPr>
                      <w:kern w:val="21"/>
                      <w:szCs w:val="21"/>
                    </w:rPr>
                  </w:pPr>
                  <w:r>
                    <w:rPr>
                      <w:kern w:val="21"/>
                      <w:szCs w:val="21"/>
                    </w:rPr>
                    <w:t>计入工程投资</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pPr>
                    <w:widowControl/>
                    <w:jc w:val="center"/>
                    <w:rPr>
                      <w:kern w:val="21"/>
                      <w:szCs w:val="21"/>
                    </w:rPr>
                  </w:pPr>
                </w:p>
              </w:tc>
              <w:tc>
                <w:tcPr>
                  <w:tcW w:w="781" w:type="pct"/>
                  <w:vMerge w:val="restart"/>
                  <w:noWrap w:val="0"/>
                  <w:vAlign w:val="center"/>
                </w:tcPr>
                <w:p>
                  <w:pPr>
                    <w:widowControl/>
                    <w:jc w:val="center"/>
                    <w:rPr>
                      <w:kern w:val="21"/>
                      <w:szCs w:val="21"/>
                    </w:rPr>
                  </w:pPr>
                  <w:r>
                    <w:rPr>
                      <w:kern w:val="21"/>
                      <w:szCs w:val="21"/>
                    </w:rPr>
                    <w:t>风险防范及环境管理</w:t>
                  </w:r>
                </w:p>
              </w:tc>
              <w:tc>
                <w:tcPr>
                  <w:tcW w:w="2923" w:type="pct"/>
                  <w:noWrap w:val="0"/>
                  <w:vAlign w:val="center"/>
                </w:tcPr>
                <w:p>
                  <w:pPr>
                    <w:widowControl/>
                    <w:jc w:val="center"/>
                    <w:rPr>
                      <w:kern w:val="21"/>
                      <w:szCs w:val="21"/>
                    </w:rPr>
                  </w:pPr>
                  <w:r>
                    <w:rPr>
                      <w:kern w:val="21"/>
                      <w:szCs w:val="21"/>
                    </w:rPr>
                    <w:t>厂区新增柴油发电机，保证正常生产和事故应急</w:t>
                  </w:r>
                </w:p>
              </w:tc>
              <w:tc>
                <w:tcPr>
                  <w:tcW w:w="512" w:type="pct"/>
                  <w:noWrap w:val="0"/>
                  <w:vAlign w:val="center"/>
                </w:tcPr>
                <w:p>
                  <w:pPr>
                    <w:widowControl/>
                    <w:jc w:val="center"/>
                    <w:rPr>
                      <w:kern w:val="21"/>
                      <w:szCs w:val="21"/>
                    </w:rPr>
                  </w:pPr>
                  <w:r>
                    <w:rPr>
                      <w:kern w:val="21"/>
                      <w:szCs w:val="21"/>
                    </w:rPr>
                    <w:t>/</w:t>
                  </w:r>
                </w:p>
              </w:tc>
              <w:tc>
                <w:tcPr>
                  <w:tcW w:w="392" w:type="pct"/>
                  <w:vMerge w:val="continue"/>
                  <w:noWrap w:val="0"/>
                  <w:vAlign w:val="center"/>
                </w:tcPr>
                <w:p>
                  <w:pPr>
                    <w:widowControl/>
                    <w:jc w:val="center"/>
                    <w:rPr>
                      <w:kern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pPr>
                    <w:widowControl/>
                    <w:jc w:val="center"/>
                    <w:rPr>
                      <w:kern w:val="21"/>
                      <w:szCs w:val="21"/>
                    </w:rPr>
                  </w:pPr>
                </w:p>
              </w:tc>
              <w:tc>
                <w:tcPr>
                  <w:tcW w:w="781" w:type="pct"/>
                  <w:vMerge w:val="continue"/>
                  <w:noWrap w:val="0"/>
                  <w:vAlign w:val="center"/>
                </w:tcPr>
                <w:p>
                  <w:pPr>
                    <w:widowControl/>
                    <w:jc w:val="center"/>
                    <w:rPr>
                      <w:kern w:val="21"/>
                      <w:szCs w:val="21"/>
                    </w:rPr>
                  </w:pPr>
                </w:p>
              </w:tc>
              <w:tc>
                <w:tcPr>
                  <w:tcW w:w="2923" w:type="pct"/>
                  <w:noWrap w:val="0"/>
                  <w:vAlign w:val="center"/>
                </w:tcPr>
                <w:p>
                  <w:pPr>
                    <w:widowControl/>
                    <w:jc w:val="center"/>
                    <w:rPr>
                      <w:kern w:val="21"/>
                      <w:szCs w:val="21"/>
                    </w:rPr>
                  </w:pPr>
                  <w:r>
                    <w:rPr>
                      <w:kern w:val="21"/>
                      <w:szCs w:val="21"/>
                    </w:rPr>
                    <w:t>工艺技术和设计安全防范措施、自动控制设计安全防范措施、消防及火灾报警系统、生产管理安全防范措施、对进水水质污染事故防范措施、受洪水冲刷的工程预防措施</w:t>
                  </w:r>
                </w:p>
              </w:tc>
              <w:tc>
                <w:tcPr>
                  <w:tcW w:w="512" w:type="pct"/>
                  <w:noWrap w:val="0"/>
                  <w:vAlign w:val="center"/>
                </w:tcPr>
                <w:p>
                  <w:pPr>
                    <w:widowControl/>
                    <w:jc w:val="center"/>
                    <w:rPr>
                      <w:kern w:val="21"/>
                      <w:szCs w:val="21"/>
                    </w:rPr>
                  </w:pPr>
                  <w:r>
                    <w:rPr>
                      <w:kern w:val="21"/>
                      <w:szCs w:val="21"/>
                    </w:rPr>
                    <w:t>1.0</w:t>
                  </w:r>
                </w:p>
              </w:tc>
              <w:tc>
                <w:tcPr>
                  <w:tcW w:w="392" w:type="pct"/>
                  <w:vMerge w:val="restart"/>
                  <w:noWrap w:val="0"/>
                  <w:vAlign w:val="center"/>
                </w:tcPr>
                <w:p>
                  <w:pPr>
                    <w:widowControl/>
                    <w:jc w:val="center"/>
                    <w:rPr>
                      <w:kern w:val="21"/>
                      <w:szCs w:val="21"/>
                    </w:rPr>
                  </w:pPr>
                  <w:r>
                    <w:rPr>
                      <w:kern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pPr>
                    <w:widowControl/>
                    <w:jc w:val="center"/>
                    <w:rPr>
                      <w:kern w:val="21"/>
                      <w:szCs w:val="21"/>
                    </w:rPr>
                  </w:pPr>
                </w:p>
              </w:tc>
              <w:tc>
                <w:tcPr>
                  <w:tcW w:w="781" w:type="pct"/>
                  <w:vMerge w:val="continue"/>
                  <w:noWrap w:val="0"/>
                  <w:vAlign w:val="center"/>
                </w:tcPr>
                <w:p>
                  <w:pPr>
                    <w:widowControl/>
                    <w:jc w:val="center"/>
                    <w:rPr>
                      <w:kern w:val="21"/>
                      <w:szCs w:val="21"/>
                    </w:rPr>
                  </w:pPr>
                </w:p>
              </w:tc>
              <w:tc>
                <w:tcPr>
                  <w:tcW w:w="2923" w:type="pct"/>
                  <w:noWrap w:val="0"/>
                  <w:vAlign w:val="center"/>
                </w:tcPr>
                <w:p>
                  <w:pPr>
                    <w:widowControl/>
                    <w:jc w:val="center"/>
                    <w:rPr>
                      <w:kern w:val="21"/>
                      <w:szCs w:val="21"/>
                    </w:rPr>
                  </w:pPr>
                  <w:r>
                    <w:rPr>
                      <w:kern w:val="21"/>
                      <w:szCs w:val="21"/>
                    </w:rPr>
                    <w:t>制定应急预案，加强环境管理，区域、部门联动</w:t>
                  </w:r>
                </w:p>
              </w:tc>
              <w:tc>
                <w:tcPr>
                  <w:tcW w:w="512" w:type="pct"/>
                  <w:noWrap w:val="0"/>
                  <w:vAlign w:val="center"/>
                </w:tcPr>
                <w:p>
                  <w:pPr>
                    <w:widowControl/>
                    <w:jc w:val="center"/>
                    <w:rPr>
                      <w:kern w:val="21"/>
                      <w:szCs w:val="21"/>
                    </w:rPr>
                  </w:pPr>
                  <w:r>
                    <w:rPr>
                      <w:kern w:val="21"/>
                      <w:szCs w:val="21"/>
                    </w:rPr>
                    <w:t>0.5</w:t>
                  </w:r>
                </w:p>
              </w:tc>
              <w:tc>
                <w:tcPr>
                  <w:tcW w:w="392" w:type="pct"/>
                  <w:vMerge w:val="continue"/>
                  <w:noWrap w:val="0"/>
                  <w:vAlign w:val="center"/>
                </w:tcPr>
                <w:p>
                  <w:pPr>
                    <w:widowControl/>
                    <w:jc w:val="center"/>
                    <w:rPr>
                      <w:kern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pPr>
                    <w:widowControl/>
                    <w:jc w:val="center"/>
                    <w:rPr>
                      <w:kern w:val="21"/>
                      <w:szCs w:val="21"/>
                    </w:rPr>
                  </w:pPr>
                </w:p>
              </w:tc>
              <w:tc>
                <w:tcPr>
                  <w:tcW w:w="781" w:type="pct"/>
                  <w:vMerge w:val="continue"/>
                  <w:noWrap w:val="0"/>
                  <w:vAlign w:val="center"/>
                </w:tcPr>
                <w:p>
                  <w:pPr>
                    <w:widowControl/>
                    <w:jc w:val="center"/>
                    <w:rPr>
                      <w:kern w:val="21"/>
                      <w:szCs w:val="21"/>
                    </w:rPr>
                  </w:pPr>
                </w:p>
              </w:tc>
              <w:tc>
                <w:tcPr>
                  <w:tcW w:w="2923" w:type="pct"/>
                  <w:noWrap w:val="0"/>
                  <w:vAlign w:val="center"/>
                </w:tcPr>
                <w:p>
                  <w:pPr>
                    <w:widowControl/>
                    <w:jc w:val="center"/>
                    <w:rPr>
                      <w:kern w:val="21"/>
                      <w:szCs w:val="21"/>
                    </w:rPr>
                  </w:pPr>
                  <w:r>
                    <w:rPr>
                      <w:kern w:val="21"/>
                      <w:szCs w:val="21"/>
                    </w:rPr>
                    <w:t>进、出水水质自动监测装置及报警装置，并制定污水处理厂环境风险应急预案，降低事故排污环境影响。</w:t>
                  </w:r>
                </w:p>
              </w:tc>
              <w:tc>
                <w:tcPr>
                  <w:tcW w:w="512" w:type="pct"/>
                  <w:noWrap w:val="0"/>
                  <w:vAlign w:val="center"/>
                </w:tcPr>
                <w:p>
                  <w:pPr>
                    <w:widowControl/>
                    <w:jc w:val="center"/>
                    <w:rPr>
                      <w:kern w:val="21"/>
                      <w:szCs w:val="21"/>
                    </w:rPr>
                  </w:pPr>
                  <w:r>
                    <w:rPr>
                      <w:kern w:val="21"/>
                      <w:szCs w:val="21"/>
                    </w:rPr>
                    <w:t>/</w:t>
                  </w:r>
                </w:p>
              </w:tc>
              <w:tc>
                <w:tcPr>
                  <w:tcW w:w="392" w:type="pct"/>
                  <w:noWrap w:val="0"/>
                  <w:vAlign w:val="center"/>
                </w:tcPr>
                <w:p>
                  <w:pPr>
                    <w:widowControl/>
                    <w:jc w:val="center"/>
                    <w:rPr>
                      <w:kern w:val="21"/>
                      <w:szCs w:val="21"/>
                    </w:rPr>
                  </w:pPr>
                  <w:r>
                    <w:rPr>
                      <w:kern w:val="21"/>
                      <w:szCs w:val="21"/>
                    </w:rPr>
                    <w:t>计入工程投资</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pPr>
                    <w:widowControl/>
                    <w:jc w:val="center"/>
                    <w:rPr>
                      <w:kern w:val="21"/>
                      <w:szCs w:val="21"/>
                    </w:rPr>
                  </w:pPr>
                </w:p>
              </w:tc>
              <w:tc>
                <w:tcPr>
                  <w:tcW w:w="781" w:type="pct"/>
                  <w:noWrap w:val="0"/>
                  <w:vAlign w:val="center"/>
                </w:tcPr>
                <w:p>
                  <w:pPr>
                    <w:widowControl/>
                    <w:jc w:val="center"/>
                    <w:rPr>
                      <w:kern w:val="21"/>
                      <w:szCs w:val="21"/>
                    </w:rPr>
                  </w:pPr>
                  <w:r>
                    <w:rPr>
                      <w:kern w:val="21"/>
                      <w:szCs w:val="21"/>
                    </w:rPr>
                    <w:t>环境跟踪监测计划</w:t>
                  </w:r>
                </w:p>
              </w:tc>
              <w:tc>
                <w:tcPr>
                  <w:tcW w:w="2923" w:type="pct"/>
                  <w:noWrap w:val="0"/>
                  <w:vAlign w:val="center"/>
                </w:tcPr>
                <w:p>
                  <w:pPr>
                    <w:widowControl/>
                    <w:jc w:val="center"/>
                    <w:rPr>
                      <w:kern w:val="21"/>
                      <w:szCs w:val="21"/>
                    </w:rPr>
                  </w:pPr>
                  <w:r>
                    <w:rPr>
                      <w:kern w:val="21"/>
                      <w:szCs w:val="21"/>
                    </w:rPr>
                    <w:t>对污染源及环境质量按照监测计划进行定期监测</w:t>
                  </w:r>
                </w:p>
              </w:tc>
              <w:tc>
                <w:tcPr>
                  <w:tcW w:w="512" w:type="pct"/>
                  <w:noWrap w:val="0"/>
                  <w:vAlign w:val="center"/>
                </w:tcPr>
                <w:p>
                  <w:pPr>
                    <w:widowControl/>
                    <w:jc w:val="center"/>
                    <w:rPr>
                      <w:kern w:val="21"/>
                      <w:szCs w:val="21"/>
                    </w:rPr>
                  </w:pPr>
                  <w:r>
                    <w:rPr>
                      <w:kern w:val="21"/>
                      <w:szCs w:val="21"/>
                    </w:rPr>
                    <w:t>5.0</w:t>
                  </w:r>
                </w:p>
              </w:tc>
              <w:tc>
                <w:tcPr>
                  <w:tcW w:w="392" w:type="pct"/>
                  <w:noWrap w:val="0"/>
                  <w:vAlign w:val="center"/>
                </w:tcPr>
                <w:p>
                  <w:pPr>
                    <w:widowControl/>
                    <w:jc w:val="center"/>
                    <w:rPr>
                      <w:kern w:val="21"/>
                      <w:szCs w:val="21"/>
                    </w:rPr>
                  </w:pPr>
                  <w:r>
                    <w:rPr>
                      <w:kern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096" w:type="pct"/>
                  <w:gridSpan w:val="3"/>
                  <w:noWrap w:val="0"/>
                  <w:vAlign w:val="center"/>
                </w:tcPr>
                <w:p>
                  <w:pPr>
                    <w:widowControl/>
                    <w:jc w:val="center"/>
                    <w:rPr>
                      <w:kern w:val="21"/>
                      <w:szCs w:val="21"/>
                    </w:rPr>
                  </w:pPr>
                  <w:r>
                    <w:rPr>
                      <w:kern w:val="21"/>
                      <w:szCs w:val="21"/>
                    </w:rPr>
                    <w:t>合计</w:t>
                  </w:r>
                </w:p>
              </w:tc>
              <w:tc>
                <w:tcPr>
                  <w:tcW w:w="512" w:type="pct"/>
                  <w:noWrap w:val="0"/>
                  <w:vAlign w:val="center"/>
                </w:tcPr>
                <w:p>
                  <w:pPr>
                    <w:widowControl/>
                    <w:jc w:val="center"/>
                    <w:rPr>
                      <w:kern w:val="21"/>
                      <w:szCs w:val="21"/>
                    </w:rPr>
                  </w:pPr>
                  <w:r>
                    <w:rPr>
                      <w:kern w:val="21"/>
                      <w:szCs w:val="21"/>
                    </w:rPr>
                    <w:t>32.4</w:t>
                  </w:r>
                </w:p>
              </w:tc>
              <w:tc>
                <w:tcPr>
                  <w:tcW w:w="392" w:type="pct"/>
                  <w:noWrap w:val="0"/>
                  <w:vAlign w:val="center"/>
                </w:tcPr>
                <w:p>
                  <w:pPr>
                    <w:widowControl/>
                    <w:jc w:val="left"/>
                    <w:rPr>
                      <w:kern w:val="21"/>
                      <w:szCs w:val="21"/>
                    </w:rPr>
                  </w:pPr>
                </w:p>
              </w:tc>
            </w:tr>
          </w:tbl>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jc w:val="left"/>
              <w:rPr>
                <w:b/>
                <w:bCs/>
                <w:sz w:val="24"/>
              </w:rPr>
            </w:pPr>
          </w:p>
        </w:tc>
      </w:tr>
    </w:tbl>
    <w:p>
      <w:pPr>
        <w:pStyle w:val="104"/>
        <w:ind w:firstLine="0"/>
        <w:jc w:val="center"/>
      </w:pPr>
    </w:p>
    <w:p>
      <w:pPr>
        <w:pStyle w:val="104"/>
        <w:ind w:firstLine="0"/>
        <w:rPr>
          <w:b/>
          <w:sz w:val="28"/>
          <w:szCs w:val="28"/>
        </w:rPr>
        <w:sectPr>
          <w:pgSz w:w="11907" w:h="16840"/>
          <w:pgMar w:top="1701" w:right="1531" w:bottom="2127" w:left="1531" w:header="851" w:footer="851" w:gutter="0"/>
          <w:cols w:space="720" w:num="1"/>
          <w:docGrid w:linePitch="312" w:charSpace="0"/>
        </w:sectPr>
      </w:pPr>
    </w:p>
    <w:p>
      <w:pPr>
        <w:pStyle w:val="28"/>
        <w:jc w:val="center"/>
        <w:outlineLvl w:val="0"/>
        <w:rPr>
          <w:rFonts w:ascii="Times New Roman" w:hAnsi="Times New Roman"/>
          <w:snapToGrid w:val="0"/>
          <w:sz w:val="30"/>
          <w:szCs w:val="30"/>
        </w:rPr>
      </w:pPr>
      <w:bookmarkStart w:id="28" w:name="_Toc116207762"/>
      <w:bookmarkStart w:id="29" w:name="_Toc79479640"/>
      <w:r>
        <w:rPr>
          <w:rFonts w:ascii="Times New Roman" w:hAnsi="Times New Roman"/>
          <w:snapToGrid w:val="0"/>
          <w:sz w:val="30"/>
          <w:szCs w:val="30"/>
        </w:rPr>
        <w:t>五、</w:t>
      </w:r>
      <w:bookmarkStart w:id="30" w:name="_Hlk54167917"/>
      <w:r>
        <w:rPr>
          <w:rFonts w:ascii="Times New Roman" w:hAnsi="Times New Roman"/>
          <w:snapToGrid w:val="0"/>
          <w:sz w:val="30"/>
          <w:szCs w:val="30"/>
        </w:rPr>
        <w:t>环境保护措施监督检查清单</w:t>
      </w:r>
      <w:bookmarkEnd w:id="28"/>
      <w:bookmarkEnd w:id="29"/>
      <w:bookmarkEnd w:id="30"/>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162"/>
        <w:gridCol w:w="1842"/>
        <w:gridCol w:w="1558"/>
        <w:gridCol w:w="2129"/>
        <w:gridCol w:w="22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653" w:type="pct"/>
            <w:tcBorders>
              <w:tl2br w:val="single" w:color="auto" w:sz="4" w:space="0"/>
            </w:tcBorders>
            <w:noWrap w:val="0"/>
            <w:vAlign w:val="top"/>
          </w:tcPr>
          <w:p>
            <w:pPr>
              <w:adjustRightInd w:val="0"/>
              <w:snapToGrid w:val="0"/>
              <w:jc w:val="right"/>
              <w:rPr>
                <w:sz w:val="24"/>
              </w:rPr>
            </w:pPr>
            <w:r>
              <w:rPr>
                <w:sz w:val="24"/>
              </w:rPr>
              <w:t>内容</w:t>
            </w:r>
          </w:p>
          <w:p>
            <w:pPr>
              <w:adjustRightInd w:val="0"/>
              <w:snapToGrid w:val="0"/>
              <w:rPr>
                <w:sz w:val="24"/>
              </w:rPr>
            </w:pPr>
            <w:r>
              <w:rPr>
                <w:sz w:val="24"/>
              </w:rPr>
              <w:t>要素</w:t>
            </w:r>
          </w:p>
        </w:tc>
        <w:tc>
          <w:tcPr>
            <w:tcW w:w="1035" w:type="pct"/>
            <w:noWrap w:val="0"/>
            <w:vAlign w:val="center"/>
          </w:tcPr>
          <w:p>
            <w:pPr>
              <w:adjustRightInd w:val="0"/>
              <w:snapToGrid w:val="0"/>
              <w:jc w:val="center"/>
              <w:rPr>
                <w:sz w:val="24"/>
              </w:rPr>
            </w:pPr>
            <w:r>
              <w:rPr>
                <w:sz w:val="24"/>
              </w:rPr>
              <w:t>排放口（编号、</w:t>
            </w:r>
          </w:p>
          <w:p>
            <w:pPr>
              <w:adjustRightInd w:val="0"/>
              <w:snapToGrid w:val="0"/>
              <w:jc w:val="center"/>
              <w:rPr>
                <w:sz w:val="24"/>
              </w:rPr>
            </w:pPr>
            <w:r>
              <w:rPr>
                <w:sz w:val="24"/>
              </w:rPr>
              <w:t>名称）/污染源</w:t>
            </w:r>
          </w:p>
        </w:tc>
        <w:tc>
          <w:tcPr>
            <w:tcW w:w="875" w:type="pct"/>
            <w:noWrap w:val="0"/>
            <w:vAlign w:val="center"/>
          </w:tcPr>
          <w:p>
            <w:pPr>
              <w:adjustRightInd w:val="0"/>
              <w:snapToGrid w:val="0"/>
              <w:jc w:val="center"/>
              <w:rPr>
                <w:sz w:val="24"/>
              </w:rPr>
            </w:pPr>
            <w:r>
              <w:rPr>
                <w:sz w:val="24"/>
              </w:rPr>
              <w:t>污染物项目</w:t>
            </w:r>
          </w:p>
        </w:tc>
        <w:tc>
          <w:tcPr>
            <w:tcW w:w="1196" w:type="pct"/>
            <w:noWrap w:val="0"/>
            <w:vAlign w:val="center"/>
          </w:tcPr>
          <w:p>
            <w:pPr>
              <w:adjustRightInd w:val="0"/>
              <w:snapToGrid w:val="0"/>
              <w:jc w:val="center"/>
              <w:rPr>
                <w:sz w:val="24"/>
              </w:rPr>
            </w:pPr>
            <w:r>
              <w:rPr>
                <w:sz w:val="24"/>
              </w:rPr>
              <w:t>环境保护措施</w:t>
            </w:r>
          </w:p>
        </w:tc>
        <w:tc>
          <w:tcPr>
            <w:tcW w:w="1241" w:type="pct"/>
            <w:noWrap w:val="0"/>
            <w:vAlign w:val="center"/>
          </w:tcPr>
          <w:p>
            <w:pPr>
              <w:adjustRightInd w:val="0"/>
              <w:snapToGrid w:val="0"/>
              <w:jc w:val="center"/>
              <w:rPr>
                <w:sz w:val="24"/>
              </w:rPr>
            </w:pPr>
            <w:r>
              <w:rPr>
                <w:sz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653" w:type="pct"/>
            <w:vMerge w:val="restart"/>
            <w:noWrap w:val="0"/>
            <w:vAlign w:val="center"/>
          </w:tcPr>
          <w:p>
            <w:pPr>
              <w:adjustRightInd w:val="0"/>
              <w:snapToGrid w:val="0"/>
              <w:jc w:val="center"/>
              <w:rPr>
                <w:sz w:val="24"/>
              </w:rPr>
            </w:pPr>
            <w:r>
              <w:rPr>
                <w:sz w:val="24"/>
              </w:rPr>
              <w:t>大气</w:t>
            </w:r>
          </w:p>
          <w:p>
            <w:pPr>
              <w:adjustRightInd w:val="0"/>
              <w:snapToGrid w:val="0"/>
              <w:jc w:val="center"/>
              <w:rPr>
                <w:sz w:val="24"/>
              </w:rPr>
            </w:pPr>
            <w:r>
              <w:rPr>
                <w:sz w:val="24"/>
              </w:rPr>
              <w:t>环境</w:t>
            </w:r>
          </w:p>
        </w:tc>
        <w:tc>
          <w:tcPr>
            <w:tcW w:w="1035" w:type="pct"/>
            <w:noWrap w:val="0"/>
            <w:vAlign w:val="center"/>
          </w:tcPr>
          <w:p>
            <w:pPr>
              <w:adjustRightInd w:val="0"/>
              <w:snapToGrid w:val="0"/>
              <w:jc w:val="center"/>
              <w:rPr>
                <w:sz w:val="24"/>
              </w:rPr>
            </w:pPr>
            <w:r>
              <w:rPr>
                <w:sz w:val="24"/>
              </w:rPr>
              <w:t>DA001</w:t>
            </w:r>
          </w:p>
        </w:tc>
        <w:tc>
          <w:tcPr>
            <w:tcW w:w="875" w:type="pct"/>
            <w:noWrap w:val="0"/>
            <w:vAlign w:val="center"/>
          </w:tcPr>
          <w:p>
            <w:pPr>
              <w:adjustRightInd w:val="0"/>
              <w:snapToGrid w:val="0"/>
              <w:spacing w:line="276" w:lineRule="auto"/>
              <w:jc w:val="center"/>
              <w:rPr>
                <w:sz w:val="24"/>
              </w:rPr>
            </w:pPr>
            <w:r>
              <w:rPr>
                <w:sz w:val="24"/>
              </w:rPr>
              <w:t>恶臭（NH</w:t>
            </w:r>
            <w:r>
              <w:rPr>
                <w:sz w:val="24"/>
                <w:vertAlign w:val="subscript"/>
              </w:rPr>
              <w:t>3</w:t>
            </w:r>
            <w:r>
              <w:rPr>
                <w:sz w:val="24"/>
              </w:rPr>
              <w:t>、H</w:t>
            </w:r>
            <w:r>
              <w:rPr>
                <w:sz w:val="24"/>
                <w:vertAlign w:val="subscript"/>
              </w:rPr>
              <w:t>2</w:t>
            </w:r>
            <w:r>
              <w:rPr>
                <w:sz w:val="24"/>
              </w:rPr>
              <w:t>S、臭气浓度）</w:t>
            </w:r>
          </w:p>
        </w:tc>
        <w:tc>
          <w:tcPr>
            <w:tcW w:w="1196" w:type="pct"/>
            <w:noWrap w:val="0"/>
            <w:vAlign w:val="center"/>
          </w:tcPr>
          <w:p>
            <w:pPr>
              <w:adjustRightInd w:val="0"/>
              <w:snapToGrid w:val="0"/>
              <w:spacing w:line="276" w:lineRule="auto"/>
              <w:rPr>
                <w:sz w:val="24"/>
              </w:rPr>
            </w:pPr>
            <w:r>
              <w:rPr>
                <w:sz w:val="24"/>
              </w:rPr>
              <w:t>密闭产生恶臭的区域，采用机械抽风、自然补风的方式收集恶臭污染物；恶臭污染物经喷淋塔（碱液）除臭系统处理达标后经15m高排气筒排放；</w:t>
            </w:r>
          </w:p>
        </w:tc>
        <w:tc>
          <w:tcPr>
            <w:tcW w:w="1241" w:type="pct"/>
            <w:noWrap w:val="0"/>
            <w:vAlign w:val="center"/>
          </w:tcPr>
          <w:p>
            <w:pPr>
              <w:adjustRightInd w:val="0"/>
              <w:snapToGrid w:val="0"/>
              <w:spacing w:line="276" w:lineRule="auto"/>
              <w:rPr>
                <w:sz w:val="24"/>
              </w:rPr>
            </w:pPr>
            <w:r>
              <w:rPr>
                <w:sz w:val="24"/>
              </w:rPr>
              <w:t>《城镇污水处理厂污染物排放标准》（GB18918-2002）中限值要求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653" w:type="pct"/>
            <w:vMerge w:val="continue"/>
            <w:noWrap w:val="0"/>
            <w:vAlign w:val="center"/>
          </w:tcPr>
          <w:p>
            <w:pPr>
              <w:adjustRightInd w:val="0"/>
              <w:snapToGrid w:val="0"/>
              <w:jc w:val="center"/>
              <w:rPr>
                <w:sz w:val="24"/>
              </w:rPr>
            </w:pPr>
          </w:p>
        </w:tc>
        <w:tc>
          <w:tcPr>
            <w:tcW w:w="1035" w:type="pct"/>
            <w:noWrap w:val="0"/>
            <w:vAlign w:val="center"/>
          </w:tcPr>
          <w:p>
            <w:pPr>
              <w:adjustRightInd w:val="0"/>
              <w:snapToGrid w:val="0"/>
              <w:jc w:val="center"/>
              <w:rPr>
                <w:sz w:val="24"/>
              </w:rPr>
            </w:pPr>
            <w:r>
              <w:rPr>
                <w:sz w:val="24"/>
              </w:rPr>
              <w:t>除臭装置排气筒/产生恶臭构筑物</w:t>
            </w:r>
          </w:p>
        </w:tc>
        <w:tc>
          <w:tcPr>
            <w:tcW w:w="875" w:type="pct"/>
            <w:noWrap w:val="0"/>
            <w:vAlign w:val="center"/>
          </w:tcPr>
          <w:p>
            <w:pPr>
              <w:adjustRightInd w:val="0"/>
              <w:snapToGrid w:val="0"/>
              <w:spacing w:line="276" w:lineRule="auto"/>
              <w:jc w:val="center"/>
              <w:rPr>
                <w:sz w:val="24"/>
                <w:lang w:bidi="ar"/>
              </w:rPr>
            </w:pPr>
            <w:r>
              <w:rPr>
                <w:sz w:val="24"/>
              </w:rPr>
              <w:t>恶臭（NH</w:t>
            </w:r>
            <w:r>
              <w:rPr>
                <w:sz w:val="24"/>
                <w:vertAlign w:val="subscript"/>
              </w:rPr>
              <w:t>3</w:t>
            </w:r>
            <w:r>
              <w:rPr>
                <w:sz w:val="24"/>
              </w:rPr>
              <w:t>、H</w:t>
            </w:r>
            <w:r>
              <w:rPr>
                <w:sz w:val="24"/>
                <w:vertAlign w:val="subscript"/>
              </w:rPr>
              <w:t>2</w:t>
            </w:r>
            <w:r>
              <w:rPr>
                <w:sz w:val="24"/>
              </w:rPr>
              <w:t>S、臭气浓度）</w:t>
            </w:r>
          </w:p>
        </w:tc>
        <w:tc>
          <w:tcPr>
            <w:tcW w:w="1196" w:type="pct"/>
            <w:noWrap w:val="0"/>
            <w:vAlign w:val="center"/>
          </w:tcPr>
          <w:p>
            <w:pPr>
              <w:adjustRightInd w:val="0"/>
              <w:snapToGrid w:val="0"/>
              <w:spacing w:line="276" w:lineRule="auto"/>
              <w:rPr>
                <w:sz w:val="24"/>
              </w:rPr>
            </w:pPr>
            <w:r>
              <w:rPr>
                <w:sz w:val="24"/>
              </w:rPr>
              <w:t>加强绿化，喷洒除臭剂</w:t>
            </w:r>
          </w:p>
        </w:tc>
        <w:tc>
          <w:tcPr>
            <w:tcW w:w="1241" w:type="pct"/>
            <w:noWrap w:val="0"/>
            <w:vAlign w:val="center"/>
          </w:tcPr>
          <w:p>
            <w:pPr>
              <w:adjustRightInd w:val="0"/>
              <w:snapToGrid w:val="0"/>
              <w:spacing w:line="276" w:lineRule="auto"/>
              <w:rPr>
                <w:sz w:val="24"/>
              </w:rPr>
            </w:pPr>
            <w:r>
              <w:rPr>
                <w:sz w:val="24"/>
              </w:rPr>
              <w:t>《恶臭污染物排放标准》（GB14554-93）恶臭污染物排放限值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653" w:type="pct"/>
            <w:noWrap w:val="0"/>
            <w:vAlign w:val="center"/>
          </w:tcPr>
          <w:p>
            <w:pPr>
              <w:adjustRightInd w:val="0"/>
              <w:snapToGrid w:val="0"/>
              <w:jc w:val="center"/>
              <w:rPr>
                <w:sz w:val="24"/>
              </w:rPr>
            </w:pPr>
            <w:r>
              <w:rPr>
                <w:sz w:val="24"/>
              </w:rPr>
              <w:t>地表水环境</w:t>
            </w:r>
          </w:p>
        </w:tc>
        <w:tc>
          <w:tcPr>
            <w:tcW w:w="1035" w:type="pct"/>
            <w:noWrap w:val="0"/>
            <w:vAlign w:val="center"/>
          </w:tcPr>
          <w:p>
            <w:pPr>
              <w:adjustRightInd w:val="0"/>
              <w:snapToGrid w:val="0"/>
              <w:jc w:val="center"/>
              <w:rPr>
                <w:sz w:val="24"/>
              </w:rPr>
            </w:pPr>
            <w:r>
              <w:rPr>
                <w:sz w:val="24"/>
              </w:rPr>
              <w:t>生产废水和生活污水</w:t>
            </w:r>
          </w:p>
        </w:tc>
        <w:tc>
          <w:tcPr>
            <w:tcW w:w="875" w:type="pct"/>
            <w:noWrap w:val="0"/>
            <w:vAlign w:val="center"/>
          </w:tcPr>
          <w:p>
            <w:pPr>
              <w:adjustRightInd w:val="0"/>
              <w:snapToGrid w:val="0"/>
              <w:spacing w:line="276" w:lineRule="auto"/>
              <w:jc w:val="center"/>
              <w:rPr>
                <w:sz w:val="24"/>
              </w:rPr>
            </w:pPr>
            <w:r>
              <w:rPr>
                <w:sz w:val="24"/>
              </w:rPr>
              <w:t>SS、COD、BOD</w:t>
            </w:r>
            <w:r>
              <w:rPr>
                <w:sz w:val="24"/>
                <w:vertAlign w:val="subscript"/>
              </w:rPr>
              <w:t>5</w:t>
            </w:r>
            <w:r>
              <w:rPr>
                <w:sz w:val="24"/>
              </w:rPr>
              <w:t>、NH</w:t>
            </w:r>
            <w:r>
              <w:rPr>
                <w:sz w:val="24"/>
                <w:vertAlign w:val="subscript"/>
              </w:rPr>
              <w:t>3</w:t>
            </w:r>
            <w:r>
              <w:rPr>
                <w:sz w:val="24"/>
              </w:rPr>
              <w:t>、TP、TN</w:t>
            </w:r>
          </w:p>
        </w:tc>
        <w:tc>
          <w:tcPr>
            <w:tcW w:w="1196" w:type="pct"/>
            <w:noWrap w:val="0"/>
            <w:vAlign w:val="center"/>
          </w:tcPr>
          <w:p>
            <w:pPr>
              <w:adjustRightInd w:val="0"/>
              <w:snapToGrid w:val="0"/>
              <w:spacing w:line="276" w:lineRule="auto"/>
              <w:jc w:val="center"/>
              <w:rPr>
                <w:sz w:val="24"/>
              </w:rPr>
            </w:pPr>
            <w:r>
              <w:rPr>
                <w:sz w:val="24"/>
              </w:rPr>
              <w:t>进入本项目污水处理系统进行处理</w:t>
            </w:r>
          </w:p>
        </w:tc>
        <w:tc>
          <w:tcPr>
            <w:tcW w:w="1241" w:type="pct"/>
            <w:noWrap w:val="0"/>
            <w:vAlign w:val="center"/>
          </w:tcPr>
          <w:p>
            <w:pPr>
              <w:adjustRightInd w:val="0"/>
              <w:snapToGrid w:val="0"/>
              <w:spacing w:line="276" w:lineRule="auto"/>
              <w:jc w:val="center"/>
              <w:rPr>
                <w:sz w:val="24"/>
              </w:rPr>
            </w:pPr>
            <w:r>
              <w:rPr>
                <w:sz w:val="24"/>
              </w:rPr>
              <w:t>《城镇污水处理厂污染物排放标准》（GB18918-2002）一级A标准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653" w:type="pct"/>
            <w:noWrap w:val="0"/>
            <w:vAlign w:val="center"/>
          </w:tcPr>
          <w:p>
            <w:pPr>
              <w:adjustRightInd w:val="0"/>
              <w:snapToGrid w:val="0"/>
              <w:jc w:val="center"/>
              <w:rPr>
                <w:sz w:val="24"/>
              </w:rPr>
            </w:pPr>
            <w:r>
              <w:rPr>
                <w:sz w:val="24"/>
              </w:rPr>
              <w:t>声环境</w:t>
            </w:r>
          </w:p>
        </w:tc>
        <w:tc>
          <w:tcPr>
            <w:tcW w:w="1035" w:type="pct"/>
            <w:noWrap w:val="0"/>
            <w:vAlign w:val="center"/>
          </w:tcPr>
          <w:p>
            <w:pPr>
              <w:adjustRightInd w:val="0"/>
              <w:snapToGrid w:val="0"/>
              <w:jc w:val="center"/>
              <w:rPr>
                <w:sz w:val="24"/>
              </w:rPr>
            </w:pPr>
            <w:r>
              <w:rPr>
                <w:sz w:val="24"/>
              </w:rPr>
              <w:t>场/厂界</w:t>
            </w:r>
          </w:p>
        </w:tc>
        <w:tc>
          <w:tcPr>
            <w:tcW w:w="875" w:type="pct"/>
            <w:noWrap w:val="0"/>
            <w:vAlign w:val="center"/>
          </w:tcPr>
          <w:p>
            <w:pPr>
              <w:adjustRightInd w:val="0"/>
              <w:snapToGrid w:val="0"/>
              <w:jc w:val="center"/>
              <w:rPr>
                <w:sz w:val="24"/>
              </w:rPr>
            </w:pPr>
            <w:r>
              <w:rPr>
                <w:sz w:val="24"/>
              </w:rPr>
              <w:t>Leq（A）</w:t>
            </w:r>
          </w:p>
        </w:tc>
        <w:tc>
          <w:tcPr>
            <w:tcW w:w="1196" w:type="pct"/>
            <w:noWrap w:val="0"/>
            <w:vAlign w:val="center"/>
          </w:tcPr>
          <w:p>
            <w:pPr>
              <w:adjustRightInd w:val="0"/>
              <w:snapToGrid w:val="0"/>
              <w:spacing w:line="276" w:lineRule="auto"/>
              <w:jc w:val="center"/>
              <w:rPr>
                <w:sz w:val="24"/>
              </w:rPr>
            </w:pPr>
            <w:r>
              <w:rPr>
                <w:sz w:val="24"/>
              </w:rPr>
              <w:t>选用低噪声设备；设备安装时采取台基减振、橡胶减震接头及减震垫等措施；合理布局以及利用厂房隔声</w:t>
            </w:r>
          </w:p>
        </w:tc>
        <w:tc>
          <w:tcPr>
            <w:tcW w:w="1241" w:type="pct"/>
            <w:noWrap w:val="0"/>
            <w:vAlign w:val="center"/>
          </w:tcPr>
          <w:p>
            <w:pPr>
              <w:adjustRightInd w:val="0"/>
              <w:snapToGrid w:val="0"/>
              <w:spacing w:line="276" w:lineRule="auto"/>
              <w:jc w:val="center"/>
              <w:rPr>
                <w:sz w:val="24"/>
              </w:rPr>
            </w:pPr>
            <w:r>
              <w:rPr>
                <w:sz w:val="24"/>
              </w:rPr>
              <w:t>《工业企业厂界环境噪声排放标准》（GB2348-2008）2类标准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653" w:type="pct"/>
            <w:noWrap w:val="0"/>
            <w:vAlign w:val="center"/>
          </w:tcPr>
          <w:p>
            <w:pPr>
              <w:adjustRightInd w:val="0"/>
              <w:snapToGrid w:val="0"/>
              <w:spacing w:line="360" w:lineRule="auto"/>
              <w:jc w:val="center"/>
              <w:rPr>
                <w:sz w:val="24"/>
              </w:rPr>
            </w:pPr>
            <w:r>
              <w:rPr>
                <w:sz w:val="24"/>
              </w:rPr>
              <w:t>电磁辐射</w:t>
            </w:r>
          </w:p>
        </w:tc>
        <w:tc>
          <w:tcPr>
            <w:tcW w:w="1035" w:type="pct"/>
            <w:noWrap w:val="0"/>
            <w:vAlign w:val="center"/>
          </w:tcPr>
          <w:p>
            <w:pPr>
              <w:adjustRightInd w:val="0"/>
              <w:snapToGrid w:val="0"/>
              <w:spacing w:line="360" w:lineRule="auto"/>
              <w:jc w:val="center"/>
              <w:rPr>
                <w:sz w:val="24"/>
              </w:rPr>
            </w:pPr>
            <w:r>
              <w:rPr>
                <w:sz w:val="24"/>
              </w:rPr>
              <w:t>/</w:t>
            </w:r>
          </w:p>
        </w:tc>
        <w:tc>
          <w:tcPr>
            <w:tcW w:w="875" w:type="pct"/>
            <w:noWrap w:val="0"/>
            <w:vAlign w:val="center"/>
          </w:tcPr>
          <w:p>
            <w:pPr>
              <w:adjustRightInd w:val="0"/>
              <w:snapToGrid w:val="0"/>
              <w:spacing w:line="360" w:lineRule="auto"/>
              <w:jc w:val="center"/>
              <w:rPr>
                <w:sz w:val="24"/>
              </w:rPr>
            </w:pPr>
            <w:r>
              <w:rPr>
                <w:sz w:val="24"/>
              </w:rPr>
              <w:t>/</w:t>
            </w:r>
          </w:p>
        </w:tc>
        <w:tc>
          <w:tcPr>
            <w:tcW w:w="1196" w:type="pct"/>
            <w:noWrap w:val="0"/>
            <w:vAlign w:val="center"/>
          </w:tcPr>
          <w:p>
            <w:pPr>
              <w:adjustRightInd w:val="0"/>
              <w:snapToGrid w:val="0"/>
              <w:spacing w:line="360" w:lineRule="auto"/>
              <w:jc w:val="center"/>
              <w:rPr>
                <w:sz w:val="24"/>
              </w:rPr>
            </w:pPr>
            <w:r>
              <w:rPr>
                <w:sz w:val="24"/>
              </w:rPr>
              <w:t>/</w:t>
            </w:r>
          </w:p>
        </w:tc>
        <w:tc>
          <w:tcPr>
            <w:tcW w:w="1241" w:type="pct"/>
            <w:noWrap w:val="0"/>
            <w:vAlign w:val="center"/>
          </w:tcPr>
          <w:p>
            <w:pPr>
              <w:adjustRightInd w:val="0"/>
              <w:snapToGrid w:val="0"/>
              <w:spacing w:line="360" w:lineRule="auto"/>
              <w:jc w:val="center"/>
              <w:rPr>
                <w:sz w:val="24"/>
              </w:rPr>
            </w:pPr>
            <w:r>
              <w:rPr>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07" w:hRule="atLeast"/>
          <w:jc w:val="center"/>
        </w:trPr>
        <w:tc>
          <w:tcPr>
            <w:tcW w:w="653" w:type="pct"/>
            <w:noWrap w:val="0"/>
            <w:vAlign w:val="center"/>
          </w:tcPr>
          <w:p>
            <w:pPr>
              <w:adjustRightInd w:val="0"/>
              <w:snapToGrid w:val="0"/>
              <w:jc w:val="center"/>
              <w:rPr>
                <w:sz w:val="24"/>
              </w:rPr>
            </w:pPr>
            <w:r>
              <w:rPr>
                <w:sz w:val="24"/>
              </w:rPr>
              <w:t>固体废物</w:t>
            </w:r>
          </w:p>
        </w:tc>
        <w:tc>
          <w:tcPr>
            <w:tcW w:w="4347" w:type="pct"/>
            <w:gridSpan w:val="4"/>
            <w:noWrap w:val="0"/>
            <w:vAlign w:val="center"/>
          </w:tcPr>
          <w:p>
            <w:pPr>
              <w:numPr>
                <w:ilvl w:val="0"/>
                <w:numId w:val="11"/>
              </w:numPr>
              <w:adjustRightInd w:val="0"/>
              <w:snapToGrid w:val="0"/>
              <w:spacing w:line="360" w:lineRule="auto"/>
              <w:ind w:left="0" w:firstLine="0"/>
              <w:rPr>
                <w:sz w:val="24"/>
              </w:rPr>
            </w:pPr>
            <w:r>
              <w:rPr>
                <w:sz w:val="24"/>
              </w:rPr>
              <w:t>生活垃圾由环卫部门定期收集。</w:t>
            </w:r>
          </w:p>
          <w:p>
            <w:pPr>
              <w:adjustRightInd w:val="0"/>
              <w:snapToGrid w:val="0"/>
              <w:spacing w:line="360" w:lineRule="auto"/>
              <w:rPr>
                <w:sz w:val="24"/>
              </w:rPr>
            </w:pPr>
            <w:r>
              <w:rPr>
                <w:sz w:val="24"/>
              </w:rPr>
              <w:t>B、产生的栅渣及砂粒经统一收集、脱水等预处理后送城市垃圾处理场卫生填埋。</w:t>
            </w:r>
          </w:p>
          <w:p>
            <w:pPr>
              <w:adjustRightInd w:val="0"/>
              <w:snapToGrid w:val="0"/>
              <w:spacing w:line="360" w:lineRule="auto"/>
              <w:rPr>
                <w:sz w:val="24"/>
              </w:rPr>
            </w:pPr>
            <w:r>
              <w:rPr>
                <w:sz w:val="24"/>
              </w:rPr>
              <w:t>C、项目污泥经脱水后，含水率可降低至60%以下，进入污泥料仓密闭暂存，定期由密封翻斗车外运委托渠县万晟同新环保科技有限公司处理。</w:t>
            </w:r>
          </w:p>
          <w:p>
            <w:pPr>
              <w:adjustRightInd w:val="0"/>
              <w:snapToGrid w:val="0"/>
              <w:spacing w:line="360" w:lineRule="auto"/>
              <w:rPr>
                <w:sz w:val="24"/>
              </w:rPr>
            </w:pPr>
            <w:r>
              <w:rPr>
                <w:sz w:val="24"/>
              </w:rPr>
              <w:t>D、在线监测废液、废矿物油、废油桶、设备日常维护中产生的废含油棉纱和抹布：分类集中收集后暂存于厂区现有危废间，定期交由资质单位进行处理。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53" w:type="pct"/>
            <w:noWrap w:val="0"/>
            <w:vAlign w:val="center"/>
          </w:tcPr>
          <w:p>
            <w:pPr>
              <w:adjustRightInd w:val="0"/>
              <w:snapToGrid w:val="0"/>
              <w:jc w:val="center"/>
              <w:rPr>
                <w:sz w:val="24"/>
              </w:rPr>
            </w:pPr>
            <w:r>
              <w:rPr>
                <w:sz w:val="24"/>
              </w:rPr>
              <w:t>土壤及地下水</w:t>
            </w:r>
          </w:p>
          <w:p>
            <w:pPr>
              <w:adjustRightInd w:val="0"/>
              <w:snapToGrid w:val="0"/>
              <w:jc w:val="center"/>
              <w:rPr>
                <w:sz w:val="24"/>
              </w:rPr>
            </w:pPr>
            <w:r>
              <w:rPr>
                <w:sz w:val="24"/>
              </w:rPr>
              <w:t>污染防治措施</w:t>
            </w:r>
          </w:p>
        </w:tc>
        <w:tc>
          <w:tcPr>
            <w:tcW w:w="4347" w:type="pct"/>
            <w:gridSpan w:val="4"/>
            <w:noWrap w:val="0"/>
            <w:vAlign w:val="center"/>
          </w:tcPr>
          <w:p>
            <w:pPr>
              <w:widowControl/>
              <w:adjustRightInd w:val="0"/>
              <w:snapToGrid w:val="0"/>
              <w:spacing w:line="360" w:lineRule="auto"/>
              <w:rPr>
                <w:kern w:val="0"/>
                <w:sz w:val="24"/>
              </w:rPr>
            </w:pPr>
            <w:r>
              <w:rPr>
                <w:kern w:val="0"/>
                <w:sz w:val="24"/>
              </w:rPr>
              <w:t>重点防渗区为：本次新增的调节池和污泥池、一体化设备区域、污泥料仓区域。</w:t>
            </w:r>
          </w:p>
          <w:p>
            <w:pPr>
              <w:widowControl/>
              <w:adjustRightInd w:val="0"/>
              <w:snapToGrid w:val="0"/>
              <w:spacing w:line="360" w:lineRule="auto"/>
              <w:rPr>
                <w:kern w:val="0"/>
                <w:sz w:val="24"/>
              </w:rPr>
            </w:pPr>
            <w:r>
              <w:rPr>
                <w:kern w:val="0"/>
                <w:sz w:val="24"/>
              </w:rPr>
              <w:t>一般防渗区为：本次新增的反冲洗水罐区域。</w:t>
            </w:r>
          </w:p>
          <w:p>
            <w:pPr>
              <w:widowControl/>
              <w:adjustRightInd w:val="0"/>
              <w:snapToGrid w:val="0"/>
              <w:spacing w:line="360" w:lineRule="auto"/>
              <w:rPr>
                <w:sz w:val="24"/>
              </w:rPr>
            </w:pPr>
            <w:r>
              <w:rPr>
                <w:sz w:val="24"/>
              </w:rPr>
              <w:t>简单防渗区为：本次新增的简单防渗区域为厂区道路。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66" w:hRule="atLeast"/>
          <w:jc w:val="center"/>
        </w:trPr>
        <w:tc>
          <w:tcPr>
            <w:tcW w:w="653" w:type="pct"/>
            <w:noWrap w:val="0"/>
            <w:vAlign w:val="center"/>
          </w:tcPr>
          <w:p>
            <w:pPr>
              <w:adjustRightInd w:val="0"/>
              <w:snapToGrid w:val="0"/>
              <w:jc w:val="center"/>
              <w:rPr>
                <w:sz w:val="24"/>
              </w:rPr>
            </w:pPr>
            <w:r>
              <w:rPr>
                <w:sz w:val="24"/>
              </w:rPr>
              <w:t>生态保护措施</w:t>
            </w:r>
          </w:p>
        </w:tc>
        <w:tc>
          <w:tcPr>
            <w:tcW w:w="4347" w:type="pct"/>
            <w:gridSpan w:val="4"/>
            <w:noWrap w:val="0"/>
            <w:vAlign w:val="center"/>
          </w:tcPr>
          <w:p>
            <w:pPr>
              <w:adjustRightInd w:val="0"/>
              <w:snapToGrid w:val="0"/>
              <w:spacing w:line="360" w:lineRule="auto"/>
              <w:jc w:val="center"/>
              <w:rPr>
                <w:sz w:val="24"/>
              </w:rPr>
            </w:pPr>
            <w:r>
              <w:rPr>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161" w:hRule="atLeast"/>
          <w:jc w:val="center"/>
        </w:trPr>
        <w:tc>
          <w:tcPr>
            <w:tcW w:w="653" w:type="pct"/>
            <w:noWrap w:val="0"/>
            <w:vAlign w:val="center"/>
          </w:tcPr>
          <w:p>
            <w:pPr>
              <w:adjustRightInd w:val="0"/>
              <w:snapToGrid w:val="0"/>
              <w:jc w:val="center"/>
              <w:rPr>
                <w:spacing w:val="-8"/>
                <w:sz w:val="24"/>
              </w:rPr>
            </w:pPr>
            <w:r>
              <w:rPr>
                <w:spacing w:val="-8"/>
                <w:sz w:val="24"/>
              </w:rPr>
              <w:t>环境风险防范措施</w:t>
            </w:r>
          </w:p>
        </w:tc>
        <w:tc>
          <w:tcPr>
            <w:tcW w:w="4347" w:type="pct"/>
            <w:gridSpan w:val="4"/>
            <w:noWrap w:val="0"/>
            <w:vAlign w:val="center"/>
          </w:tcPr>
          <w:p>
            <w:pPr>
              <w:spacing w:line="360" w:lineRule="auto"/>
              <w:rPr>
                <w:sz w:val="24"/>
              </w:rPr>
            </w:pPr>
            <w:r>
              <w:rPr>
                <w:sz w:val="24"/>
              </w:rPr>
              <w:t>1、设置进、出水水质自动监测装置及报警装置，设置进站、出站污水截断装置；</w:t>
            </w:r>
          </w:p>
          <w:p>
            <w:pPr>
              <w:spacing w:line="360" w:lineRule="auto"/>
              <w:rPr>
                <w:sz w:val="24"/>
              </w:rPr>
            </w:pPr>
            <w:r>
              <w:rPr>
                <w:sz w:val="24"/>
              </w:rPr>
              <w:t>2、本项目调节池可兼</w:t>
            </w:r>
            <w:r>
              <w:rPr>
                <w:rFonts w:hint="eastAsia"/>
                <w:sz w:val="24"/>
              </w:rPr>
              <w:t>作</w:t>
            </w:r>
            <w:r>
              <w:rPr>
                <w:sz w:val="24"/>
              </w:rPr>
              <w:t>事故调节池，事故时，可将废水排入调节池内。</w:t>
            </w:r>
          </w:p>
          <w:p>
            <w:pPr>
              <w:spacing w:line="360" w:lineRule="auto"/>
              <w:rPr>
                <w:sz w:val="24"/>
              </w:rPr>
            </w:pPr>
            <w:r>
              <w:rPr>
                <w:sz w:val="24"/>
              </w:rPr>
              <w:t>3、污水处理厂设置备用柴油发电机，设置备用水泵，建立合适的事故处理程序、机制和措施；</w:t>
            </w:r>
          </w:p>
          <w:p>
            <w:pPr>
              <w:spacing w:line="360" w:lineRule="auto"/>
              <w:rPr>
                <w:sz w:val="24"/>
              </w:rPr>
            </w:pPr>
            <w:r>
              <w:rPr>
                <w:sz w:val="24"/>
              </w:rPr>
              <w:t>4、地上消火栓和干粉灭火器，报警设施，原料库区应设置明显的“禁止明火”标志、配备呼吸器、面罩、防护服等。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92" w:hRule="atLeast"/>
          <w:jc w:val="center"/>
        </w:trPr>
        <w:tc>
          <w:tcPr>
            <w:tcW w:w="653" w:type="pct"/>
            <w:noWrap w:val="0"/>
            <w:vAlign w:val="center"/>
          </w:tcPr>
          <w:p>
            <w:pPr>
              <w:adjustRightInd w:val="0"/>
              <w:snapToGrid w:val="0"/>
              <w:jc w:val="center"/>
              <w:rPr>
                <w:spacing w:val="-8"/>
                <w:sz w:val="24"/>
              </w:rPr>
            </w:pPr>
            <w:r>
              <w:rPr>
                <w:spacing w:val="-8"/>
                <w:sz w:val="24"/>
              </w:rPr>
              <w:t>其他环境管理要求</w:t>
            </w:r>
          </w:p>
        </w:tc>
        <w:tc>
          <w:tcPr>
            <w:tcW w:w="4347" w:type="pct"/>
            <w:gridSpan w:val="4"/>
            <w:noWrap w:val="0"/>
            <w:vAlign w:val="center"/>
          </w:tcPr>
          <w:p>
            <w:pPr>
              <w:spacing w:line="360" w:lineRule="auto"/>
              <w:ind w:firstLine="482" w:firstLineChars="200"/>
              <w:rPr>
                <w:b/>
                <w:bCs/>
                <w:sz w:val="24"/>
              </w:rPr>
            </w:pPr>
            <w:r>
              <w:rPr>
                <w:b/>
                <w:bCs/>
                <w:sz w:val="24"/>
              </w:rPr>
              <w:t>1、环境管理</w:t>
            </w:r>
          </w:p>
          <w:p>
            <w:pPr>
              <w:spacing w:line="360" w:lineRule="auto"/>
              <w:ind w:firstLine="480" w:firstLineChars="200"/>
              <w:rPr>
                <w:sz w:val="24"/>
              </w:rPr>
            </w:pPr>
            <w:r>
              <w:rPr>
                <w:sz w:val="24"/>
              </w:rPr>
              <w:t>（1）环境管理体系</w:t>
            </w:r>
          </w:p>
          <w:p>
            <w:pPr>
              <w:spacing w:line="360" w:lineRule="auto"/>
              <w:ind w:firstLine="480" w:firstLineChars="200"/>
              <w:rPr>
                <w:sz w:val="24"/>
              </w:rPr>
            </w:pPr>
            <w:r>
              <w:rPr>
                <w:rFonts w:hint="eastAsia" w:ascii="宋体" w:hAnsi="宋体" w:cs="宋体"/>
                <w:sz w:val="24"/>
              </w:rPr>
              <w:t>①</w:t>
            </w:r>
            <w:r>
              <w:rPr>
                <w:sz w:val="24"/>
              </w:rPr>
              <w:t>环境管理机构的设置</w:t>
            </w:r>
          </w:p>
          <w:p>
            <w:pPr>
              <w:spacing w:line="360" w:lineRule="auto"/>
              <w:ind w:firstLine="480" w:firstLineChars="200"/>
              <w:rPr>
                <w:sz w:val="24"/>
              </w:rPr>
            </w:pPr>
            <w:r>
              <w:rPr>
                <w:sz w:val="24"/>
              </w:rPr>
              <w:t>为了做好生产全过程的环境保护工作，减轻本项目外排污染物对环境的影响程度，建设单位应高度重视环境保护工作。建议设立内部环境保护管理机构，专人负责环境保护工作，实行定岗定员，岗位责任制，负责各生产环节的环境保护管理，保证环保设施的正常运行。</w:t>
            </w:r>
          </w:p>
          <w:p>
            <w:pPr>
              <w:spacing w:line="360" w:lineRule="auto"/>
              <w:ind w:firstLine="480" w:firstLineChars="200"/>
              <w:rPr>
                <w:sz w:val="24"/>
              </w:rPr>
            </w:pPr>
            <w:r>
              <w:rPr>
                <w:rFonts w:hint="eastAsia" w:ascii="宋体" w:hAnsi="宋体" w:cs="宋体"/>
                <w:sz w:val="24"/>
              </w:rPr>
              <w:t>②</w:t>
            </w:r>
            <w:r>
              <w:rPr>
                <w:sz w:val="24"/>
              </w:rPr>
              <w:t>环境管理机构的职责</w:t>
            </w:r>
          </w:p>
          <w:p>
            <w:pPr>
              <w:spacing w:line="360" w:lineRule="auto"/>
              <w:ind w:firstLine="480" w:firstLineChars="200"/>
              <w:rPr>
                <w:sz w:val="24"/>
              </w:rPr>
            </w:pPr>
            <w:r>
              <w:rPr>
                <w:sz w:val="24"/>
              </w:rPr>
              <w:t>1）保持与环境保护主管机构的密切联系，及时了解国家、地方对本项目的有关环境保护的法律法规和其它要求，及时向环境保护主管机构反映与项目有关的污染因素、存在的环境问题、采取的污染控制对策等环境保护方面的内容，听取环境保护主管机构的批示意见。</w:t>
            </w:r>
          </w:p>
          <w:p>
            <w:pPr>
              <w:spacing w:line="360" w:lineRule="auto"/>
              <w:ind w:firstLine="480" w:firstLineChars="200"/>
              <w:rPr>
                <w:sz w:val="24"/>
              </w:rPr>
            </w:pPr>
            <w:r>
              <w:rPr>
                <w:sz w:val="24"/>
              </w:rPr>
              <w:t>2）及时将国家、地方与本项目环境保护有关的法律法规和规定向单位负责人汇报，及时向本单位有关机构、人员进行通报，组织职工进行环境保护方面的教育、培训，</w:t>
            </w:r>
            <w:r>
              <w:rPr>
                <w:rFonts w:hint="eastAsia"/>
                <w:sz w:val="24"/>
              </w:rPr>
              <w:t>增强</w:t>
            </w:r>
            <w:r>
              <w:rPr>
                <w:sz w:val="24"/>
              </w:rPr>
              <w:t>环保意识。</w:t>
            </w:r>
          </w:p>
          <w:p>
            <w:pPr>
              <w:spacing w:line="360" w:lineRule="auto"/>
              <w:ind w:firstLine="480" w:firstLineChars="200"/>
              <w:rPr>
                <w:sz w:val="24"/>
              </w:rPr>
            </w:pPr>
            <w:r>
              <w:rPr>
                <w:sz w:val="24"/>
              </w:rPr>
              <w:t>3）及时向单位负责人汇报与本项目有关的污染因素、存在的环境问题、采取的污染控制对策、实施情况等，提出改进建议。</w:t>
            </w:r>
          </w:p>
          <w:p>
            <w:pPr>
              <w:spacing w:line="360" w:lineRule="auto"/>
              <w:ind w:firstLine="480" w:firstLineChars="200"/>
              <w:rPr>
                <w:sz w:val="24"/>
              </w:rPr>
            </w:pPr>
            <w:r>
              <w:rPr>
                <w:sz w:val="24"/>
              </w:rPr>
              <w:t>4）负责制定、监督实施本单位的有关环境保护管理规章制度，负责实施污染控制措施、管理污染治理设施，并进行详细的记录，以备检查。</w:t>
            </w:r>
          </w:p>
          <w:p>
            <w:pPr>
              <w:spacing w:line="360" w:lineRule="auto"/>
              <w:ind w:firstLine="480" w:firstLineChars="200"/>
              <w:rPr>
                <w:sz w:val="24"/>
              </w:rPr>
            </w:pPr>
            <w:r>
              <w:rPr>
                <w:sz w:val="24"/>
              </w:rPr>
              <w:t>5）按本报告提出的各项环境保护措施，编制详细的环境保护措施落实计划，明确各污染源位置、环境影响、环境保护措施、落实责任机构（人）等，并将该环境保护计划以书面形式发给相关人员，以便于各项措施的有效落实。</w:t>
            </w:r>
          </w:p>
          <w:p>
            <w:pPr>
              <w:spacing w:line="360" w:lineRule="auto"/>
              <w:ind w:firstLine="480" w:firstLineChars="200"/>
              <w:rPr>
                <w:sz w:val="24"/>
              </w:rPr>
            </w:pPr>
            <w:r>
              <w:rPr>
                <w:rFonts w:hint="eastAsia" w:ascii="宋体" w:hAnsi="宋体" w:cs="宋体"/>
                <w:sz w:val="24"/>
              </w:rPr>
              <w:t>③</w:t>
            </w:r>
            <w:r>
              <w:rPr>
                <w:sz w:val="24"/>
              </w:rPr>
              <w:t>环境管理制度</w:t>
            </w:r>
          </w:p>
          <w:p>
            <w:pPr>
              <w:spacing w:line="360" w:lineRule="auto"/>
              <w:ind w:firstLine="480" w:firstLineChars="200"/>
              <w:rPr>
                <w:sz w:val="24"/>
              </w:rPr>
            </w:pPr>
            <w:r>
              <w:rPr>
                <w:sz w:val="24"/>
              </w:rPr>
              <w:t>建设单位应建立健全必要的环境管理规章制度，并把它作为企业领导和全体职工必须严格遵守的一种规范和总则。“有规可循、执规必严”是环境管理得以顺利实施的重要保证。各项规章制度要体现环境管理的任务、内容和准则，使环境管理特点和要求渗透到企业的各项管理工作之中。</w:t>
            </w:r>
          </w:p>
          <w:p>
            <w:pPr>
              <w:spacing w:line="360" w:lineRule="auto"/>
              <w:ind w:firstLine="480" w:firstLineChars="200"/>
              <w:rPr>
                <w:sz w:val="24"/>
              </w:rPr>
            </w:pPr>
            <w:r>
              <w:rPr>
                <w:sz w:val="24"/>
              </w:rPr>
              <w:t>加强建设项目的环境管理，根据本报告提出的污染防治措施和对策，制定出切实可行的环境污染防治方法和措施；做好环境教育和宣传工作，提供各级管理人员和操作人员的环境保护意识，加强员工对环境污染防治的责任心，自觉遵守和执行各项环境保护的规章制度；定期对环境保护设施进行维护和保养，确保环境保护设施的正常运行，防止污染事故的发生；加强与环境保护管理部门的沟通和联系，主动接受环境主管部门的管理、监督和指导。</w:t>
            </w:r>
          </w:p>
          <w:p>
            <w:pPr>
              <w:spacing w:line="360" w:lineRule="auto"/>
              <w:ind w:firstLine="480" w:firstLineChars="200"/>
              <w:rPr>
                <w:sz w:val="24"/>
              </w:rPr>
            </w:pPr>
            <w:r>
              <w:rPr>
                <w:sz w:val="24"/>
              </w:rPr>
              <w:t>（2）环境管理计划</w:t>
            </w:r>
          </w:p>
          <w:p>
            <w:pPr>
              <w:spacing w:line="360" w:lineRule="auto"/>
              <w:ind w:firstLine="480" w:firstLineChars="200"/>
              <w:rPr>
                <w:sz w:val="24"/>
              </w:rPr>
            </w:pPr>
            <w:r>
              <w:rPr>
                <w:sz w:val="24"/>
              </w:rPr>
              <w:t>1）结合本工程工艺状况，制定并贯彻落实符合公司特点的环保方针。遵守国家、地方的有关</w:t>
            </w:r>
            <w:r>
              <w:rPr>
                <w:rFonts w:hint="eastAsia"/>
                <w:sz w:val="24"/>
                <w:lang w:eastAsia="zh-CN"/>
              </w:rPr>
              <w:t>法律法规</w:t>
            </w:r>
            <w:r>
              <w:rPr>
                <w:sz w:val="24"/>
              </w:rPr>
              <w:t>以及其它的有关规定。</w:t>
            </w:r>
          </w:p>
          <w:p>
            <w:pPr>
              <w:spacing w:line="360" w:lineRule="auto"/>
              <w:ind w:firstLine="480" w:firstLineChars="200"/>
              <w:rPr>
                <w:sz w:val="24"/>
              </w:rPr>
            </w:pPr>
            <w:r>
              <w:rPr>
                <w:sz w:val="24"/>
              </w:rPr>
              <w:t>2）根据制定的环保方针，确定公司的环保目标和可量化的环保指标，使全体员工都参与到环保工作中。</w:t>
            </w:r>
          </w:p>
          <w:p>
            <w:pPr>
              <w:spacing w:line="360" w:lineRule="auto"/>
              <w:ind w:firstLine="480" w:firstLineChars="200"/>
              <w:rPr>
                <w:sz w:val="24"/>
              </w:rPr>
            </w:pPr>
            <w:r>
              <w:rPr>
                <w:sz w:val="24"/>
              </w:rPr>
              <w:t>3）宣传、贯彻国家及地方的环境保护方针、法规、政策，不断</w:t>
            </w:r>
            <w:r>
              <w:rPr>
                <w:rFonts w:hint="eastAsia"/>
                <w:sz w:val="24"/>
              </w:rPr>
              <w:t>增强</w:t>
            </w:r>
            <w:r>
              <w:rPr>
                <w:sz w:val="24"/>
              </w:rPr>
              <w:t>全体员工的环保意识和遵守环保法规的自觉性。</w:t>
            </w:r>
          </w:p>
          <w:p>
            <w:pPr>
              <w:spacing w:line="360" w:lineRule="auto"/>
              <w:ind w:firstLine="480" w:firstLineChars="200"/>
              <w:rPr>
                <w:sz w:val="24"/>
              </w:rPr>
            </w:pPr>
            <w:r>
              <w:rPr>
                <w:sz w:val="24"/>
              </w:rPr>
              <w:t>4）组织实施环境保护工作规划、年度污染治理计划、环境监测计划和环保工作计划。</w:t>
            </w:r>
          </w:p>
          <w:p>
            <w:pPr>
              <w:spacing w:line="360" w:lineRule="auto"/>
              <w:ind w:firstLine="480" w:firstLineChars="200"/>
              <w:rPr>
                <w:sz w:val="24"/>
              </w:rPr>
            </w:pPr>
            <w:r>
              <w:rPr>
                <w:sz w:val="24"/>
              </w:rPr>
              <w:t>5）环保设施的运行管理，保证其正常运行；掌握运行过程中存在的问题，及时提出解决办法和改进措施，监督检查环保设施的日常维护工作。</w:t>
            </w:r>
          </w:p>
          <w:p>
            <w:pPr>
              <w:spacing w:line="360" w:lineRule="auto"/>
              <w:ind w:firstLine="480" w:firstLineChars="200"/>
              <w:rPr>
                <w:sz w:val="24"/>
              </w:rPr>
            </w:pPr>
            <w:r>
              <w:rPr>
                <w:sz w:val="24"/>
              </w:rPr>
              <w:t>6）建立健全污染源档案工作、环保统计工作，建立厂内环保设施运行状况、污染物排放情况的逐月记录工作。</w:t>
            </w:r>
          </w:p>
          <w:p>
            <w:pPr>
              <w:spacing w:line="360" w:lineRule="auto"/>
              <w:ind w:firstLine="480" w:firstLineChars="200"/>
              <w:rPr>
                <w:sz w:val="24"/>
              </w:rPr>
            </w:pPr>
            <w:r>
              <w:rPr>
                <w:sz w:val="24"/>
              </w:rPr>
              <w:t>7）按照公司环保管理监测计划，配合环境监测站完成对全厂“三废”污染源监测或环境监测。</w:t>
            </w:r>
          </w:p>
          <w:p>
            <w:pPr>
              <w:spacing w:line="360" w:lineRule="auto"/>
              <w:ind w:firstLine="480" w:firstLineChars="200"/>
              <w:rPr>
                <w:sz w:val="24"/>
              </w:rPr>
            </w:pPr>
            <w:r>
              <w:rPr>
                <w:sz w:val="24"/>
              </w:rPr>
              <w:t>8）准备和接受环保部门对本厂的排污监理、</w:t>
            </w:r>
            <w:r>
              <w:rPr>
                <w:rFonts w:hint="eastAsia"/>
                <w:sz w:val="24"/>
              </w:rPr>
              <w:t>环保督察</w:t>
            </w:r>
            <w:r>
              <w:rPr>
                <w:sz w:val="24"/>
              </w:rPr>
              <w:t>、执法检查等工作，并协调处理工作中出现的问题。</w:t>
            </w:r>
          </w:p>
          <w:p>
            <w:pPr>
              <w:spacing w:line="360" w:lineRule="auto"/>
              <w:ind w:firstLine="480" w:firstLineChars="200"/>
              <w:rPr>
                <w:sz w:val="24"/>
              </w:rPr>
            </w:pPr>
            <w:r>
              <w:rPr>
                <w:sz w:val="24"/>
              </w:rPr>
              <w:t>9）组织开展污染治理的技术调研、技术咨询工作，组织参与污染治理和二次资源的综合利用开发、推广应用等工作。</w:t>
            </w:r>
          </w:p>
          <w:p>
            <w:pPr>
              <w:spacing w:line="360" w:lineRule="auto"/>
              <w:ind w:firstLine="480" w:firstLineChars="200"/>
              <w:rPr>
                <w:sz w:val="24"/>
              </w:rPr>
            </w:pPr>
            <w:r>
              <w:rPr>
                <w:sz w:val="24"/>
              </w:rPr>
              <w:t>10）组织推进清洁生产方式，开展“清洁工厂”的创建和保持工作。</w:t>
            </w:r>
          </w:p>
          <w:p>
            <w:pPr>
              <w:spacing w:line="360" w:lineRule="auto"/>
              <w:ind w:firstLine="480" w:firstLineChars="200"/>
              <w:rPr>
                <w:sz w:val="24"/>
              </w:rPr>
            </w:pPr>
            <w:r>
              <w:rPr>
                <w:sz w:val="24"/>
              </w:rPr>
              <w:t>11）开展厂内一年一度的环保管理评审工作，总结环保工作中的成绩和存在的问题，提出改进措施。</w:t>
            </w:r>
          </w:p>
          <w:p>
            <w:pPr>
              <w:spacing w:line="360" w:lineRule="auto"/>
              <w:ind w:firstLine="480" w:firstLineChars="200"/>
              <w:rPr>
                <w:sz w:val="24"/>
              </w:rPr>
            </w:pPr>
            <w:r>
              <w:rPr>
                <w:sz w:val="24"/>
              </w:rPr>
              <w:t>12）负责处理污染事故，对事故排放应采取应急措施，防止事故影响扩大。对污染事故发生原因、事故责任、事故后果进行调查，并及时上报公司。接受和配合地方环保部门对污染事故的调查和处理。</w:t>
            </w:r>
          </w:p>
          <w:p>
            <w:pPr>
              <w:spacing w:line="360" w:lineRule="auto"/>
              <w:ind w:firstLine="482" w:firstLineChars="200"/>
              <w:jc w:val="left"/>
              <w:rPr>
                <w:b/>
                <w:bCs/>
                <w:sz w:val="24"/>
              </w:rPr>
            </w:pPr>
            <w:r>
              <w:rPr>
                <w:b/>
                <w:bCs/>
                <w:sz w:val="24"/>
              </w:rPr>
              <w:t>2、排污口规范化管理</w:t>
            </w:r>
          </w:p>
          <w:p>
            <w:pPr>
              <w:pStyle w:val="2"/>
              <w:spacing w:after="0" w:line="360" w:lineRule="auto"/>
              <w:ind w:right="0" w:firstLine="480" w:firstLineChars="200"/>
              <w:rPr>
                <w:sz w:val="24"/>
                <w:szCs w:val="24"/>
              </w:rPr>
            </w:pPr>
            <w:bookmarkStart w:id="31" w:name="_Hlk74016442"/>
            <w:r>
              <w:rPr>
                <w:sz w:val="24"/>
                <w:szCs w:val="24"/>
              </w:rPr>
              <w:t>排污口是项目投产后污染物进入环境、污染环境的通道，强化排污口管理是实施污染物总量控制的基础工作之一，也是环境管理逐步实现污染物科学化、定量化的主要手段。</w:t>
            </w:r>
          </w:p>
          <w:p>
            <w:pPr>
              <w:pStyle w:val="2"/>
              <w:spacing w:after="0" w:line="360" w:lineRule="auto"/>
              <w:ind w:right="0" w:firstLine="480" w:firstLineChars="200"/>
              <w:rPr>
                <w:sz w:val="24"/>
                <w:szCs w:val="24"/>
              </w:rPr>
            </w:pPr>
            <w:r>
              <w:rPr>
                <w:sz w:val="24"/>
                <w:szCs w:val="24"/>
              </w:rPr>
              <w:t>1）排污口规范化管理的基本原则</w:t>
            </w:r>
          </w:p>
          <w:p>
            <w:pPr>
              <w:pStyle w:val="2"/>
              <w:spacing w:after="0" w:line="360" w:lineRule="auto"/>
              <w:ind w:right="0" w:firstLine="480" w:firstLineChars="200"/>
              <w:rPr>
                <w:sz w:val="24"/>
                <w:szCs w:val="24"/>
              </w:rPr>
            </w:pPr>
            <w:r>
              <w:rPr>
                <w:rFonts w:hint="eastAsia" w:ascii="宋体" w:hAnsi="宋体" w:cs="宋体"/>
                <w:sz w:val="24"/>
                <w:szCs w:val="24"/>
              </w:rPr>
              <w:t>①</w:t>
            </w:r>
            <w:r>
              <w:rPr>
                <w:sz w:val="24"/>
                <w:szCs w:val="24"/>
              </w:rPr>
              <w:t>向环境排放污染物的排放口必须规范化。</w:t>
            </w:r>
          </w:p>
          <w:p>
            <w:pPr>
              <w:pStyle w:val="2"/>
              <w:spacing w:after="0" w:line="360" w:lineRule="auto"/>
              <w:ind w:right="0" w:firstLine="480" w:firstLineChars="200"/>
              <w:rPr>
                <w:sz w:val="24"/>
                <w:szCs w:val="24"/>
              </w:rPr>
            </w:pPr>
            <w:r>
              <w:rPr>
                <w:rFonts w:hint="eastAsia" w:ascii="宋体" w:hAnsi="宋体" w:cs="宋体"/>
                <w:sz w:val="24"/>
                <w:szCs w:val="24"/>
              </w:rPr>
              <w:t>②</w:t>
            </w:r>
            <w:r>
              <w:rPr>
                <w:sz w:val="24"/>
                <w:szCs w:val="24"/>
              </w:rPr>
              <w:t>根据工程的特点和国家列入的总量控制指标，废水总排放口、除臭装置排口、锅炉烟囱作为管理的重点。</w:t>
            </w:r>
          </w:p>
          <w:p>
            <w:pPr>
              <w:pStyle w:val="2"/>
              <w:spacing w:after="0" w:line="360" w:lineRule="auto"/>
              <w:ind w:right="0" w:firstLine="480" w:firstLineChars="200"/>
              <w:rPr>
                <w:sz w:val="24"/>
                <w:szCs w:val="24"/>
              </w:rPr>
            </w:pPr>
            <w:r>
              <w:rPr>
                <w:rFonts w:hint="eastAsia" w:ascii="宋体" w:hAnsi="宋体" w:cs="宋体"/>
                <w:sz w:val="24"/>
                <w:szCs w:val="24"/>
              </w:rPr>
              <w:t>③</w:t>
            </w:r>
            <w:r>
              <w:rPr>
                <w:sz w:val="24"/>
                <w:szCs w:val="24"/>
              </w:rPr>
              <w:t>排污口应便于采样与计量检测，便于日常现场监督检查。</w:t>
            </w:r>
          </w:p>
          <w:p>
            <w:pPr>
              <w:pStyle w:val="2"/>
              <w:spacing w:after="0" w:line="360" w:lineRule="auto"/>
              <w:ind w:right="0" w:firstLine="480" w:firstLineChars="200"/>
              <w:rPr>
                <w:sz w:val="24"/>
                <w:szCs w:val="24"/>
              </w:rPr>
            </w:pPr>
            <w:r>
              <w:rPr>
                <w:sz w:val="24"/>
                <w:szCs w:val="24"/>
              </w:rPr>
              <w:t>2）排污口的技术要求</w:t>
            </w:r>
          </w:p>
          <w:p>
            <w:pPr>
              <w:pStyle w:val="2"/>
              <w:spacing w:after="0" w:line="360" w:lineRule="auto"/>
              <w:ind w:right="0" w:firstLine="480" w:firstLineChars="200"/>
              <w:rPr>
                <w:sz w:val="24"/>
                <w:szCs w:val="24"/>
              </w:rPr>
            </w:pPr>
            <w:r>
              <w:rPr>
                <w:rFonts w:hint="eastAsia" w:ascii="宋体" w:hAnsi="宋体" w:cs="宋体"/>
                <w:sz w:val="24"/>
                <w:szCs w:val="24"/>
              </w:rPr>
              <w:t>①</w:t>
            </w:r>
            <w:r>
              <w:rPr>
                <w:sz w:val="24"/>
                <w:szCs w:val="24"/>
              </w:rPr>
              <w:t>根据《环境保护图形标志—排放口（源）》（GB15562.1-1995）和《排污口规范化整治要求（试行）》（环监〔1996〕470号）的要求，企业所有排放口（包括气、声、固体废物），必须按照“便于计量监测、便于日常现场监督检查”的原则和规范化要求，设置与之相适应的环境保护图形标志牌，绘制企业排污口分布图，对治理设施安装运行监控装置。</w:t>
            </w:r>
          </w:p>
          <w:p>
            <w:pPr>
              <w:pStyle w:val="2"/>
              <w:spacing w:after="0" w:line="360" w:lineRule="auto"/>
              <w:ind w:right="0" w:firstLine="480" w:firstLineChars="200"/>
              <w:rPr>
                <w:sz w:val="24"/>
                <w:szCs w:val="24"/>
              </w:rPr>
            </w:pPr>
            <w:r>
              <w:rPr>
                <w:rFonts w:hint="eastAsia" w:ascii="宋体" w:hAnsi="宋体" w:cs="宋体"/>
                <w:sz w:val="24"/>
                <w:szCs w:val="24"/>
              </w:rPr>
              <w:t>②</w:t>
            </w:r>
            <w:r>
              <w:rPr>
                <w:sz w:val="24"/>
                <w:szCs w:val="24"/>
              </w:rPr>
              <w:t>项目废气排气筒应设置便于采样、监测的采样口和采样监测平台。在排气筒附近地面醒目处设置环保图形标志牌，标明排气筒高度、出口内径、排放污染物种类等；废水纳管口为满足测量流量要求，应安装污水流量计。</w:t>
            </w:r>
          </w:p>
          <w:p>
            <w:pPr>
              <w:pStyle w:val="2"/>
              <w:spacing w:after="0" w:line="360" w:lineRule="auto"/>
              <w:ind w:right="0" w:firstLine="480" w:firstLineChars="200"/>
              <w:rPr>
                <w:sz w:val="24"/>
                <w:szCs w:val="24"/>
              </w:rPr>
            </w:pPr>
            <w:r>
              <w:rPr>
                <w:rFonts w:hint="eastAsia" w:ascii="宋体" w:hAnsi="宋体" w:cs="宋体"/>
                <w:sz w:val="24"/>
                <w:szCs w:val="24"/>
              </w:rPr>
              <w:t>③</w:t>
            </w:r>
            <w:r>
              <w:rPr>
                <w:sz w:val="24"/>
                <w:szCs w:val="24"/>
              </w:rPr>
              <w:t>固体废物堆放场所，必须有防火、防腐蚀、防流失等措施，并设标志牌。</w:t>
            </w:r>
          </w:p>
          <w:p>
            <w:pPr>
              <w:pStyle w:val="2"/>
              <w:spacing w:after="0" w:line="360" w:lineRule="auto"/>
              <w:ind w:right="0" w:firstLine="480" w:firstLineChars="200"/>
              <w:rPr>
                <w:sz w:val="24"/>
                <w:szCs w:val="24"/>
              </w:rPr>
            </w:pPr>
            <w:r>
              <w:rPr>
                <w:sz w:val="24"/>
                <w:szCs w:val="24"/>
              </w:rPr>
              <w:t>3）排污口立标管理</w:t>
            </w:r>
          </w:p>
          <w:p>
            <w:pPr>
              <w:pStyle w:val="2"/>
              <w:spacing w:after="0" w:line="360" w:lineRule="auto"/>
              <w:ind w:right="0" w:firstLine="480" w:firstLineChars="200"/>
              <w:rPr>
                <w:sz w:val="24"/>
                <w:szCs w:val="24"/>
              </w:rPr>
            </w:pPr>
            <w:r>
              <w:rPr>
                <w:rFonts w:hint="eastAsia" w:ascii="宋体" w:hAnsi="宋体" w:cs="宋体"/>
                <w:sz w:val="24"/>
                <w:szCs w:val="24"/>
              </w:rPr>
              <w:t>①</w:t>
            </w:r>
            <w:r>
              <w:rPr>
                <w:sz w:val="24"/>
                <w:szCs w:val="24"/>
              </w:rPr>
              <w:t>各污染物排放口，按国家《环境保护图形标志》（GB15562.1-1995）和（GB15562.2-1995）的规定，设置国家环境保护总局统一制作的环境保护图形标志牌。排放口图形标志牌见图5-1。</w:t>
            </w:r>
          </w:p>
          <w:p>
            <w:pPr>
              <w:pStyle w:val="2"/>
              <w:spacing w:after="0" w:line="360" w:lineRule="auto"/>
              <w:ind w:right="0"/>
              <w:jc w:val="center"/>
              <w:rPr>
                <w:szCs w:val="21"/>
              </w:rPr>
            </w:pPr>
            <w:r>
              <w:rPr>
                <w:szCs w:val="21"/>
              </w:rPr>
              <w:drawing>
                <wp:inline distT="0" distB="0" distL="114300" distR="114300">
                  <wp:extent cx="3544570" cy="2448560"/>
                  <wp:effectExtent l="0" t="0" r="17780" b="8890"/>
                  <wp:docPr id="29" name="图片 9" descr="C:\Users\Administrator\Desktop\环保标志.bmp环保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descr="C:\Users\Administrator\Desktop\环保标志.bmp环保标志"/>
                          <pic:cNvPicPr>
                            <a:picLocks noChangeAspect="1"/>
                          </pic:cNvPicPr>
                        </pic:nvPicPr>
                        <pic:blipFill>
                          <a:blip r:embed="rId37"/>
                          <a:stretch>
                            <a:fillRect/>
                          </a:stretch>
                        </pic:blipFill>
                        <pic:spPr>
                          <a:xfrm>
                            <a:off x="0" y="0"/>
                            <a:ext cx="3544570" cy="2448560"/>
                          </a:xfrm>
                          <a:prstGeom prst="rect">
                            <a:avLst/>
                          </a:prstGeom>
                          <a:noFill/>
                          <a:ln>
                            <a:noFill/>
                          </a:ln>
                        </pic:spPr>
                      </pic:pic>
                    </a:graphicData>
                  </a:graphic>
                </wp:inline>
              </w:drawing>
            </w:r>
          </w:p>
          <w:p>
            <w:pPr>
              <w:spacing w:line="360" w:lineRule="auto"/>
              <w:ind w:firstLine="480" w:firstLineChars="200"/>
              <w:jc w:val="center"/>
              <w:rPr>
                <w:rFonts w:eastAsia="黑体"/>
                <w:bCs/>
                <w:kern w:val="0"/>
                <w:sz w:val="24"/>
              </w:rPr>
            </w:pPr>
            <w:r>
              <w:rPr>
                <w:rFonts w:eastAsia="黑体"/>
                <w:bCs/>
                <w:kern w:val="0"/>
                <w:sz w:val="24"/>
              </w:rPr>
              <w:t>图5-1    排放口图形标志牌</w:t>
            </w:r>
          </w:p>
          <w:p>
            <w:pPr>
              <w:adjustRightInd w:val="0"/>
              <w:snapToGrid w:val="0"/>
              <w:spacing w:line="360" w:lineRule="auto"/>
              <w:ind w:firstLine="480" w:firstLineChars="200"/>
              <w:rPr>
                <w:sz w:val="24"/>
              </w:rPr>
            </w:pPr>
            <w:r>
              <w:rPr>
                <w:rFonts w:hint="eastAsia" w:ascii="宋体" w:hAnsi="宋体" w:cs="宋体"/>
                <w:sz w:val="24"/>
              </w:rPr>
              <w:t>②</w:t>
            </w:r>
            <w:r>
              <w:rPr>
                <w:sz w:val="24"/>
              </w:rPr>
              <w:t>污染物排放口的环保图形标志牌应设置在排污口附近且醒目处，标志牌设置高度为其上缘距地面2m；排污口附近1m范围内有建筑物的，设平面式标志牌，无建筑物的设立式标志牌。</w:t>
            </w:r>
          </w:p>
          <w:p>
            <w:pPr>
              <w:adjustRightInd w:val="0"/>
              <w:snapToGrid w:val="0"/>
              <w:spacing w:line="360" w:lineRule="auto"/>
              <w:ind w:firstLine="480" w:firstLineChars="200"/>
              <w:rPr>
                <w:sz w:val="24"/>
              </w:rPr>
            </w:pPr>
            <w:r>
              <w:rPr>
                <w:rFonts w:hint="eastAsia" w:ascii="宋体" w:hAnsi="宋体" w:cs="宋体"/>
                <w:sz w:val="24"/>
              </w:rPr>
              <w:t>③</w:t>
            </w:r>
            <w:r>
              <w:rPr>
                <w:sz w:val="24"/>
              </w:rPr>
              <w:t>规范化排污口的有关设置（如图形标志牌、监控装置等）属环保设施，排污单位必须负责日常的维护保养，任何单位和个人不得擅自拆除，如需变更的须报环境监管部门同意并办理变更手续。</w:t>
            </w:r>
          </w:p>
          <w:p>
            <w:pPr>
              <w:adjustRightInd w:val="0"/>
              <w:snapToGrid w:val="0"/>
              <w:spacing w:line="360" w:lineRule="auto"/>
              <w:ind w:firstLine="480" w:firstLineChars="200"/>
              <w:rPr>
                <w:sz w:val="24"/>
              </w:rPr>
            </w:pPr>
            <w:r>
              <w:rPr>
                <w:sz w:val="24"/>
              </w:rPr>
              <w:t>4）排污口建档管理</w:t>
            </w:r>
          </w:p>
          <w:p>
            <w:pPr>
              <w:adjustRightInd w:val="0"/>
              <w:snapToGrid w:val="0"/>
              <w:spacing w:line="360" w:lineRule="auto"/>
              <w:ind w:firstLine="480" w:firstLineChars="200"/>
              <w:rPr>
                <w:sz w:val="24"/>
              </w:rPr>
            </w:pPr>
            <w:r>
              <w:rPr>
                <w:rFonts w:hint="eastAsia" w:ascii="宋体" w:hAnsi="宋体" w:cs="宋体"/>
                <w:sz w:val="24"/>
              </w:rPr>
              <w:t>①</w:t>
            </w:r>
            <w:r>
              <w:rPr>
                <w:sz w:val="24"/>
              </w:rPr>
              <w:t>要求使用国家环境保护总局统一印制的《中华人民共和国规范化排污口标志牌登记证》，并按要求填写有关内容。</w:t>
            </w:r>
          </w:p>
          <w:p>
            <w:pPr>
              <w:adjustRightInd w:val="0"/>
              <w:snapToGrid w:val="0"/>
              <w:spacing w:line="360" w:lineRule="auto"/>
              <w:ind w:firstLine="480" w:firstLineChars="200"/>
              <w:rPr>
                <w:sz w:val="24"/>
              </w:rPr>
            </w:pPr>
            <w:r>
              <w:rPr>
                <w:rFonts w:hint="eastAsia" w:ascii="宋体" w:hAnsi="宋体" w:cs="宋体"/>
                <w:sz w:val="24"/>
              </w:rPr>
              <w:t>②</w:t>
            </w:r>
            <w:r>
              <w:rPr>
                <w:sz w:val="24"/>
              </w:rPr>
              <w:t>根据排污口管理档案内容要求，本项目建成投产后，应将主要污染物种类、数量、浓度、排放去向、达标情况及设施运行情况记录于档案。</w:t>
            </w:r>
          </w:p>
          <w:p>
            <w:pPr>
              <w:adjustRightInd w:val="0"/>
              <w:snapToGrid w:val="0"/>
              <w:spacing w:line="360" w:lineRule="auto"/>
              <w:ind w:firstLine="480" w:firstLineChars="200"/>
              <w:rPr>
                <w:sz w:val="24"/>
              </w:rPr>
            </w:pPr>
            <w:r>
              <w:rPr>
                <w:rFonts w:hint="eastAsia" w:ascii="宋体" w:hAnsi="宋体" w:cs="宋体"/>
                <w:sz w:val="24"/>
              </w:rPr>
              <w:t>③</w:t>
            </w:r>
            <w:r>
              <w:rPr>
                <w:sz w:val="24"/>
              </w:rPr>
              <w:t>通过对环保治理设施运行情况的监测，及时掌握环保设施的</w:t>
            </w:r>
            <w:r>
              <w:rPr>
                <w:rFonts w:hint="eastAsia"/>
                <w:sz w:val="24"/>
              </w:rPr>
              <w:t>污染整治</w:t>
            </w:r>
            <w:r>
              <w:rPr>
                <w:sz w:val="24"/>
              </w:rPr>
              <w:t>理效果，发现问题及时报告公司有关部门；</w:t>
            </w:r>
          </w:p>
          <w:p>
            <w:pPr>
              <w:adjustRightInd w:val="0"/>
              <w:snapToGrid w:val="0"/>
              <w:spacing w:line="360" w:lineRule="auto"/>
              <w:ind w:firstLine="480" w:firstLineChars="200"/>
              <w:rPr>
                <w:sz w:val="24"/>
              </w:rPr>
            </w:pPr>
            <w:r>
              <w:rPr>
                <w:rFonts w:hint="eastAsia" w:ascii="宋体" w:hAnsi="宋体" w:cs="宋体"/>
                <w:sz w:val="24"/>
              </w:rPr>
              <w:t>④</w:t>
            </w:r>
            <w:r>
              <w:rPr>
                <w:sz w:val="24"/>
              </w:rPr>
              <w:t>当发生污染事故时，进行应急监测，为采取处理措施提供第一手资料；编制环境监测季报或年报，及时上报当地环保主管部门。</w:t>
            </w:r>
            <w:bookmarkEnd w:id="31"/>
          </w:p>
        </w:tc>
      </w:tr>
    </w:tbl>
    <w:p>
      <w:pPr>
        <w:pStyle w:val="28"/>
        <w:jc w:val="center"/>
        <w:outlineLvl w:val="0"/>
        <w:rPr>
          <w:rFonts w:ascii="Times New Roman" w:hAnsi="Times New Roman"/>
          <w:snapToGrid w:val="0"/>
          <w:sz w:val="30"/>
          <w:szCs w:val="30"/>
        </w:rPr>
      </w:pPr>
      <w:r>
        <w:rPr>
          <w:rFonts w:ascii="Times New Roman" w:hAnsi="Times New Roman"/>
          <w:snapToGrid w:val="0"/>
        </w:rPr>
        <w:br w:type="page"/>
      </w:r>
      <w:bookmarkStart w:id="32" w:name="_Toc79479641"/>
      <w:bookmarkStart w:id="33" w:name="_Toc116207763"/>
      <w:r>
        <w:rPr>
          <w:rFonts w:ascii="Times New Roman" w:hAnsi="Times New Roman"/>
          <w:snapToGrid w:val="0"/>
          <w:sz w:val="30"/>
          <w:szCs w:val="30"/>
        </w:rPr>
        <w:t>六、结论</w:t>
      </w:r>
      <w:bookmarkEnd w:id="32"/>
      <w:bookmarkEnd w:id="33"/>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spacing w:line="360" w:lineRule="auto"/>
              <w:ind w:firstLine="480" w:firstLineChars="200"/>
              <w:rPr>
                <w:sz w:val="24"/>
                <w:lang w:val="zh-CN"/>
              </w:rPr>
            </w:pPr>
            <w:r>
              <w:rPr>
                <w:sz w:val="24"/>
              </w:rPr>
              <w:t>综上所述，本项目符合国家产业政策，满足“三线一单”管理要求，满足相关法律法规、规范及相关规划要求，本评价对项目建设和运营工程中产生的环境问题提出了</w:t>
            </w:r>
            <w:r>
              <w:rPr>
                <w:rFonts w:hint="eastAsia"/>
                <w:sz w:val="24"/>
              </w:rPr>
              <w:t>有针对性地</w:t>
            </w:r>
            <w:r>
              <w:rPr>
                <w:sz w:val="24"/>
              </w:rPr>
              <w:t>污染防治措施，项目在按照本报告所提出的各项环保对策、措施实施后，能实现达标排放，可使项目对环境的影响降到最低程度。项目建成后对环境空气、声环境影响可接受，</w:t>
            </w:r>
            <w:r>
              <w:rPr>
                <w:sz w:val="24"/>
                <w:lang w:val="zh-CN"/>
              </w:rPr>
              <w:t>从环境保护角度分析，本项目是可行的。</w:t>
            </w:r>
          </w:p>
          <w:p>
            <w:pPr>
              <w:spacing w:line="360" w:lineRule="auto"/>
              <w:ind w:firstLine="480" w:firstLineChars="200"/>
              <w:rPr>
                <w:sz w:val="24"/>
              </w:rPr>
            </w:pPr>
          </w:p>
        </w:tc>
      </w:tr>
    </w:tbl>
    <w:p>
      <w:pPr>
        <w:pStyle w:val="28"/>
        <w:jc w:val="center"/>
        <w:outlineLvl w:val="0"/>
        <w:rPr>
          <w:rFonts w:ascii="Times New Roman" w:hAnsi="Times New Roman"/>
        </w:rPr>
        <w:sectPr>
          <w:pgSz w:w="11906" w:h="16838"/>
          <w:pgMar w:top="1701" w:right="1531" w:bottom="1701" w:left="1531" w:header="851" w:footer="851" w:gutter="0"/>
          <w:cols w:space="720" w:num="1"/>
          <w:docGrid w:linePitch="312" w:charSpace="0"/>
        </w:sectPr>
      </w:pPr>
    </w:p>
    <w:p>
      <w:pPr>
        <w:pStyle w:val="28"/>
        <w:jc w:val="center"/>
        <w:outlineLvl w:val="0"/>
        <w:rPr>
          <w:rFonts w:ascii="Times New Roman" w:hAnsi="Times New Roman"/>
          <w:snapToGrid w:val="0"/>
          <w:sz w:val="30"/>
          <w:szCs w:val="30"/>
        </w:rPr>
      </w:pPr>
      <w:bookmarkStart w:id="34" w:name="_Toc116207764"/>
      <w:bookmarkStart w:id="35" w:name="_Toc79479642"/>
      <w:r>
        <w:rPr>
          <w:rFonts w:ascii="Times New Roman" w:hAnsi="Times New Roman"/>
          <w:snapToGrid w:val="0"/>
          <w:sz w:val="30"/>
          <w:szCs w:val="30"/>
        </w:rPr>
        <w:t>建设项目污染物排放量汇总表</w:t>
      </w:r>
      <w:bookmarkEnd w:id="34"/>
      <w:bookmarkEnd w:id="35"/>
    </w:p>
    <w:tbl>
      <w:tblPr>
        <w:tblStyle w:val="32"/>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1913"/>
        <w:gridCol w:w="1495"/>
        <w:gridCol w:w="1074"/>
        <w:gridCol w:w="1635"/>
        <w:gridCol w:w="1495"/>
        <w:gridCol w:w="1692"/>
        <w:gridCol w:w="1716"/>
        <w:gridCol w:w="12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61" w:type="pct"/>
            <w:tcBorders>
              <w:tl2br w:val="single" w:color="auto" w:sz="4" w:space="0"/>
            </w:tcBorders>
            <w:noWrap w:val="0"/>
            <w:tcMar>
              <w:left w:w="28" w:type="dxa"/>
              <w:right w:w="28" w:type="dxa"/>
            </w:tcMar>
            <w:vAlign w:val="center"/>
          </w:tcPr>
          <w:p>
            <w:pPr>
              <w:jc w:val="right"/>
              <w:rPr>
                <w:snapToGrid w:val="0"/>
                <w:spacing w:val="-6"/>
                <w:kern w:val="21"/>
                <w:szCs w:val="21"/>
              </w:rPr>
            </w:pPr>
            <w:r>
              <w:rPr>
                <w:snapToGrid w:val="0"/>
                <w:spacing w:val="-6"/>
                <w:kern w:val="21"/>
                <w:szCs w:val="21"/>
              </w:rPr>
              <w:t>项目</w:t>
            </w:r>
          </w:p>
          <w:p>
            <w:pPr>
              <w:jc w:val="left"/>
              <w:rPr>
                <w:snapToGrid w:val="0"/>
                <w:spacing w:val="-6"/>
                <w:kern w:val="21"/>
                <w:szCs w:val="21"/>
              </w:rPr>
            </w:pPr>
            <w:r>
              <w:rPr>
                <w:snapToGrid w:val="0"/>
                <w:spacing w:val="-6"/>
                <w:kern w:val="21"/>
                <w:szCs w:val="21"/>
              </w:rPr>
              <w:t>分类</w:t>
            </w:r>
          </w:p>
        </w:tc>
        <w:tc>
          <w:tcPr>
            <w:tcW w:w="709" w:type="pct"/>
            <w:noWrap w:val="0"/>
            <w:tcMar>
              <w:left w:w="28" w:type="dxa"/>
              <w:right w:w="28" w:type="dxa"/>
            </w:tcMar>
            <w:vAlign w:val="center"/>
          </w:tcPr>
          <w:p>
            <w:pPr>
              <w:rPr>
                <w:snapToGrid w:val="0"/>
                <w:spacing w:val="-6"/>
                <w:kern w:val="21"/>
                <w:szCs w:val="21"/>
              </w:rPr>
            </w:pPr>
            <w:r>
              <w:rPr>
                <w:snapToGrid w:val="0"/>
                <w:spacing w:val="-6"/>
                <w:kern w:val="21"/>
                <w:szCs w:val="21"/>
              </w:rPr>
              <w:t>污染物名称</w:t>
            </w:r>
          </w:p>
        </w:tc>
        <w:tc>
          <w:tcPr>
            <w:tcW w:w="554" w:type="pct"/>
            <w:noWrap w:val="0"/>
            <w:tcMar>
              <w:left w:w="28" w:type="dxa"/>
              <w:right w:w="28" w:type="dxa"/>
            </w:tcMar>
            <w:vAlign w:val="center"/>
          </w:tcPr>
          <w:p>
            <w:pPr>
              <w:jc w:val="center"/>
              <w:rPr>
                <w:snapToGrid w:val="0"/>
                <w:spacing w:val="-6"/>
                <w:kern w:val="21"/>
                <w:szCs w:val="21"/>
              </w:rPr>
            </w:pPr>
            <w:r>
              <w:rPr>
                <w:snapToGrid w:val="0"/>
                <w:spacing w:val="-6"/>
                <w:kern w:val="21"/>
                <w:szCs w:val="21"/>
              </w:rPr>
              <w:t>现有工程</w:t>
            </w:r>
          </w:p>
          <w:p>
            <w:pPr>
              <w:jc w:val="center"/>
              <w:rPr>
                <w:snapToGrid w:val="0"/>
                <w:spacing w:val="-6"/>
                <w:kern w:val="21"/>
                <w:szCs w:val="21"/>
              </w:rPr>
            </w:pPr>
            <w:r>
              <w:rPr>
                <w:snapToGrid w:val="0"/>
                <w:spacing w:val="-6"/>
                <w:kern w:val="21"/>
                <w:szCs w:val="21"/>
              </w:rPr>
              <w:t>排放量（固体废物产生量）</w:t>
            </w:r>
            <w:r>
              <w:rPr>
                <w:snapToGrid w:val="0"/>
                <w:spacing w:val="-6"/>
                <w:kern w:val="21"/>
                <w:szCs w:val="21"/>
              </w:rPr>
              <w:fldChar w:fldCharType="begin"/>
            </w:r>
            <w:r>
              <w:rPr>
                <w:snapToGrid w:val="0"/>
                <w:spacing w:val="-6"/>
                <w:kern w:val="21"/>
                <w:szCs w:val="21"/>
              </w:rPr>
              <w:instrText xml:space="preserve"> = 1 \* GB3 \* MERGEFORMAT </w:instrText>
            </w:r>
            <w:r>
              <w:rPr>
                <w:snapToGrid w:val="0"/>
                <w:spacing w:val="-6"/>
                <w:kern w:val="21"/>
                <w:szCs w:val="21"/>
              </w:rPr>
              <w:fldChar w:fldCharType="separate"/>
            </w:r>
            <w:r>
              <w:rPr>
                <w:rFonts w:hint="eastAsia" w:ascii="宋体" w:hAnsi="宋体" w:cs="宋体"/>
                <w:szCs w:val="21"/>
              </w:rPr>
              <w:t>①</w:t>
            </w:r>
            <w:r>
              <w:rPr>
                <w:snapToGrid w:val="0"/>
                <w:spacing w:val="-6"/>
                <w:kern w:val="21"/>
                <w:szCs w:val="21"/>
              </w:rPr>
              <w:fldChar w:fldCharType="end"/>
            </w:r>
          </w:p>
        </w:tc>
        <w:tc>
          <w:tcPr>
            <w:tcW w:w="398" w:type="pct"/>
            <w:noWrap w:val="0"/>
            <w:tcMar>
              <w:left w:w="28" w:type="dxa"/>
              <w:right w:w="28" w:type="dxa"/>
            </w:tcMar>
            <w:vAlign w:val="center"/>
          </w:tcPr>
          <w:p>
            <w:pPr>
              <w:jc w:val="center"/>
              <w:rPr>
                <w:snapToGrid w:val="0"/>
                <w:spacing w:val="-6"/>
                <w:kern w:val="21"/>
                <w:szCs w:val="21"/>
              </w:rPr>
            </w:pPr>
            <w:r>
              <w:rPr>
                <w:snapToGrid w:val="0"/>
                <w:spacing w:val="-6"/>
                <w:kern w:val="21"/>
                <w:szCs w:val="21"/>
              </w:rPr>
              <w:t>现有工程</w:t>
            </w:r>
          </w:p>
          <w:p>
            <w:pPr>
              <w:jc w:val="center"/>
              <w:rPr>
                <w:snapToGrid w:val="0"/>
                <w:spacing w:val="-6"/>
                <w:kern w:val="21"/>
                <w:szCs w:val="21"/>
              </w:rPr>
            </w:pPr>
            <w:r>
              <w:rPr>
                <w:snapToGrid w:val="0"/>
                <w:spacing w:val="-6"/>
                <w:kern w:val="21"/>
                <w:szCs w:val="21"/>
              </w:rPr>
              <w:t>许可排放量</w:t>
            </w:r>
          </w:p>
          <w:p>
            <w:pPr>
              <w:jc w:val="center"/>
              <w:rPr>
                <w:snapToGrid w:val="0"/>
                <w:spacing w:val="-6"/>
                <w:kern w:val="21"/>
                <w:szCs w:val="21"/>
              </w:rPr>
            </w:pPr>
            <w:r>
              <w:rPr>
                <w:snapToGrid w:val="0"/>
                <w:spacing w:val="-6"/>
                <w:kern w:val="21"/>
                <w:szCs w:val="21"/>
              </w:rPr>
              <w:fldChar w:fldCharType="begin"/>
            </w:r>
            <w:r>
              <w:rPr>
                <w:snapToGrid w:val="0"/>
                <w:spacing w:val="-6"/>
                <w:kern w:val="21"/>
                <w:szCs w:val="21"/>
              </w:rPr>
              <w:instrText xml:space="preserve"> = 2 \* GB3 \* MERGEFORMAT </w:instrText>
            </w:r>
            <w:r>
              <w:rPr>
                <w:snapToGrid w:val="0"/>
                <w:spacing w:val="-6"/>
                <w:kern w:val="21"/>
                <w:szCs w:val="21"/>
              </w:rPr>
              <w:fldChar w:fldCharType="separate"/>
            </w:r>
            <w:r>
              <w:rPr>
                <w:rFonts w:hint="eastAsia" w:ascii="宋体" w:hAnsi="宋体" w:cs="宋体"/>
                <w:snapToGrid w:val="0"/>
                <w:spacing w:val="-6"/>
                <w:kern w:val="21"/>
                <w:szCs w:val="21"/>
              </w:rPr>
              <w:t>②</w:t>
            </w:r>
            <w:r>
              <w:rPr>
                <w:snapToGrid w:val="0"/>
                <w:spacing w:val="-6"/>
                <w:kern w:val="21"/>
                <w:szCs w:val="21"/>
              </w:rPr>
              <w:fldChar w:fldCharType="end"/>
            </w:r>
          </w:p>
        </w:tc>
        <w:tc>
          <w:tcPr>
            <w:tcW w:w="606" w:type="pct"/>
            <w:noWrap w:val="0"/>
            <w:tcMar>
              <w:left w:w="28" w:type="dxa"/>
              <w:right w:w="28" w:type="dxa"/>
            </w:tcMar>
            <w:vAlign w:val="center"/>
          </w:tcPr>
          <w:p>
            <w:pPr>
              <w:jc w:val="center"/>
              <w:rPr>
                <w:snapToGrid w:val="0"/>
                <w:spacing w:val="-6"/>
                <w:kern w:val="21"/>
                <w:szCs w:val="21"/>
              </w:rPr>
            </w:pPr>
            <w:r>
              <w:rPr>
                <w:snapToGrid w:val="0"/>
                <w:spacing w:val="-6"/>
                <w:kern w:val="21"/>
                <w:szCs w:val="21"/>
              </w:rPr>
              <w:t>在建工程</w:t>
            </w:r>
          </w:p>
          <w:p>
            <w:pPr>
              <w:jc w:val="center"/>
              <w:rPr>
                <w:snapToGrid w:val="0"/>
                <w:spacing w:val="-6"/>
                <w:kern w:val="21"/>
                <w:szCs w:val="21"/>
              </w:rPr>
            </w:pPr>
            <w:r>
              <w:rPr>
                <w:snapToGrid w:val="0"/>
                <w:spacing w:val="-6"/>
                <w:kern w:val="21"/>
                <w:szCs w:val="21"/>
              </w:rPr>
              <w:t>排放量（固体废物产生量）</w:t>
            </w:r>
            <w:r>
              <w:rPr>
                <w:snapToGrid w:val="0"/>
                <w:spacing w:val="-6"/>
                <w:kern w:val="21"/>
                <w:szCs w:val="21"/>
              </w:rPr>
              <w:fldChar w:fldCharType="begin"/>
            </w:r>
            <w:r>
              <w:rPr>
                <w:snapToGrid w:val="0"/>
                <w:spacing w:val="-6"/>
                <w:kern w:val="21"/>
                <w:szCs w:val="21"/>
              </w:rPr>
              <w:instrText xml:space="preserve"> = 3 \* GB3 \* MERGEFORMAT </w:instrText>
            </w:r>
            <w:r>
              <w:rPr>
                <w:snapToGrid w:val="0"/>
                <w:spacing w:val="-6"/>
                <w:kern w:val="21"/>
                <w:szCs w:val="21"/>
              </w:rPr>
              <w:fldChar w:fldCharType="separate"/>
            </w:r>
            <w:r>
              <w:rPr>
                <w:rFonts w:hint="eastAsia" w:ascii="宋体" w:hAnsi="宋体" w:cs="宋体"/>
                <w:szCs w:val="21"/>
              </w:rPr>
              <w:t>③</w:t>
            </w:r>
            <w:r>
              <w:rPr>
                <w:snapToGrid w:val="0"/>
                <w:spacing w:val="-6"/>
                <w:kern w:val="21"/>
                <w:szCs w:val="21"/>
              </w:rPr>
              <w:fldChar w:fldCharType="end"/>
            </w:r>
          </w:p>
        </w:tc>
        <w:tc>
          <w:tcPr>
            <w:tcW w:w="554" w:type="pct"/>
            <w:noWrap w:val="0"/>
            <w:tcMar>
              <w:left w:w="28" w:type="dxa"/>
              <w:right w:w="28" w:type="dxa"/>
            </w:tcMar>
            <w:vAlign w:val="center"/>
          </w:tcPr>
          <w:p>
            <w:pPr>
              <w:jc w:val="center"/>
              <w:rPr>
                <w:snapToGrid w:val="0"/>
                <w:spacing w:val="-6"/>
                <w:kern w:val="21"/>
                <w:szCs w:val="21"/>
              </w:rPr>
            </w:pPr>
            <w:r>
              <w:rPr>
                <w:snapToGrid w:val="0"/>
                <w:spacing w:val="-6"/>
                <w:kern w:val="21"/>
                <w:szCs w:val="21"/>
              </w:rPr>
              <w:t>本项目</w:t>
            </w:r>
          </w:p>
          <w:p>
            <w:pPr>
              <w:jc w:val="center"/>
              <w:rPr>
                <w:snapToGrid w:val="0"/>
                <w:spacing w:val="-6"/>
                <w:kern w:val="21"/>
                <w:szCs w:val="21"/>
              </w:rPr>
            </w:pPr>
            <w:r>
              <w:rPr>
                <w:snapToGrid w:val="0"/>
                <w:spacing w:val="-6"/>
                <w:kern w:val="21"/>
                <w:szCs w:val="21"/>
              </w:rPr>
              <w:t>排放量（固体废物产生量）</w:t>
            </w:r>
            <w:r>
              <w:rPr>
                <w:snapToGrid w:val="0"/>
                <w:spacing w:val="-6"/>
                <w:kern w:val="21"/>
                <w:szCs w:val="21"/>
              </w:rPr>
              <w:fldChar w:fldCharType="begin"/>
            </w:r>
            <w:r>
              <w:rPr>
                <w:snapToGrid w:val="0"/>
                <w:spacing w:val="-6"/>
                <w:kern w:val="21"/>
                <w:szCs w:val="21"/>
              </w:rPr>
              <w:instrText xml:space="preserve"> = 4 \* GB3 \* MERGEFORMAT </w:instrText>
            </w:r>
            <w:r>
              <w:rPr>
                <w:snapToGrid w:val="0"/>
                <w:spacing w:val="-6"/>
                <w:kern w:val="21"/>
                <w:szCs w:val="21"/>
              </w:rPr>
              <w:fldChar w:fldCharType="separate"/>
            </w:r>
            <w:r>
              <w:rPr>
                <w:rFonts w:hint="eastAsia" w:ascii="宋体" w:hAnsi="宋体" w:cs="宋体"/>
                <w:szCs w:val="21"/>
              </w:rPr>
              <w:t>④</w:t>
            </w:r>
            <w:r>
              <w:rPr>
                <w:snapToGrid w:val="0"/>
                <w:spacing w:val="-6"/>
                <w:kern w:val="21"/>
                <w:szCs w:val="21"/>
              </w:rPr>
              <w:fldChar w:fldCharType="end"/>
            </w:r>
          </w:p>
        </w:tc>
        <w:tc>
          <w:tcPr>
            <w:tcW w:w="627" w:type="pct"/>
            <w:noWrap w:val="0"/>
            <w:tcMar>
              <w:left w:w="28" w:type="dxa"/>
              <w:right w:w="28" w:type="dxa"/>
            </w:tcMar>
            <w:vAlign w:val="center"/>
          </w:tcPr>
          <w:p>
            <w:pPr>
              <w:jc w:val="center"/>
              <w:rPr>
                <w:snapToGrid w:val="0"/>
                <w:spacing w:val="-16"/>
                <w:kern w:val="21"/>
                <w:szCs w:val="21"/>
              </w:rPr>
            </w:pPr>
            <w:r>
              <w:rPr>
                <w:snapToGrid w:val="0"/>
                <w:spacing w:val="-16"/>
                <w:kern w:val="21"/>
                <w:szCs w:val="21"/>
              </w:rPr>
              <w:t>以新带老削减量</w:t>
            </w:r>
          </w:p>
          <w:p>
            <w:pPr>
              <w:jc w:val="center"/>
              <w:rPr>
                <w:snapToGrid w:val="0"/>
                <w:spacing w:val="-16"/>
                <w:kern w:val="21"/>
                <w:szCs w:val="21"/>
              </w:rPr>
            </w:pPr>
            <w:r>
              <w:rPr>
                <w:snapToGrid w:val="0"/>
                <w:spacing w:val="-16"/>
                <w:kern w:val="21"/>
                <w:szCs w:val="21"/>
              </w:rPr>
              <w:t>（新建项目不填）</w:t>
            </w:r>
            <w:r>
              <w:rPr>
                <w:snapToGrid w:val="0"/>
                <w:spacing w:val="-16"/>
                <w:kern w:val="21"/>
                <w:szCs w:val="21"/>
              </w:rPr>
              <w:fldChar w:fldCharType="begin"/>
            </w:r>
            <w:r>
              <w:rPr>
                <w:snapToGrid w:val="0"/>
                <w:spacing w:val="-16"/>
                <w:kern w:val="21"/>
                <w:szCs w:val="21"/>
              </w:rPr>
              <w:instrText xml:space="preserve"> = 5 \* GB3 \* MERGEFORMAT </w:instrText>
            </w:r>
            <w:r>
              <w:rPr>
                <w:snapToGrid w:val="0"/>
                <w:spacing w:val="-16"/>
                <w:kern w:val="21"/>
                <w:szCs w:val="21"/>
              </w:rPr>
              <w:fldChar w:fldCharType="separate"/>
            </w:r>
            <w:r>
              <w:rPr>
                <w:rFonts w:hint="eastAsia" w:ascii="宋体" w:hAnsi="宋体" w:cs="宋体"/>
                <w:szCs w:val="21"/>
              </w:rPr>
              <w:t>⑤</w:t>
            </w:r>
            <w:r>
              <w:rPr>
                <w:snapToGrid w:val="0"/>
                <w:spacing w:val="-16"/>
                <w:kern w:val="21"/>
                <w:szCs w:val="21"/>
              </w:rPr>
              <w:fldChar w:fldCharType="end"/>
            </w:r>
          </w:p>
        </w:tc>
        <w:tc>
          <w:tcPr>
            <w:tcW w:w="636" w:type="pct"/>
            <w:noWrap w:val="0"/>
            <w:tcMar>
              <w:left w:w="28" w:type="dxa"/>
              <w:right w:w="28" w:type="dxa"/>
            </w:tcMar>
            <w:vAlign w:val="center"/>
          </w:tcPr>
          <w:p>
            <w:pPr>
              <w:jc w:val="center"/>
              <w:rPr>
                <w:snapToGrid w:val="0"/>
                <w:spacing w:val="-16"/>
                <w:kern w:val="21"/>
                <w:szCs w:val="21"/>
              </w:rPr>
            </w:pPr>
            <w:r>
              <w:rPr>
                <w:snapToGrid w:val="0"/>
                <w:spacing w:val="-16"/>
                <w:kern w:val="21"/>
                <w:szCs w:val="21"/>
              </w:rPr>
              <w:t>本项目建成后</w:t>
            </w:r>
          </w:p>
          <w:p>
            <w:pPr>
              <w:jc w:val="center"/>
              <w:rPr>
                <w:snapToGrid w:val="0"/>
                <w:spacing w:val="-16"/>
                <w:kern w:val="21"/>
                <w:szCs w:val="21"/>
              </w:rPr>
            </w:pPr>
            <w:r>
              <w:rPr>
                <w:snapToGrid w:val="0"/>
                <w:spacing w:val="-16"/>
                <w:kern w:val="21"/>
                <w:szCs w:val="21"/>
              </w:rPr>
              <w:t>全厂排放量（固体废物产生量）</w:t>
            </w:r>
            <w:r>
              <w:rPr>
                <w:snapToGrid w:val="0"/>
                <w:spacing w:val="-16"/>
                <w:kern w:val="21"/>
                <w:szCs w:val="21"/>
              </w:rPr>
              <w:fldChar w:fldCharType="begin"/>
            </w:r>
            <w:r>
              <w:rPr>
                <w:snapToGrid w:val="0"/>
                <w:spacing w:val="-16"/>
                <w:kern w:val="21"/>
                <w:szCs w:val="21"/>
              </w:rPr>
              <w:instrText xml:space="preserve"> = 6 \* GB3 \* MERGEFORMAT </w:instrText>
            </w:r>
            <w:r>
              <w:rPr>
                <w:snapToGrid w:val="0"/>
                <w:spacing w:val="-16"/>
                <w:kern w:val="21"/>
                <w:szCs w:val="21"/>
              </w:rPr>
              <w:fldChar w:fldCharType="separate"/>
            </w:r>
            <w:r>
              <w:rPr>
                <w:rFonts w:hint="eastAsia" w:ascii="宋体" w:hAnsi="宋体" w:cs="宋体"/>
                <w:szCs w:val="21"/>
              </w:rPr>
              <w:t>⑥</w:t>
            </w:r>
            <w:r>
              <w:rPr>
                <w:snapToGrid w:val="0"/>
                <w:spacing w:val="-16"/>
                <w:kern w:val="21"/>
                <w:szCs w:val="21"/>
              </w:rPr>
              <w:fldChar w:fldCharType="end"/>
            </w:r>
          </w:p>
        </w:tc>
        <w:tc>
          <w:tcPr>
            <w:tcW w:w="455" w:type="pct"/>
            <w:noWrap w:val="0"/>
            <w:tcMar>
              <w:left w:w="28" w:type="dxa"/>
              <w:right w:w="28" w:type="dxa"/>
            </w:tcMar>
            <w:vAlign w:val="center"/>
          </w:tcPr>
          <w:p>
            <w:pPr>
              <w:rPr>
                <w:snapToGrid w:val="0"/>
                <w:spacing w:val="-6"/>
                <w:kern w:val="21"/>
                <w:szCs w:val="21"/>
              </w:rPr>
            </w:pPr>
            <w:r>
              <w:rPr>
                <w:snapToGrid w:val="0"/>
                <w:spacing w:val="-6"/>
                <w:kern w:val="21"/>
                <w:szCs w:val="21"/>
              </w:rPr>
              <w:t>变化量</w:t>
            </w:r>
          </w:p>
          <w:p>
            <w:pPr>
              <w:rPr>
                <w:snapToGrid w:val="0"/>
                <w:spacing w:val="-6"/>
                <w:kern w:val="21"/>
                <w:szCs w:val="21"/>
              </w:rPr>
            </w:pPr>
            <w:r>
              <w:rPr>
                <w:snapToGrid w:val="0"/>
                <w:spacing w:val="-6"/>
                <w:kern w:val="21"/>
                <w:szCs w:val="21"/>
              </w:rPr>
              <w:fldChar w:fldCharType="begin"/>
            </w:r>
            <w:r>
              <w:rPr>
                <w:snapToGrid w:val="0"/>
                <w:spacing w:val="-6"/>
                <w:kern w:val="21"/>
                <w:szCs w:val="21"/>
              </w:rPr>
              <w:instrText xml:space="preserve"> = 7 \* GB3 \* MERGEFORMAT </w:instrText>
            </w:r>
            <w:r>
              <w:rPr>
                <w:snapToGrid w:val="0"/>
                <w:spacing w:val="-6"/>
                <w:kern w:val="21"/>
                <w:szCs w:val="21"/>
              </w:rPr>
              <w:fldChar w:fldCharType="separate"/>
            </w:r>
            <w:r>
              <w:rPr>
                <w:rFonts w:hint="eastAsia" w:ascii="宋体" w:hAnsi="宋体" w:cs="宋体"/>
                <w:szCs w:val="21"/>
              </w:rPr>
              <w:t>⑦</w:t>
            </w:r>
            <w:r>
              <w:rPr>
                <w:snapToGrid w:val="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1" w:type="pct"/>
            <w:vMerge w:val="restart"/>
            <w:noWrap w:val="0"/>
            <w:vAlign w:val="center"/>
          </w:tcPr>
          <w:p>
            <w:pPr>
              <w:jc w:val="center"/>
              <w:rPr>
                <w:snapToGrid w:val="0"/>
                <w:kern w:val="21"/>
                <w:szCs w:val="21"/>
              </w:rPr>
            </w:pPr>
            <w:r>
              <w:rPr>
                <w:snapToGrid w:val="0"/>
                <w:kern w:val="21"/>
                <w:szCs w:val="21"/>
              </w:rPr>
              <w:t>废气</w:t>
            </w:r>
          </w:p>
        </w:tc>
        <w:tc>
          <w:tcPr>
            <w:tcW w:w="709" w:type="pct"/>
            <w:noWrap w:val="0"/>
            <w:vAlign w:val="center"/>
          </w:tcPr>
          <w:p>
            <w:pPr>
              <w:jc w:val="center"/>
              <w:rPr>
                <w:snapToGrid w:val="0"/>
                <w:kern w:val="21"/>
                <w:szCs w:val="21"/>
              </w:rPr>
            </w:pPr>
            <w:r>
              <w:rPr>
                <w:szCs w:val="21"/>
              </w:rPr>
              <w:t>NH</w:t>
            </w:r>
            <w:r>
              <w:rPr>
                <w:szCs w:val="21"/>
                <w:vertAlign w:val="subscript"/>
              </w:rPr>
              <w:t>3</w:t>
            </w:r>
          </w:p>
        </w:tc>
        <w:tc>
          <w:tcPr>
            <w:tcW w:w="554" w:type="pct"/>
            <w:noWrap w:val="0"/>
            <w:vAlign w:val="center"/>
          </w:tcPr>
          <w:p>
            <w:pPr>
              <w:jc w:val="center"/>
              <w:rPr>
                <w:snapToGrid w:val="0"/>
                <w:kern w:val="21"/>
                <w:szCs w:val="21"/>
              </w:rPr>
            </w:pPr>
            <w:r>
              <w:rPr>
                <w:szCs w:val="21"/>
              </w:rPr>
              <w:t>0.000931</w:t>
            </w:r>
          </w:p>
        </w:tc>
        <w:tc>
          <w:tcPr>
            <w:tcW w:w="398" w:type="pct"/>
            <w:noWrap w:val="0"/>
            <w:vAlign w:val="center"/>
          </w:tcPr>
          <w:p>
            <w:pPr>
              <w:jc w:val="center"/>
              <w:rPr>
                <w:snapToGrid w:val="0"/>
                <w:kern w:val="21"/>
                <w:szCs w:val="21"/>
              </w:rPr>
            </w:pPr>
            <w:r>
              <w:rPr>
                <w:snapToGrid w:val="0"/>
                <w:kern w:val="21"/>
                <w:szCs w:val="21"/>
              </w:rPr>
              <w:t>/</w:t>
            </w:r>
          </w:p>
        </w:tc>
        <w:tc>
          <w:tcPr>
            <w:tcW w:w="606" w:type="pct"/>
            <w:noWrap w:val="0"/>
            <w:vAlign w:val="center"/>
          </w:tcPr>
          <w:p>
            <w:pPr>
              <w:jc w:val="center"/>
              <w:rPr>
                <w:snapToGrid w:val="0"/>
                <w:kern w:val="21"/>
                <w:szCs w:val="21"/>
              </w:rPr>
            </w:pPr>
            <w:r>
              <w:rPr>
                <w:snapToGrid w:val="0"/>
                <w:kern w:val="21"/>
                <w:szCs w:val="21"/>
              </w:rPr>
              <w:t>/</w:t>
            </w:r>
          </w:p>
        </w:tc>
        <w:tc>
          <w:tcPr>
            <w:tcW w:w="554" w:type="pct"/>
            <w:noWrap w:val="0"/>
            <w:vAlign w:val="bottom"/>
          </w:tcPr>
          <w:p>
            <w:pPr>
              <w:jc w:val="center"/>
              <w:rPr>
                <w:snapToGrid w:val="0"/>
                <w:kern w:val="21"/>
                <w:szCs w:val="21"/>
              </w:rPr>
            </w:pPr>
            <w:r>
              <w:rPr>
                <w:snapToGrid w:val="0"/>
                <w:kern w:val="21"/>
                <w:szCs w:val="21"/>
              </w:rPr>
              <w:t>0.0002631</w:t>
            </w:r>
          </w:p>
        </w:tc>
        <w:tc>
          <w:tcPr>
            <w:tcW w:w="627" w:type="pct"/>
            <w:noWrap w:val="0"/>
            <w:vAlign w:val="center"/>
          </w:tcPr>
          <w:p>
            <w:pPr>
              <w:jc w:val="center"/>
              <w:rPr>
                <w:snapToGrid w:val="0"/>
                <w:kern w:val="21"/>
                <w:szCs w:val="21"/>
              </w:rPr>
            </w:pPr>
            <w:r>
              <w:rPr>
                <w:snapToGrid w:val="0"/>
                <w:kern w:val="21"/>
                <w:szCs w:val="21"/>
              </w:rPr>
              <w:t>3.61</w:t>
            </w:r>
            <w:r>
              <w:rPr>
                <w:szCs w:val="21"/>
              </w:rPr>
              <w:t>×10</w:t>
            </w:r>
            <w:r>
              <w:rPr>
                <w:szCs w:val="21"/>
                <w:vertAlign w:val="superscript"/>
              </w:rPr>
              <w:t>-5</w:t>
            </w:r>
          </w:p>
        </w:tc>
        <w:tc>
          <w:tcPr>
            <w:tcW w:w="636" w:type="pct"/>
            <w:noWrap w:val="0"/>
            <w:vAlign w:val="bottom"/>
          </w:tcPr>
          <w:p>
            <w:pPr>
              <w:jc w:val="center"/>
              <w:rPr>
                <w:snapToGrid w:val="0"/>
                <w:kern w:val="21"/>
                <w:szCs w:val="21"/>
              </w:rPr>
            </w:pPr>
            <w:r>
              <w:t>0.001158</w:t>
            </w:r>
          </w:p>
        </w:tc>
        <w:tc>
          <w:tcPr>
            <w:tcW w:w="455" w:type="pct"/>
            <w:noWrap w:val="0"/>
            <w:vAlign w:val="bottom"/>
          </w:tcPr>
          <w:p>
            <w:pPr>
              <w:jc w:val="center"/>
              <w:rPr>
                <w:snapToGrid w:val="0"/>
                <w:kern w:val="21"/>
                <w:szCs w:val="21"/>
              </w:rPr>
            </w:pPr>
            <w:r>
              <w:rPr>
                <w:szCs w:val="21"/>
              </w:rPr>
              <w:t>+0.000227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1" w:type="pct"/>
            <w:vMerge w:val="continue"/>
            <w:noWrap w:val="0"/>
            <w:vAlign w:val="center"/>
          </w:tcPr>
          <w:p>
            <w:pPr>
              <w:jc w:val="center"/>
              <w:rPr>
                <w:snapToGrid w:val="0"/>
                <w:kern w:val="21"/>
                <w:szCs w:val="21"/>
              </w:rPr>
            </w:pPr>
          </w:p>
        </w:tc>
        <w:tc>
          <w:tcPr>
            <w:tcW w:w="709" w:type="pct"/>
            <w:noWrap w:val="0"/>
            <w:vAlign w:val="center"/>
          </w:tcPr>
          <w:p>
            <w:pPr>
              <w:jc w:val="center"/>
              <w:rPr>
                <w:szCs w:val="21"/>
              </w:rPr>
            </w:pPr>
            <w:r>
              <w:rPr>
                <w:szCs w:val="21"/>
              </w:rPr>
              <w:t>H</w:t>
            </w:r>
            <w:r>
              <w:rPr>
                <w:szCs w:val="21"/>
                <w:vertAlign w:val="subscript"/>
              </w:rPr>
              <w:t>2</w:t>
            </w:r>
            <w:r>
              <w:rPr>
                <w:szCs w:val="21"/>
              </w:rPr>
              <w:t>S</w:t>
            </w:r>
          </w:p>
        </w:tc>
        <w:tc>
          <w:tcPr>
            <w:tcW w:w="554" w:type="pct"/>
            <w:noWrap w:val="0"/>
            <w:vAlign w:val="center"/>
          </w:tcPr>
          <w:p>
            <w:pPr>
              <w:jc w:val="center"/>
              <w:rPr>
                <w:snapToGrid w:val="0"/>
                <w:kern w:val="21"/>
                <w:szCs w:val="21"/>
              </w:rPr>
            </w:pPr>
            <w:r>
              <w:rPr>
                <w:szCs w:val="21"/>
              </w:rPr>
              <w:t>0.008118</w:t>
            </w:r>
          </w:p>
        </w:tc>
        <w:tc>
          <w:tcPr>
            <w:tcW w:w="398" w:type="pct"/>
            <w:noWrap w:val="0"/>
            <w:vAlign w:val="center"/>
          </w:tcPr>
          <w:p>
            <w:pPr>
              <w:jc w:val="center"/>
              <w:rPr>
                <w:snapToGrid w:val="0"/>
                <w:kern w:val="21"/>
                <w:szCs w:val="21"/>
              </w:rPr>
            </w:pPr>
            <w:r>
              <w:rPr>
                <w:kern w:val="0"/>
                <w:szCs w:val="21"/>
                <w:lang w:bidi="ar"/>
              </w:rPr>
              <w:t>/</w:t>
            </w:r>
          </w:p>
        </w:tc>
        <w:tc>
          <w:tcPr>
            <w:tcW w:w="606" w:type="pct"/>
            <w:noWrap w:val="0"/>
            <w:vAlign w:val="center"/>
          </w:tcPr>
          <w:p>
            <w:pPr>
              <w:jc w:val="center"/>
              <w:rPr>
                <w:snapToGrid w:val="0"/>
                <w:kern w:val="21"/>
                <w:szCs w:val="21"/>
              </w:rPr>
            </w:pPr>
            <w:r>
              <w:rPr>
                <w:kern w:val="0"/>
                <w:szCs w:val="21"/>
                <w:lang w:bidi="ar"/>
              </w:rPr>
              <w:t>/</w:t>
            </w:r>
          </w:p>
        </w:tc>
        <w:tc>
          <w:tcPr>
            <w:tcW w:w="554" w:type="pct"/>
            <w:noWrap w:val="0"/>
            <w:vAlign w:val="bottom"/>
          </w:tcPr>
          <w:p>
            <w:pPr>
              <w:jc w:val="center"/>
              <w:rPr>
                <w:snapToGrid w:val="0"/>
                <w:kern w:val="21"/>
                <w:szCs w:val="21"/>
              </w:rPr>
            </w:pPr>
            <w:r>
              <w:rPr>
                <w:snapToGrid w:val="0"/>
                <w:kern w:val="21"/>
                <w:szCs w:val="21"/>
              </w:rPr>
              <w:t>0.001702</w:t>
            </w:r>
          </w:p>
        </w:tc>
        <w:tc>
          <w:tcPr>
            <w:tcW w:w="627" w:type="pct"/>
            <w:noWrap w:val="0"/>
            <w:vAlign w:val="center"/>
          </w:tcPr>
          <w:p>
            <w:pPr>
              <w:jc w:val="center"/>
              <w:rPr>
                <w:snapToGrid w:val="0"/>
                <w:kern w:val="21"/>
                <w:szCs w:val="21"/>
              </w:rPr>
            </w:pPr>
            <w:r>
              <w:rPr>
                <w:snapToGrid w:val="0"/>
                <w:kern w:val="21"/>
                <w:szCs w:val="21"/>
              </w:rPr>
              <w:t>0.0003</w:t>
            </w:r>
          </w:p>
        </w:tc>
        <w:tc>
          <w:tcPr>
            <w:tcW w:w="636" w:type="pct"/>
            <w:noWrap w:val="0"/>
            <w:vAlign w:val="bottom"/>
          </w:tcPr>
          <w:p>
            <w:pPr>
              <w:jc w:val="center"/>
              <w:rPr>
                <w:snapToGrid w:val="0"/>
                <w:kern w:val="21"/>
                <w:szCs w:val="21"/>
              </w:rPr>
            </w:pPr>
            <w:r>
              <w:t>0.00952</w:t>
            </w:r>
          </w:p>
        </w:tc>
        <w:tc>
          <w:tcPr>
            <w:tcW w:w="455" w:type="pct"/>
            <w:noWrap w:val="0"/>
            <w:vAlign w:val="bottom"/>
          </w:tcPr>
          <w:p>
            <w:pPr>
              <w:jc w:val="center"/>
              <w:rPr>
                <w:snapToGrid w:val="0"/>
                <w:kern w:val="21"/>
                <w:szCs w:val="21"/>
              </w:rPr>
            </w:pPr>
            <w:r>
              <w:rPr>
                <w:szCs w:val="21"/>
              </w:rPr>
              <w:t>+0.001402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1" w:type="pct"/>
            <w:vMerge w:val="restart"/>
            <w:noWrap w:val="0"/>
            <w:vAlign w:val="center"/>
          </w:tcPr>
          <w:p>
            <w:pPr>
              <w:jc w:val="center"/>
              <w:rPr>
                <w:snapToGrid w:val="0"/>
                <w:kern w:val="21"/>
                <w:szCs w:val="21"/>
              </w:rPr>
            </w:pPr>
            <w:r>
              <w:rPr>
                <w:snapToGrid w:val="0"/>
                <w:kern w:val="21"/>
                <w:szCs w:val="21"/>
              </w:rPr>
              <w:t>废水</w:t>
            </w:r>
          </w:p>
        </w:tc>
        <w:tc>
          <w:tcPr>
            <w:tcW w:w="709" w:type="pct"/>
            <w:noWrap w:val="0"/>
            <w:vAlign w:val="center"/>
          </w:tcPr>
          <w:p>
            <w:pPr>
              <w:jc w:val="center"/>
              <w:rPr>
                <w:snapToGrid w:val="0"/>
                <w:kern w:val="21"/>
              </w:rPr>
            </w:pPr>
            <w:r>
              <w:rPr>
                <w:snapToGrid w:val="0"/>
                <w:kern w:val="21"/>
              </w:rPr>
              <w:t>COD</w:t>
            </w:r>
          </w:p>
        </w:tc>
        <w:tc>
          <w:tcPr>
            <w:tcW w:w="554" w:type="pct"/>
            <w:noWrap w:val="0"/>
            <w:vAlign w:val="center"/>
          </w:tcPr>
          <w:p>
            <w:pPr>
              <w:jc w:val="center"/>
              <w:rPr>
                <w:snapToGrid w:val="0"/>
                <w:kern w:val="21"/>
                <w:szCs w:val="21"/>
              </w:rPr>
            </w:pPr>
            <w:r>
              <w:rPr>
                <w:szCs w:val="21"/>
              </w:rPr>
              <w:t>18.25</w:t>
            </w:r>
          </w:p>
        </w:tc>
        <w:tc>
          <w:tcPr>
            <w:tcW w:w="398" w:type="pct"/>
            <w:noWrap w:val="0"/>
            <w:vAlign w:val="center"/>
          </w:tcPr>
          <w:p>
            <w:pPr>
              <w:jc w:val="center"/>
              <w:rPr>
                <w:snapToGrid w:val="0"/>
                <w:kern w:val="21"/>
                <w:szCs w:val="21"/>
              </w:rPr>
            </w:pPr>
            <w:r>
              <w:rPr>
                <w:kern w:val="0"/>
                <w:szCs w:val="21"/>
                <w:lang w:bidi="ar"/>
              </w:rPr>
              <w:t>/</w:t>
            </w:r>
          </w:p>
        </w:tc>
        <w:tc>
          <w:tcPr>
            <w:tcW w:w="606" w:type="pct"/>
            <w:noWrap w:val="0"/>
            <w:vAlign w:val="center"/>
          </w:tcPr>
          <w:p>
            <w:pPr>
              <w:jc w:val="center"/>
              <w:rPr>
                <w:snapToGrid w:val="0"/>
                <w:kern w:val="21"/>
                <w:szCs w:val="21"/>
              </w:rPr>
            </w:pPr>
            <w:r>
              <w:rPr>
                <w:snapToGrid w:val="0"/>
                <w:kern w:val="21"/>
                <w:szCs w:val="21"/>
              </w:rPr>
              <w:t>/</w:t>
            </w:r>
          </w:p>
        </w:tc>
        <w:tc>
          <w:tcPr>
            <w:tcW w:w="554" w:type="pct"/>
            <w:noWrap w:val="0"/>
            <w:vAlign w:val="bottom"/>
          </w:tcPr>
          <w:p>
            <w:pPr>
              <w:jc w:val="center"/>
              <w:rPr>
                <w:snapToGrid w:val="0"/>
                <w:kern w:val="21"/>
                <w:szCs w:val="21"/>
              </w:rPr>
            </w:pPr>
            <w:r>
              <w:rPr>
                <w:szCs w:val="21"/>
              </w:rPr>
              <w:t>9.125</w:t>
            </w:r>
          </w:p>
        </w:tc>
        <w:tc>
          <w:tcPr>
            <w:tcW w:w="627" w:type="pct"/>
            <w:noWrap w:val="0"/>
            <w:vAlign w:val="center"/>
          </w:tcPr>
          <w:p>
            <w:pPr>
              <w:jc w:val="center"/>
              <w:rPr>
                <w:snapToGrid w:val="0"/>
                <w:kern w:val="21"/>
                <w:szCs w:val="21"/>
              </w:rPr>
            </w:pPr>
            <w:r>
              <w:rPr>
                <w:kern w:val="0"/>
                <w:szCs w:val="21"/>
                <w:lang w:bidi="ar"/>
              </w:rPr>
              <w:t>/</w:t>
            </w:r>
          </w:p>
        </w:tc>
        <w:tc>
          <w:tcPr>
            <w:tcW w:w="636" w:type="pct"/>
            <w:noWrap w:val="0"/>
            <w:vAlign w:val="center"/>
          </w:tcPr>
          <w:p>
            <w:pPr>
              <w:jc w:val="center"/>
              <w:rPr>
                <w:snapToGrid w:val="0"/>
                <w:kern w:val="21"/>
                <w:szCs w:val="21"/>
              </w:rPr>
            </w:pPr>
            <w:r>
              <w:rPr>
                <w:szCs w:val="21"/>
              </w:rPr>
              <w:t>27.375</w:t>
            </w:r>
          </w:p>
        </w:tc>
        <w:tc>
          <w:tcPr>
            <w:tcW w:w="455" w:type="pct"/>
            <w:noWrap w:val="0"/>
            <w:vAlign w:val="bottom"/>
          </w:tcPr>
          <w:p>
            <w:pPr>
              <w:jc w:val="center"/>
              <w:rPr>
                <w:snapToGrid w:val="0"/>
                <w:kern w:val="21"/>
                <w:szCs w:val="21"/>
              </w:rPr>
            </w:pPr>
            <w:r>
              <w:rPr>
                <w:szCs w:val="21"/>
              </w:rPr>
              <w:t>+9.125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1" w:type="pct"/>
            <w:vMerge w:val="continue"/>
            <w:noWrap w:val="0"/>
            <w:vAlign w:val="center"/>
          </w:tcPr>
          <w:p>
            <w:pPr>
              <w:jc w:val="center"/>
              <w:rPr>
                <w:snapToGrid w:val="0"/>
                <w:kern w:val="21"/>
                <w:szCs w:val="21"/>
              </w:rPr>
            </w:pPr>
          </w:p>
        </w:tc>
        <w:tc>
          <w:tcPr>
            <w:tcW w:w="709" w:type="pct"/>
            <w:noWrap w:val="0"/>
            <w:vAlign w:val="center"/>
          </w:tcPr>
          <w:p>
            <w:pPr>
              <w:jc w:val="center"/>
              <w:rPr>
                <w:snapToGrid w:val="0"/>
                <w:kern w:val="21"/>
              </w:rPr>
            </w:pPr>
            <w:r>
              <w:rPr>
                <w:snapToGrid w:val="0"/>
                <w:kern w:val="21"/>
              </w:rPr>
              <w:t>NH</w:t>
            </w:r>
            <w:r>
              <w:rPr>
                <w:snapToGrid w:val="0"/>
                <w:kern w:val="21"/>
                <w:vertAlign w:val="subscript"/>
              </w:rPr>
              <w:t>3</w:t>
            </w:r>
            <w:r>
              <w:rPr>
                <w:snapToGrid w:val="0"/>
                <w:kern w:val="21"/>
              </w:rPr>
              <w:t>-N</w:t>
            </w:r>
          </w:p>
        </w:tc>
        <w:tc>
          <w:tcPr>
            <w:tcW w:w="554" w:type="pct"/>
            <w:noWrap w:val="0"/>
            <w:vAlign w:val="center"/>
          </w:tcPr>
          <w:p>
            <w:pPr>
              <w:jc w:val="center"/>
              <w:rPr>
                <w:kern w:val="0"/>
                <w:szCs w:val="21"/>
                <w:lang w:bidi="ar"/>
              </w:rPr>
            </w:pPr>
            <w:r>
              <w:rPr>
                <w:szCs w:val="21"/>
              </w:rPr>
              <w:t>1.825</w:t>
            </w:r>
          </w:p>
        </w:tc>
        <w:tc>
          <w:tcPr>
            <w:tcW w:w="398" w:type="pct"/>
            <w:noWrap w:val="0"/>
            <w:vAlign w:val="center"/>
          </w:tcPr>
          <w:p>
            <w:pPr>
              <w:jc w:val="center"/>
              <w:rPr>
                <w:kern w:val="0"/>
                <w:szCs w:val="21"/>
                <w:lang w:bidi="ar"/>
              </w:rPr>
            </w:pPr>
            <w:r>
              <w:rPr>
                <w:kern w:val="0"/>
                <w:szCs w:val="21"/>
                <w:lang w:bidi="ar"/>
              </w:rPr>
              <w:t>/</w:t>
            </w:r>
          </w:p>
        </w:tc>
        <w:tc>
          <w:tcPr>
            <w:tcW w:w="606" w:type="pct"/>
            <w:noWrap w:val="0"/>
            <w:vAlign w:val="center"/>
          </w:tcPr>
          <w:p>
            <w:pPr>
              <w:jc w:val="center"/>
              <w:rPr>
                <w:snapToGrid w:val="0"/>
                <w:kern w:val="21"/>
                <w:szCs w:val="21"/>
              </w:rPr>
            </w:pPr>
            <w:r>
              <w:rPr>
                <w:snapToGrid w:val="0"/>
                <w:kern w:val="21"/>
                <w:szCs w:val="21"/>
              </w:rPr>
              <w:t>/</w:t>
            </w:r>
          </w:p>
        </w:tc>
        <w:tc>
          <w:tcPr>
            <w:tcW w:w="554" w:type="pct"/>
            <w:noWrap w:val="0"/>
            <w:vAlign w:val="bottom"/>
          </w:tcPr>
          <w:p>
            <w:pPr>
              <w:jc w:val="center"/>
              <w:rPr>
                <w:snapToGrid w:val="0"/>
                <w:kern w:val="21"/>
                <w:szCs w:val="21"/>
              </w:rPr>
            </w:pPr>
            <w:r>
              <w:rPr>
                <w:szCs w:val="21"/>
              </w:rPr>
              <w:t>0.9125</w:t>
            </w:r>
          </w:p>
        </w:tc>
        <w:tc>
          <w:tcPr>
            <w:tcW w:w="627" w:type="pct"/>
            <w:noWrap w:val="0"/>
            <w:vAlign w:val="center"/>
          </w:tcPr>
          <w:p>
            <w:pPr>
              <w:jc w:val="center"/>
              <w:rPr>
                <w:kern w:val="0"/>
                <w:szCs w:val="21"/>
                <w:lang w:bidi="ar"/>
              </w:rPr>
            </w:pPr>
            <w:r>
              <w:rPr>
                <w:kern w:val="0"/>
                <w:szCs w:val="21"/>
                <w:lang w:bidi="ar"/>
              </w:rPr>
              <w:t>/</w:t>
            </w:r>
          </w:p>
        </w:tc>
        <w:tc>
          <w:tcPr>
            <w:tcW w:w="636" w:type="pct"/>
            <w:noWrap w:val="0"/>
            <w:vAlign w:val="center"/>
          </w:tcPr>
          <w:p>
            <w:pPr>
              <w:jc w:val="center"/>
              <w:rPr>
                <w:snapToGrid w:val="0"/>
                <w:kern w:val="21"/>
                <w:szCs w:val="21"/>
              </w:rPr>
            </w:pPr>
            <w:r>
              <w:rPr>
                <w:szCs w:val="21"/>
              </w:rPr>
              <w:t>2.7375</w:t>
            </w:r>
          </w:p>
        </w:tc>
        <w:tc>
          <w:tcPr>
            <w:tcW w:w="455" w:type="pct"/>
            <w:noWrap w:val="0"/>
            <w:vAlign w:val="bottom"/>
          </w:tcPr>
          <w:p>
            <w:pPr>
              <w:jc w:val="center"/>
              <w:rPr>
                <w:kern w:val="0"/>
                <w:szCs w:val="21"/>
                <w:lang w:bidi="ar"/>
              </w:rPr>
            </w:pPr>
            <w:r>
              <w:rPr>
                <w:szCs w:val="21"/>
              </w:rPr>
              <w:t>+0.9125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1" w:type="pct"/>
            <w:vMerge w:val="continue"/>
            <w:noWrap w:val="0"/>
            <w:vAlign w:val="center"/>
          </w:tcPr>
          <w:p>
            <w:pPr>
              <w:jc w:val="center"/>
              <w:rPr>
                <w:snapToGrid w:val="0"/>
                <w:kern w:val="21"/>
                <w:szCs w:val="21"/>
              </w:rPr>
            </w:pPr>
          </w:p>
        </w:tc>
        <w:tc>
          <w:tcPr>
            <w:tcW w:w="709" w:type="pct"/>
            <w:noWrap w:val="0"/>
            <w:vAlign w:val="center"/>
          </w:tcPr>
          <w:p>
            <w:pPr>
              <w:jc w:val="center"/>
              <w:rPr>
                <w:snapToGrid w:val="0"/>
                <w:kern w:val="21"/>
              </w:rPr>
            </w:pPr>
            <w:r>
              <w:rPr>
                <w:snapToGrid w:val="0"/>
                <w:kern w:val="21"/>
              </w:rPr>
              <w:t>TP</w:t>
            </w:r>
          </w:p>
        </w:tc>
        <w:tc>
          <w:tcPr>
            <w:tcW w:w="554" w:type="pct"/>
            <w:noWrap w:val="0"/>
            <w:vAlign w:val="center"/>
          </w:tcPr>
          <w:p>
            <w:pPr>
              <w:jc w:val="center"/>
              <w:rPr>
                <w:kern w:val="0"/>
                <w:szCs w:val="21"/>
                <w:lang w:bidi="ar"/>
              </w:rPr>
            </w:pPr>
            <w:r>
              <w:rPr>
                <w:szCs w:val="21"/>
              </w:rPr>
              <w:t>0.1825</w:t>
            </w:r>
          </w:p>
        </w:tc>
        <w:tc>
          <w:tcPr>
            <w:tcW w:w="398" w:type="pct"/>
            <w:noWrap w:val="0"/>
            <w:vAlign w:val="center"/>
          </w:tcPr>
          <w:p>
            <w:pPr>
              <w:jc w:val="center"/>
              <w:rPr>
                <w:kern w:val="0"/>
                <w:szCs w:val="21"/>
                <w:lang w:bidi="ar"/>
              </w:rPr>
            </w:pPr>
            <w:r>
              <w:rPr>
                <w:snapToGrid w:val="0"/>
                <w:kern w:val="21"/>
                <w:szCs w:val="21"/>
              </w:rPr>
              <w:t>/</w:t>
            </w:r>
          </w:p>
        </w:tc>
        <w:tc>
          <w:tcPr>
            <w:tcW w:w="606" w:type="pct"/>
            <w:noWrap w:val="0"/>
            <w:vAlign w:val="center"/>
          </w:tcPr>
          <w:p>
            <w:pPr>
              <w:jc w:val="center"/>
              <w:rPr>
                <w:snapToGrid w:val="0"/>
                <w:kern w:val="21"/>
                <w:szCs w:val="21"/>
              </w:rPr>
            </w:pPr>
            <w:r>
              <w:rPr>
                <w:kern w:val="0"/>
                <w:szCs w:val="21"/>
                <w:lang w:bidi="ar"/>
              </w:rPr>
              <w:t>/</w:t>
            </w:r>
          </w:p>
        </w:tc>
        <w:tc>
          <w:tcPr>
            <w:tcW w:w="554" w:type="pct"/>
            <w:noWrap w:val="0"/>
            <w:vAlign w:val="center"/>
          </w:tcPr>
          <w:p>
            <w:pPr>
              <w:pStyle w:val="89"/>
              <w:jc w:val="center"/>
              <w:rPr>
                <w:rFonts w:ascii="Times New Roman" w:hAnsi="Times New Roman" w:cs="Times New Roman"/>
                <w:snapToGrid w:val="0"/>
                <w:kern w:val="21"/>
                <w:szCs w:val="21"/>
              </w:rPr>
            </w:pPr>
            <w:r>
              <w:rPr>
                <w:rFonts w:ascii="Times New Roman" w:hAnsi="Times New Roman" w:cs="Times New Roman"/>
                <w:sz w:val="21"/>
                <w:szCs w:val="21"/>
              </w:rPr>
              <w:t>0.0913</w:t>
            </w:r>
          </w:p>
        </w:tc>
        <w:tc>
          <w:tcPr>
            <w:tcW w:w="627" w:type="pct"/>
            <w:noWrap w:val="0"/>
            <w:vAlign w:val="center"/>
          </w:tcPr>
          <w:p>
            <w:pPr>
              <w:jc w:val="center"/>
              <w:rPr>
                <w:kern w:val="0"/>
                <w:szCs w:val="21"/>
                <w:lang w:bidi="ar"/>
              </w:rPr>
            </w:pPr>
            <w:r>
              <w:rPr>
                <w:snapToGrid w:val="0"/>
                <w:kern w:val="21"/>
                <w:szCs w:val="21"/>
              </w:rPr>
              <w:t>/</w:t>
            </w:r>
          </w:p>
        </w:tc>
        <w:tc>
          <w:tcPr>
            <w:tcW w:w="636" w:type="pct"/>
            <w:noWrap w:val="0"/>
            <w:vAlign w:val="center"/>
          </w:tcPr>
          <w:p>
            <w:pPr>
              <w:jc w:val="center"/>
              <w:rPr>
                <w:snapToGrid w:val="0"/>
                <w:kern w:val="21"/>
                <w:szCs w:val="21"/>
              </w:rPr>
            </w:pPr>
            <w:r>
              <w:rPr>
                <w:szCs w:val="21"/>
              </w:rPr>
              <w:t>0.2738</w:t>
            </w:r>
          </w:p>
        </w:tc>
        <w:tc>
          <w:tcPr>
            <w:tcW w:w="455" w:type="pct"/>
            <w:noWrap w:val="0"/>
            <w:vAlign w:val="center"/>
          </w:tcPr>
          <w:p>
            <w:pPr>
              <w:jc w:val="center"/>
              <w:rPr>
                <w:kern w:val="0"/>
                <w:szCs w:val="21"/>
                <w:lang w:bidi="ar"/>
              </w:rPr>
            </w:pPr>
            <w:r>
              <w:rPr>
                <w:szCs w:val="21"/>
              </w:rPr>
              <w:t>+0.0913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1" w:type="pct"/>
            <w:vMerge w:val="restart"/>
            <w:noWrap w:val="0"/>
            <w:vAlign w:val="center"/>
          </w:tcPr>
          <w:p>
            <w:pPr>
              <w:jc w:val="center"/>
              <w:rPr>
                <w:snapToGrid w:val="0"/>
                <w:kern w:val="21"/>
                <w:szCs w:val="21"/>
              </w:rPr>
            </w:pPr>
            <w:r>
              <w:rPr>
                <w:snapToGrid w:val="0"/>
                <w:kern w:val="21"/>
                <w:szCs w:val="21"/>
              </w:rPr>
              <w:t>一般工业</w:t>
            </w:r>
          </w:p>
          <w:p>
            <w:pPr>
              <w:jc w:val="center"/>
              <w:rPr>
                <w:snapToGrid w:val="0"/>
                <w:kern w:val="21"/>
                <w:szCs w:val="21"/>
              </w:rPr>
            </w:pPr>
            <w:r>
              <w:rPr>
                <w:snapToGrid w:val="0"/>
                <w:kern w:val="21"/>
                <w:szCs w:val="21"/>
              </w:rPr>
              <w:t>固体废物</w:t>
            </w:r>
          </w:p>
        </w:tc>
        <w:tc>
          <w:tcPr>
            <w:tcW w:w="709" w:type="pct"/>
            <w:noWrap w:val="0"/>
            <w:vAlign w:val="center"/>
          </w:tcPr>
          <w:p>
            <w:pPr>
              <w:snapToGrid w:val="0"/>
              <w:spacing w:line="300" w:lineRule="exact"/>
              <w:jc w:val="center"/>
              <w:rPr>
                <w:szCs w:val="21"/>
              </w:rPr>
            </w:pPr>
            <w:r>
              <w:rPr>
                <w:szCs w:val="21"/>
              </w:rPr>
              <w:t>栅渣</w:t>
            </w:r>
          </w:p>
        </w:tc>
        <w:tc>
          <w:tcPr>
            <w:tcW w:w="554" w:type="pct"/>
            <w:noWrap w:val="0"/>
            <w:vAlign w:val="bottom"/>
          </w:tcPr>
          <w:p>
            <w:pPr>
              <w:jc w:val="center"/>
              <w:rPr>
                <w:snapToGrid w:val="0"/>
                <w:kern w:val="21"/>
                <w:szCs w:val="21"/>
              </w:rPr>
            </w:pPr>
            <w:r>
              <w:t>13.14</w:t>
            </w:r>
          </w:p>
        </w:tc>
        <w:tc>
          <w:tcPr>
            <w:tcW w:w="398" w:type="pct"/>
            <w:noWrap w:val="0"/>
            <w:vAlign w:val="center"/>
          </w:tcPr>
          <w:p>
            <w:pPr>
              <w:jc w:val="center"/>
              <w:rPr>
                <w:snapToGrid w:val="0"/>
                <w:kern w:val="21"/>
                <w:szCs w:val="21"/>
              </w:rPr>
            </w:pPr>
            <w:r>
              <w:rPr>
                <w:snapToGrid w:val="0"/>
                <w:kern w:val="21"/>
                <w:szCs w:val="21"/>
              </w:rPr>
              <w:t>/</w:t>
            </w:r>
          </w:p>
        </w:tc>
        <w:tc>
          <w:tcPr>
            <w:tcW w:w="606" w:type="pct"/>
            <w:noWrap w:val="0"/>
            <w:vAlign w:val="center"/>
          </w:tcPr>
          <w:p>
            <w:pPr>
              <w:jc w:val="center"/>
              <w:rPr>
                <w:snapToGrid w:val="0"/>
                <w:kern w:val="21"/>
                <w:szCs w:val="21"/>
              </w:rPr>
            </w:pPr>
            <w:r>
              <w:rPr>
                <w:kern w:val="0"/>
                <w:szCs w:val="21"/>
                <w:lang w:bidi="ar"/>
              </w:rPr>
              <w:t>/</w:t>
            </w:r>
          </w:p>
        </w:tc>
        <w:tc>
          <w:tcPr>
            <w:tcW w:w="554" w:type="pct"/>
            <w:noWrap w:val="0"/>
            <w:vAlign w:val="bottom"/>
          </w:tcPr>
          <w:p>
            <w:pPr>
              <w:snapToGrid w:val="0"/>
              <w:spacing w:line="300" w:lineRule="exact"/>
              <w:jc w:val="center"/>
              <w:rPr>
                <w:szCs w:val="21"/>
              </w:rPr>
            </w:pPr>
            <w:r>
              <w:t>6.57</w:t>
            </w:r>
          </w:p>
        </w:tc>
        <w:tc>
          <w:tcPr>
            <w:tcW w:w="627" w:type="pct"/>
            <w:noWrap w:val="0"/>
            <w:vAlign w:val="center"/>
          </w:tcPr>
          <w:p>
            <w:pPr>
              <w:jc w:val="center"/>
              <w:rPr>
                <w:snapToGrid w:val="0"/>
                <w:kern w:val="21"/>
                <w:szCs w:val="21"/>
              </w:rPr>
            </w:pPr>
            <w:r>
              <w:rPr>
                <w:snapToGrid w:val="0"/>
                <w:kern w:val="21"/>
                <w:szCs w:val="21"/>
              </w:rPr>
              <w:t>/</w:t>
            </w:r>
          </w:p>
        </w:tc>
        <w:tc>
          <w:tcPr>
            <w:tcW w:w="636" w:type="pct"/>
            <w:noWrap w:val="0"/>
            <w:vAlign w:val="center"/>
          </w:tcPr>
          <w:p>
            <w:pPr>
              <w:snapToGrid w:val="0"/>
              <w:spacing w:line="300" w:lineRule="exact"/>
              <w:jc w:val="center"/>
              <w:rPr>
                <w:szCs w:val="21"/>
              </w:rPr>
            </w:pPr>
            <w:r>
              <w:rPr>
                <w:szCs w:val="21"/>
              </w:rPr>
              <w:t>19.71</w:t>
            </w:r>
          </w:p>
        </w:tc>
        <w:tc>
          <w:tcPr>
            <w:tcW w:w="455" w:type="pct"/>
            <w:noWrap w:val="0"/>
            <w:vAlign w:val="bottom"/>
          </w:tcPr>
          <w:p>
            <w:pPr>
              <w:jc w:val="center"/>
              <w:rPr>
                <w:snapToGrid w:val="0"/>
                <w:kern w:val="21"/>
                <w:szCs w:val="21"/>
              </w:rPr>
            </w:pPr>
            <w:r>
              <w:t>+6.57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1" w:type="pct"/>
            <w:vMerge w:val="continue"/>
            <w:noWrap w:val="0"/>
            <w:vAlign w:val="center"/>
          </w:tcPr>
          <w:p>
            <w:pPr>
              <w:jc w:val="center"/>
              <w:rPr>
                <w:snapToGrid w:val="0"/>
                <w:kern w:val="21"/>
                <w:szCs w:val="21"/>
              </w:rPr>
            </w:pPr>
          </w:p>
        </w:tc>
        <w:tc>
          <w:tcPr>
            <w:tcW w:w="709" w:type="pct"/>
            <w:noWrap w:val="0"/>
            <w:vAlign w:val="center"/>
          </w:tcPr>
          <w:p>
            <w:pPr>
              <w:snapToGrid w:val="0"/>
              <w:spacing w:line="300" w:lineRule="exact"/>
              <w:jc w:val="center"/>
              <w:rPr>
                <w:szCs w:val="21"/>
              </w:rPr>
            </w:pPr>
            <w:r>
              <w:rPr>
                <w:szCs w:val="21"/>
              </w:rPr>
              <w:t>砂粒</w:t>
            </w:r>
          </w:p>
        </w:tc>
        <w:tc>
          <w:tcPr>
            <w:tcW w:w="554" w:type="pct"/>
            <w:noWrap w:val="0"/>
            <w:vAlign w:val="bottom"/>
          </w:tcPr>
          <w:p>
            <w:pPr>
              <w:jc w:val="center"/>
              <w:rPr>
                <w:kern w:val="0"/>
                <w:szCs w:val="21"/>
                <w:lang w:bidi="ar"/>
              </w:rPr>
            </w:pPr>
            <w:r>
              <w:t>2.0531</w:t>
            </w:r>
          </w:p>
        </w:tc>
        <w:tc>
          <w:tcPr>
            <w:tcW w:w="398" w:type="pct"/>
            <w:noWrap w:val="0"/>
            <w:vAlign w:val="center"/>
          </w:tcPr>
          <w:p>
            <w:pPr>
              <w:jc w:val="center"/>
              <w:rPr>
                <w:kern w:val="0"/>
                <w:szCs w:val="21"/>
                <w:lang w:bidi="ar"/>
              </w:rPr>
            </w:pPr>
            <w:r>
              <w:rPr>
                <w:snapToGrid w:val="0"/>
                <w:kern w:val="21"/>
                <w:szCs w:val="21"/>
              </w:rPr>
              <w:t>/</w:t>
            </w:r>
          </w:p>
        </w:tc>
        <w:tc>
          <w:tcPr>
            <w:tcW w:w="606" w:type="pct"/>
            <w:noWrap w:val="0"/>
            <w:vAlign w:val="center"/>
          </w:tcPr>
          <w:p>
            <w:pPr>
              <w:jc w:val="center"/>
              <w:rPr>
                <w:kern w:val="0"/>
                <w:szCs w:val="21"/>
                <w:lang w:bidi="ar"/>
              </w:rPr>
            </w:pPr>
            <w:r>
              <w:rPr>
                <w:snapToGrid w:val="0"/>
                <w:kern w:val="21"/>
                <w:szCs w:val="21"/>
              </w:rPr>
              <w:t>/</w:t>
            </w:r>
          </w:p>
        </w:tc>
        <w:tc>
          <w:tcPr>
            <w:tcW w:w="554" w:type="pct"/>
            <w:noWrap w:val="0"/>
            <w:vAlign w:val="bottom"/>
          </w:tcPr>
          <w:p>
            <w:pPr>
              <w:snapToGrid w:val="0"/>
              <w:spacing w:line="300" w:lineRule="exact"/>
              <w:jc w:val="center"/>
              <w:rPr>
                <w:szCs w:val="21"/>
              </w:rPr>
            </w:pPr>
            <w:r>
              <w:t>1.0266</w:t>
            </w:r>
          </w:p>
        </w:tc>
        <w:tc>
          <w:tcPr>
            <w:tcW w:w="627" w:type="pct"/>
            <w:noWrap w:val="0"/>
            <w:vAlign w:val="center"/>
          </w:tcPr>
          <w:p>
            <w:pPr>
              <w:jc w:val="center"/>
              <w:rPr>
                <w:kern w:val="0"/>
                <w:szCs w:val="21"/>
                <w:lang w:bidi="ar"/>
              </w:rPr>
            </w:pPr>
            <w:r>
              <w:rPr>
                <w:snapToGrid w:val="0"/>
                <w:kern w:val="21"/>
                <w:szCs w:val="21"/>
              </w:rPr>
              <w:t>/</w:t>
            </w:r>
          </w:p>
        </w:tc>
        <w:tc>
          <w:tcPr>
            <w:tcW w:w="636" w:type="pct"/>
            <w:noWrap w:val="0"/>
            <w:vAlign w:val="center"/>
          </w:tcPr>
          <w:p>
            <w:pPr>
              <w:snapToGrid w:val="0"/>
              <w:spacing w:line="300" w:lineRule="exact"/>
              <w:jc w:val="center"/>
              <w:rPr>
                <w:szCs w:val="21"/>
              </w:rPr>
            </w:pPr>
            <w:r>
              <w:rPr>
                <w:szCs w:val="21"/>
              </w:rPr>
              <w:t>3.0797</w:t>
            </w:r>
          </w:p>
        </w:tc>
        <w:tc>
          <w:tcPr>
            <w:tcW w:w="455" w:type="pct"/>
            <w:noWrap w:val="0"/>
            <w:vAlign w:val="bottom"/>
          </w:tcPr>
          <w:p>
            <w:pPr>
              <w:jc w:val="center"/>
              <w:rPr>
                <w:kern w:val="0"/>
                <w:szCs w:val="21"/>
                <w:lang w:bidi="ar"/>
              </w:rPr>
            </w:pPr>
            <w:r>
              <w:t>+1.0266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1" w:type="pct"/>
            <w:vMerge w:val="continue"/>
            <w:noWrap w:val="0"/>
            <w:vAlign w:val="center"/>
          </w:tcPr>
          <w:p>
            <w:pPr>
              <w:jc w:val="center"/>
              <w:rPr>
                <w:snapToGrid w:val="0"/>
                <w:kern w:val="21"/>
                <w:szCs w:val="21"/>
              </w:rPr>
            </w:pPr>
          </w:p>
        </w:tc>
        <w:tc>
          <w:tcPr>
            <w:tcW w:w="709" w:type="pct"/>
            <w:noWrap w:val="0"/>
            <w:vAlign w:val="center"/>
          </w:tcPr>
          <w:p>
            <w:pPr>
              <w:snapToGrid w:val="0"/>
              <w:spacing w:line="300" w:lineRule="exact"/>
              <w:jc w:val="center"/>
              <w:rPr>
                <w:szCs w:val="21"/>
              </w:rPr>
            </w:pPr>
            <w:r>
              <w:rPr>
                <w:szCs w:val="21"/>
              </w:rPr>
              <w:t>污泥</w:t>
            </w:r>
          </w:p>
        </w:tc>
        <w:tc>
          <w:tcPr>
            <w:tcW w:w="554" w:type="pct"/>
            <w:noWrap w:val="0"/>
            <w:vAlign w:val="bottom"/>
          </w:tcPr>
          <w:p>
            <w:pPr>
              <w:jc w:val="center"/>
              <w:rPr>
                <w:snapToGrid w:val="0"/>
                <w:kern w:val="21"/>
                <w:szCs w:val="21"/>
              </w:rPr>
            </w:pPr>
            <w:r>
              <w:t>6.205</w:t>
            </w:r>
          </w:p>
        </w:tc>
        <w:tc>
          <w:tcPr>
            <w:tcW w:w="398" w:type="pct"/>
            <w:noWrap w:val="0"/>
            <w:vAlign w:val="center"/>
          </w:tcPr>
          <w:p>
            <w:pPr>
              <w:jc w:val="center"/>
              <w:rPr>
                <w:snapToGrid w:val="0"/>
                <w:kern w:val="21"/>
                <w:szCs w:val="21"/>
              </w:rPr>
            </w:pPr>
            <w:r>
              <w:rPr>
                <w:snapToGrid w:val="0"/>
                <w:kern w:val="21"/>
                <w:szCs w:val="21"/>
              </w:rPr>
              <w:t>/</w:t>
            </w:r>
          </w:p>
        </w:tc>
        <w:tc>
          <w:tcPr>
            <w:tcW w:w="606" w:type="pct"/>
            <w:noWrap w:val="0"/>
            <w:vAlign w:val="center"/>
          </w:tcPr>
          <w:p>
            <w:pPr>
              <w:jc w:val="center"/>
              <w:rPr>
                <w:snapToGrid w:val="0"/>
                <w:kern w:val="21"/>
                <w:szCs w:val="21"/>
              </w:rPr>
            </w:pPr>
            <w:r>
              <w:rPr>
                <w:snapToGrid w:val="0"/>
                <w:kern w:val="21"/>
                <w:szCs w:val="21"/>
              </w:rPr>
              <w:t>/</w:t>
            </w:r>
          </w:p>
        </w:tc>
        <w:tc>
          <w:tcPr>
            <w:tcW w:w="554" w:type="pct"/>
            <w:noWrap w:val="0"/>
            <w:vAlign w:val="bottom"/>
          </w:tcPr>
          <w:p>
            <w:pPr>
              <w:snapToGrid w:val="0"/>
              <w:spacing w:line="300" w:lineRule="exact"/>
              <w:jc w:val="center"/>
              <w:rPr>
                <w:szCs w:val="21"/>
              </w:rPr>
            </w:pPr>
            <w:r>
              <w:t>3.1025</w:t>
            </w:r>
          </w:p>
        </w:tc>
        <w:tc>
          <w:tcPr>
            <w:tcW w:w="627" w:type="pct"/>
            <w:noWrap w:val="0"/>
            <w:vAlign w:val="center"/>
          </w:tcPr>
          <w:p>
            <w:pPr>
              <w:jc w:val="center"/>
              <w:rPr>
                <w:snapToGrid w:val="0"/>
                <w:kern w:val="21"/>
                <w:szCs w:val="21"/>
              </w:rPr>
            </w:pPr>
            <w:r>
              <w:rPr>
                <w:snapToGrid w:val="0"/>
                <w:kern w:val="21"/>
                <w:szCs w:val="21"/>
              </w:rPr>
              <w:t>/</w:t>
            </w:r>
          </w:p>
        </w:tc>
        <w:tc>
          <w:tcPr>
            <w:tcW w:w="636" w:type="pct"/>
            <w:noWrap w:val="0"/>
            <w:vAlign w:val="center"/>
          </w:tcPr>
          <w:p>
            <w:pPr>
              <w:snapToGrid w:val="0"/>
              <w:spacing w:line="300" w:lineRule="exact"/>
              <w:jc w:val="center"/>
              <w:rPr>
                <w:szCs w:val="21"/>
              </w:rPr>
            </w:pPr>
            <w:r>
              <w:rPr>
                <w:szCs w:val="21"/>
              </w:rPr>
              <w:t>9.3075</w:t>
            </w:r>
          </w:p>
        </w:tc>
        <w:tc>
          <w:tcPr>
            <w:tcW w:w="455" w:type="pct"/>
            <w:noWrap w:val="0"/>
            <w:vAlign w:val="bottom"/>
          </w:tcPr>
          <w:p>
            <w:pPr>
              <w:jc w:val="center"/>
              <w:rPr>
                <w:snapToGrid w:val="0"/>
                <w:kern w:val="21"/>
                <w:szCs w:val="21"/>
              </w:rPr>
            </w:pPr>
            <w:r>
              <w:t>+3.1025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1" w:type="pct"/>
            <w:vMerge w:val="continue"/>
            <w:noWrap w:val="0"/>
            <w:vAlign w:val="center"/>
          </w:tcPr>
          <w:p>
            <w:pPr>
              <w:jc w:val="center"/>
              <w:rPr>
                <w:snapToGrid w:val="0"/>
                <w:kern w:val="21"/>
                <w:szCs w:val="21"/>
              </w:rPr>
            </w:pPr>
          </w:p>
        </w:tc>
        <w:tc>
          <w:tcPr>
            <w:tcW w:w="709" w:type="pct"/>
            <w:noWrap w:val="0"/>
            <w:vAlign w:val="center"/>
          </w:tcPr>
          <w:p>
            <w:pPr>
              <w:snapToGrid w:val="0"/>
              <w:spacing w:line="300" w:lineRule="exact"/>
              <w:jc w:val="center"/>
              <w:rPr>
                <w:szCs w:val="21"/>
              </w:rPr>
            </w:pPr>
            <w:r>
              <w:rPr>
                <w:szCs w:val="21"/>
              </w:rPr>
              <w:t>生活垃圾</w:t>
            </w:r>
          </w:p>
        </w:tc>
        <w:tc>
          <w:tcPr>
            <w:tcW w:w="554" w:type="pct"/>
            <w:noWrap w:val="0"/>
            <w:vAlign w:val="center"/>
          </w:tcPr>
          <w:p>
            <w:pPr>
              <w:jc w:val="center"/>
              <w:rPr>
                <w:kern w:val="0"/>
                <w:szCs w:val="21"/>
                <w:lang w:bidi="ar"/>
              </w:rPr>
            </w:pPr>
            <w:r>
              <w:rPr>
                <w:szCs w:val="21"/>
              </w:rPr>
              <w:t>0.5475</w:t>
            </w:r>
          </w:p>
        </w:tc>
        <w:tc>
          <w:tcPr>
            <w:tcW w:w="398" w:type="pct"/>
            <w:noWrap w:val="0"/>
            <w:vAlign w:val="center"/>
          </w:tcPr>
          <w:p>
            <w:pPr>
              <w:jc w:val="center"/>
              <w:rPr>
                <w:kern w:val="0"/>
                <w:szCs w:val="21"/>
                <w:lang w:bidi="ar"/>
              </w:rPr>
            </w:pPr>
            <w:r>
              <w:rPr>
                <w:snapToGrid w:val="0"/>
                <w:kern w:val="21"/>
                <w:szCs w:val="21"/>
              </w:rPr>
              <w:t>/</w:t>
            </w:r>
          </w:p>
        </w:tc>
        <w:tc>
          <w:tcPr>
            <w:tcW w:w="606" w:type="pct"/>
            <w:noWrap w:val="0"/>
            <w:vAlign w:val="center"/>
          </w:tcPr>
          <w:p>
            <w:pPr>
              <w:jc w:val="center"/>
              <w:rPr>
                <w:kern w:val="0"/>
                <w:szCs w:val="21"/>
                <w:lang w:bidi="ar"/>
              </w:rPr>
            </w:pPr>
            <w:r>
              <w:rPr>
                <w:snapToGrid w:val="0"/>
                <w:kern w:val="21"/>
                <w:szCs w:val="21"/>
              </w:rPr>
              <w:t>/</w:t>
            </w:r>
          </w:p>
        </w:tc>
        <w:tc>
          <w:tcPr>
            <w:tcW w:w="554" w:type="pct"/>
            <w:noWrap w:val="0"/>
            <w:vAlign w:val="center"/>
          </w:tcPr>
          <w:p>
            <w:pPr>
              <w:snapToGrid w:val="0"/>
              <w:spacing w:line="300" w:lineRule="exact"/>
              <w:jc w:val="center"/>
              <w:rPr>
                <w:szCs w:val="21"/>
              </w:rPr>
            </w:pPr>
            <w:r>
              <w:rPr>
                <w:szCs w:val="21"/>
              </w:rPr>
              <w:t>0</w:t>
            </w:r>
          </w:p>
        </w:tc>
        <w:tc>
          <w:tcPr>
            <w:tcW w:w="627" w:type="pct"/>
            <w:noWrap w:val="0"/>
            <w:vAlign w:val="center"/>
          </w:tcPr>
          <w:p>
            <w:pPr>
              <w:jc w:val="center"/>
              <w:rPr>
                <w:snapToGrid w:val="0"/>
                <w:kern w:val="21"/>
                <w:szCs w:val="21"/>
              </w:rPr>
            </w:pPr>
            <w:r>
              <w:rPr>
                <w:snapToGrid w:val="0"/>
                <w:kern w:val="21"/>
                <w:szCs w:val="21"/>
              </w:rPr>
              <w:t>/</w:t>
            </w:r>
          </w:p>
        </w:tc>
        <w:tc>
          <w:tcPr>
            <w:tcW w:w="636" w:type="pct"/>
            <w:noWrap w:val="0"/>
            <w:vAlign w:val="center"/>
          </w:tcPr>
          <w:p>
            <w:pPr>
              <w:snapToGrid w:val="0"/>
              <w:spacing w:line="300" w:lineRule="exact"/>
              <w:jc w:val="center"/>
              <w:rPr>
                <w:szCs w:val="21"/>
              </w:rPr>
            </w:pPr>
            <w:r>
              <w:rPr>
                <w:szCs w:val="21"/>
              </w:rPr>
              <w:t>0.5475</w:t>
            </w:r>
          </w:p>
        </w:tc>
        <w:tc>
          <w:tcPr>
            <w:tcW w:w="455" w:type="pct"/>
            <w:noWrap w:val="0"/>
            <w:vAlign w:val="center"/>
          </w:tcPr>
          <w:p>
            <w:pPr>
              <w:jc w:val="center"/>
              <w:rPr>
                <w:snapToGrid w:val="0"/>
                <w:kern w:val="21"/>
                <w:szCs w:val="21"/>
              </w:rPr>
            </w:pPr>
            <w: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61" w:type="pct"/>
            <w:vMerge w:val="restart"/>
            <w:noWrap w:val="0"/>
            <w:vAlign w:val="center"/>
          </w:tcPr>
          <w:p>
            <w:pPr>
              <w:jc w:val="center"/>
              <w:rPr>
                <w:snapToGrid w:val="0"/>
                <w:kern w:val="21"/>
                <w:szCs w:val="21"/>
              </w:rPr>
            </w:pPr>
            <w:r>
              <w:rPr>
                <w:snapToGrid w:val="0"/>
                <w:kern w:val="21"/>
                <w:szCs w:val="21"/>
              </w:rPr>
              <w:t>危险废物</w:t>
            </w:r>
          </w:p>
        </w:tc>
        <w:tc>
          <w:tcPr>
            <w:tcW w:w="709" w:type="pct"/>
            <w:noWrap w:val="0"/>
            <w:vAlign w:val="center"/>
          </w:tcPr>
          <w:p>
            <w:pPr>
              <w:pStyle w:val="117"/>
              <w:snapToGrid w:val="0"/>
              <w:spacing w:before="0" w:after="0"/>
              <w:rPr>
                <w:szCs w:val="21"/>
              </w:rPr>
            </w:pPr>
            <w:r>
              <w:rPr>
                <w:szCs w:val="21"/>
              </w:rPr>
              <w:t>在线监测废液</w:t>
            </w:r>
          </w:p>
        </w:tc>
        <w:tc>
          <w:tcPr>
            <w:tcW w:w="554" w:type="pct"/>
            <w:noWrap w:val="0"/>
            <w:vAlign w:val="center"/>
          </w:tcPr>
          <w:p>
            <w:pPr>
              <w:jc w:val="center"/>
              <w:rPr>
                <w:snapToGrid w:val="0"/>
                <w:kern w:val="21"/>
                <w:szCs w:val="21"/>
              </w:rPr>
            </w:pPr>
            <w:r>
              <w:rPr>
                <w:szCs w:val="21"/>
              </w:rPr>
              <w:t>0.2</w:t>
            </w:r>
          </w:p>
        </w:tc>
        <w:tc>
          <w:tcPr>
            <w:tcW w:w="398" w:type="pct"/>
            <w:noWrap w:val="0"/>
            <w:vAlign w:val="center"/>
          </w:tcPr>
          <w:p>
            <w:pPr>
              <w:jc w:val="center"/>
              <w:rPr>
                <w:snapToGrid w:val="0"/>
                <w:kern w:val="21"/>
                <w:szCs w:val="21"/>
              </w:rPr>
            </w:pPr>
            <w:r>
              <w:rPr>
                <w:snapToGrid w:val="0"/>
                <w:kern w:val="21"/>
                <w:szCs w:val="21"/>
              </w:rPr>
              <w:t>/</w:t>
            </w:r>
          </w:p>
        </w:tc>
        <w:tc>
          <w:tcPr>
            <w:tcW w:w="606" w:type="pct"/>
            <w:noWrap w:val="0"/>
            <w:vAlign w:val="center"/>
          </w:tcPr>
          <w:p>
            <w:pPr>
              <w:jc w:val="center"/>
              <w:rPr>
                <w:b/>
                <w:bCs/>
                <w:snapToGrid w:val="0"/>
                <w:kern w:val="21"/>
                <w:szCs w:val="21"/>
              </w:rPr>
            </w:pPr>
            <w:r>
              <w:rPr>
                <w:snapToGrid w:val="0"/>
                <w:kern w:val="21"/>
                <w:szCs w:val="21"/>
              </w:rPr>
              <w:t>/</w:t>
            </w:r>
          </w:p>
        </w:tc>
        <w:tc>
          <w:tcPr>
            <w:tcW w:w="554" w:type="pct"/>
            <w:noWrap w:val="0"/>
            <w:vAlign w:val="center"/>
          </w:tcPr>
          <w:p>
            <w:pPr>
              <w:jc w:val="center"/>
              <w:rPr>
                <w:szCs w:val="21"/>
              </w:rPr>
            </w:pPr>
            <w:r>
              <w:rPr>
                <w:szCs w:val="21"/>
              </w:rPr>
              <w:t>0</w:t>
            </w:r>
          </w:p>
        </w:tc>
        <w:tc>
          <w:tcPr>
            <w:tcW w:w="627" w:type="pct"/>
            <w:noWrap w:val="0"/>
            <w:vAlign w:val="center"/>
          </w:tcPr>
          <w:p>
            <w:pPr>
              <w:jc w:val="center"/>
              <w:rPr>
                <w:snapToGrid w:val="0"/>
                <w:kern w:val="21"/>
                <w:szCs w:val="21"/>
              </w:rPr>
            </w:pPr>
            <w:r>
              <w:rPr>
                <w:snapToGrid w:val="0"/>
                <w:kern w:val="21"/>
                <w:szCs w:val="21"/>
              </w:rPr>
              <w:t>/</w:t>
            </w:r>
          </w:p>
        </w:tc>
        <w:tc>
          <w:tcPr>
            <w:tcW w:w="636" w:type="pct"/>
            <w:noWrap w:val="0"/>
            <w:vAlign w:val="center"/>
          </w:tcPr>
          <w:p>
            <w:pPr>
              <w:jc w:val="center"/>
              <w:rPr>
                <w:szCs w:val="21"/>
              </w:rPr>
            </w:pPr>
            <w:r>
              <w:rPr>
                <w:szCs w:val="21"/>
              </w:rPr>
              <w:t>0.2</w:t>
            </w:r>
          </w:p>
        </w:tc>
        <w:tc>
          <w:tcPr>
            <w:tcW w:w="455" w:type="pct"/>
            <w:noWrap w:val="0"/>
            <w:vAlign w:val="center"/>
          </w:tcPr>
          <w:p>
            <w:pPr>
              <w:jc w:val="center"/>
              <w:rPr>
                <w:snapToGrid w:val="0"/>
                <w:kern w:val="21"/>
                <w:szCs w:val="21"/>
              </w:rPr>
            </w:pPr>
            <w: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61" w:type="pct"/>
            <w:vMerge w:val="continue"/>
            <w:noWrap w:val="0"/>
            <w:vAlign w:val="center"/>
          </w:tcPr>
          <w:p>
            <w:pPr>
              <w:rPr>
                <w:snapToGrid w:val="0"/>
                <w:kern w:val="21"/>
                <w:szCs w:val="21"/>
              </w:rPr>
            </w:pPr>
          </w:p>
        </w:tc>
        <w:tc>
          <w:tcPr>
            <w:tcW w:w="709" w:type="pct"/>
            <w:noWrap w:val="0"/>
            <w:vAlign w:val="center"/>
          </w:tcPr>
          <w:p>
            <w:pPr>
              <w:pStyle w:val="117"/>
              <w:snapToGrid w:val="0"/>
              <w:spacing w:before="0" w:after="0"/>
              <w:rPr>
                <w:szCs w:val="21"/>
              </w:rPr>
            </w:pPr>
            <w:r>
              <w:rPr>
                <w:szCs w:val="21"/>
              </w:rPr>
              <w:t>废机油</w:t>
            </w:r>
          </w:p>
        </w:tc>
        <w:tc>
          <w:tcPr>
            <w:tcW w:w="554" w:type="pct"/>
            <w:noWrap w:val="0"/>
            <w:vAlign w:val="center"/>
          </w:tcPr>
          <w:p>
            <w:pPr>
              <w:jc w:val="center"/>
              <w:rPr>
                <w:snapToGrid w:val="0"/>
                <w:kern w:val="21"/>
                <w:szCs w:val="21"/>
              </w:rPr>
            </w:pPr>
            <w:r>
              <w:rPr>
                <w:szCs w:val="21"/>
              </w:rPr>
              <w:t>0.05</w:t>
            </w:r>
          </w:p>
        </w:tc>
        <w:tc>
          <w:tcPr>
            <w:tcW w:w="398" w:type="pct"/>
            <w:noWrap w:val="0"/>
            <w:vAlign w:val="center"/>
          </w:tcPr>
          <w:p>
            <w:pPr>
              <w:jc w:val="center"/>
              <w:rPr>
                <w:snapToGrid w:val="0"/>
                <w:kern w:val="21"/>
                <w:szCs w:val="21"/>
              </w:rPr>
            </w:pPr>
            <w:r>
              <w:rPr>
                <w:snapToGrid w:val="0"/>
                <w:kern w:val="21"/>
                <w:szCs w:val="21"/>
              </w:rPr>
              <w:t>/</w:t>
            </w:r>
          </w:p>
        </w:tc>
        <w:tc>
          <w:tcPr>
            <w:tcW w:w="606" w:type="pct"/>
            <w:noWrap w:val="0"/>
            <w:vAlign w:val="center"/>
          </w:tcPr>
          <w:p>
            <w:pPr>
              <w:jc w:val="center"/>
              <w:rPr>
                <w:b/>
                <w:bCs/>
                <w:snapToGrid w:val="0"/>
                <w:kern w:val="21"/>
                <w:szCs w:val="21"/>
              </w:rPr>
            </w:pPr>
            <w:r>
              <w:rPr>
                <w:snapToGrid w:val="0"/>
                <w:kern w:val="21"/>
                <w:szCs w:val="21"/>
              </w:rPr>
              <w:t>/</w:t>
            </w:r>
          </w:p>
        </w:tc>
        <w:tc>
          <w:tcPr>
            <w:tcW w:w="554" w:type="pct"/>
            <w:noWrap w:val="0"/>
            <w:vAlign w:val="center"/>
          </w:tcPr>
          <w:p>
            <w:pPr>
              <w:jc w:val="center"/>
              <w:rPr>
                <w:szCs w:val="21"/>
              </w:rPr>
            </w:pPr>
            <w:r>
              <w:rPr>
                <w:szCs w:val="21"/>
              </w:rPr>
              <w:t>0.05</w:t>
            </w:r>
          </w:p>
        </w:tc>
        <w:tc>
          <w:tcPr>
            <w:tcW w:w="627" w:type="pct"/>
            <w:noWrap w:val="0"/>
            <w:vAlign w:val="center"/>
          </w:tcPr>
          <w:p>
            <w:pPr>
              <w:jc w:val="center"/>
              <w:rPr>
                <w:snapToGrid w:val="0"/>
                <w:kern w:val="21"/>
                <w:szCs w:val="21"/>
              </w:rPr>
            </w:pPr>
            <w:r>
              <w:rPr>
                <w:snapToGrid w:val="0"/>
                <w:kern w:val="21"/>
                <w:szCs w:val="21"/>
              </w:rPr>
              <w:t>/</w:t>
            </w:r>
          </w:p>
        </w:tc>
        <w:tc>
          <w:tcPr>
            <w:tcW w:w="636" w:type="pct"/>
            <w:noWrap w:val="0"/>
            <w:vAlign w:val="center"/>
          </w:tcPr>
          <w:p>
            <w:pPr>
              <w:jc w:val="center"/>
              <w:rPr>
                <w:szCs w:val="21"/>
              </w:rPr>
            </w:pPr>
            <w:r>
              <w:rPr>
                <w:szCs w:val="21"/>
              </w:rPr>
              <w:t>0.1</w:t>
            </w:r>
          </w:p>
        </w:tc>
        <w:tc>
          <w:tcPr>
            <w:tcW w:w="455" w:type="pct"/>
            <w:noWrap w:val="0"/>
            <w:vAlign w:val="center"/>
          </w:tcPr>
          <w:p>
            <w:pPr>
              <w:jc w:val="center"/>
              <w:rPr>
                <w:snapToGrid w:val="0"/>
                <w:kern w:val="21"/>
                <w:szCs w:val="21"/>
              </w:rPr>
            </w:pPr>
            <w: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61" w:type="pct"/>
            <w:vMerge w:val="continue"/>
            <w:noWrap w:val="0"/>
            <w:vAlign w:val="center"/>
          </w:tcPr>
          <w:p>
            <w:pPr>
              <w:rPr>
                <w:snapToGrid w:val="0"/>
                <w:kern w:val="21"/>
                <w:szCs w:val="21"/>
              </w:rPr>
            </w:pPr>
          </w:p>
        </w:tc>
        <w:tc>
          <w:tcPr>
            <w:tcW w:w="709" w:type="pct"/>
            <w:noWrap w:val="0"/>
            <w:vAlign w:val="center"/>
          </w:tcPr>
          <w:p>
            <w:pPr>
              <w:pStyle w:val="117"/>
              <w:snapToGrid w:val="0"/>
              <w:spacing w:before="0" w:after="0"/>
              <w:rPr>
                <w:szCs w:val="21"/>
              </w:rPr>
            </w:pPr>
            <w:r>
              <w:rPr>
                <w:szCs w:val="21"/>
              </w:rPr>
              <w:t>废含油棉纱、手套</w:t>
            </w:r>
          </w:p>
        </w:tc>
        <w:tc>
          <w:tcPr>
            <w:tcW w:w="554" w:type="pct"/>
            <w:noWrap w:val="0"/>
            <w:vAlign w:val="center"/>
          </w:tcPr>
          <w:p>
            <w:pPr>
              <w:jc w:val="center"/>
              <w:rPr>
                <w:snapToGrid w:val="0"/>
                <w:kern w:val="21"/>
                <w:szCs w:val="21"/>
              </w:rPr>
            </w:pPr>
            <w:r>
              <w:rPr>
                <w:szCs w:val="21"/>
              </w:rPr>
              <w:t>0.005</w:t>
            </w:r>
          </w:p>
        </w:tc>
        <w:tc>
          <w:tcPr>
            <w:tcW w:w="398" w:type="pct"/>
            <w:noWrap w:val="0"/>
            <w:vAlign w:val="center"/>
          </w:tcPr>
          <w:p>
            <w:pPr>
              <w:jc w:val="center"/>
              <w:rPr>
                <w:snapToGrid w:val="0"/>
                <w:kern w:val="21"/>
                <w:szCs w:val="21"/>
              </w:rPr>
            </w:pPr>
            <w:r>
              <w:rPr>
                <w:snapToGrid w:val="0"/>
                <w:kern w:val="21"/>
                <w:szCs w:val="21"/>
              </w:rPr>
              <w:t>/</w:t>
            </w:r>
          </w:p>
        </w:tc>
        <w:tc>
          <w:tcPr>
            <w:tcW w:w="606" w:type="pct"/>
            <w:noWrap w:val="0"/>
            <w:vAlign w:val="center"/>
          </w:tcPr>
          <w:p>
            <w:pPr>
              <w:jc w:val="center"/>
              <w:rPr>
                <w:b/>
                <w:bCs/>
                <w:snapToGrid w:val="0"/>
                <w:kern w:val="21"/>
                <w:szCs w:val="21"/>
              </w:rPr>
            </w:pPr>
            <w:r>
              <w:rPr>
                <w:snapToGrid w:val="0"/>
                <w:kern w:val="21"/>
                <w:szCs w:val="21"/>
              </w:rPr>
              <w:t>/</w:t>
            </w:r>
          </w:p>
        </w:tc>
        <w:tc>
          <w:tcPr>
            <w:tcW w:w="554" w:type="pct"/>
            <w:noWrap w:val="0"/>
            <w:vAlign w:val="center"/>
          </w:tcPr>
          <w:p>
            <w:pPr>
              <w:jc w:val="center"/>
              <w:rPr>
                <w:sz w:val="22"/>
                <w:szCs w:val="22"/>
              </w:rPr>
            </w:pPr>
            <w:r>
              <w:rPr>
                <w:szCs w:val="21"/>
              </w:rPr>
              <w:t>0.005</w:t>
            </w:r>
          </w:p>
        </w:tc>
        <w:tc>
          <w:tcPr>
            <w:tcW w:w="627" w:type="pct"/>
            <w:noWrap w:val="0"/>
            <w:vAlign w:val="center"/>
          </w:tcPr>
          <w:p>
            <w:pPr>
              <w:jc w:val="center"/>
              <w:rPr>
                <w:snapToGrid w:val="0"/>
                <w:kern w:val="21"/>
                <w:szCs w:val="21"/>
              </w:rPr>
            </w:pPr>
            <w:r>
              <w:rPr>
                <w:snapToGrid w:val="0"/>
                <w:kern w:val="21"/>
                <w:szCs w:val="21"/>
              </w:rPr>
              <w:t>/</w:t>
            </w:r>
          </w:p>
        </w:tc>
        <w:tc>
          <w:tcPr>
            <w:tcW w:w="636" w:type="pct"/>
            <w:noWrap w:val="0"/>
            <w:vAlign w:val="center"/>
          </w:tcPr>
          <w:p>
            <w:pPr>
              <w:jc w:val="center"/>
              <w:rPr>
                <w:sz w:val="22"/>
                <w:szCs w:val="22"/>
              </w:rPr>
            </w:pPr>
            <w:r>
              <w:rPr>
                <w:szCs w:val="21"/>
              </w:rPr>
              <w:t>0.01</w:t>
            </w:r>
          </w:p>
        </w:tc>
        <w:tc>
          <w:tcPr>
            <w:tcW w:w="455" w:type="pct"/>
            <w:noWrap w:val="0"/>
            <w:vAlign w:val="center"/>
          </w:tcPr>
          <w:p>
            <w:pPr>
              <w:jc w:val="center"/>
              <w:rPr>
                <w:snapToGrid w:val="0"/>
                <w:kern w:val="21"/>
                <w:szCs w:val="21"/>
              </w:rPr>
            </w:pPr>
            <w:r>
              <w:t>+0.005</w:t>
            </w:r>
          </w:p>
        </w:tc>
      </w:tr>
    </w:tbl>
    <w:p>
      <w:pPr>
        <w:spacing w:before="192" w:beforeLines="80" w:after="24"/>
        <w:jc w:val="left"/>
      </w:pPr>
      <w:r>
        <w:rPr>
          <w:snapToGrid w:val="0"/>
          <w:kern w:val="21"/>
          <w:szCs w:val="21"/>
        </w:rPr>
        <w:t>注：</w:t>
      </w:r>
      <w:r>
        <w:rPr>
          <w:snapToGrid w:val="0"/>
          <w:spacing w:val="-16"/>
          <w:kern w:val="21"/>
          <w:szCs w:val="21"/>
        </w:rPr>
        <w:fldChar w:fldCharType="begin"/>
      </w:r>
      <w:r>
        <w:rPr>
          <w:snapToGrid w:val="0"/>
          <w:spacing w:val="-16"/>
          <w:kern w:val="21"/>
          <w:szCs w:val="21"/>
        </w:rPr>
        <w:instrText xml:space="preserve"> = 6 \* GB3 \* MERGEFORMAT </w:instrText>
      </w:r>
      <w:r>
        <w:rPr>
          <w:snapToGrid w:val="0"/>
          <w:spacing w:val="-16"/>
          <w:kern w:val="21"/>
          <w:szCs w:val="21"/>
        </w:rPr>
        <w:fldChar w:fldCharType="separate"/>
      </w:r>
      <w:r>
        <w:rPr>
          <w:rFonts w:hint="eastAsia" w:ascii="宋体" w:hAnsi="宋体" w:cs="宋体"/>
          <w:szCs w:val="21"/>
        </w:rPr>
        <w:t>⑥</w:t>
      </w:r>
      <w:r>
        <w:rPr>
          <w:snapToGrid w:val="0"/>
          <w:spacing w:val="-16"/>
          <w:kern w:val="21"/>
          <w:szCs w:val="21"/>
        </w:rPr>
        <w:fldChar w:fldCharType="end"/>
      </w:r>
      <w:r>
        <w:rPr>
          <w:snapToGrid w:val="0"/>
          <w:spacing w:val="-16"/>
          <w:kern w:val="21"/>
          <w:szCs w:val="21"/>
        </w:rPr>
        <w:t>=</w:t>
      </w:r>
      <w:r>
        <w:rPr>
          <w:snapToGrid w:val="0"/>
          <w:spacing w:val="-6"/>
          <w:kern w:val="21"/>
          <w:szCs w:val="21"/>
        </w:rPr>
        <w:fldChar w:fldCharType="begin"/>
      </w:r>
      <w:r>
        <w:rPr>
          <w:snapToGrid w:val="0"/>
          <w:spacing w:val="-6"/>
          <w:kern w:val="21"/>
          <w:szCs w:val="21"/>
        </w:rPr>
        <w:instrText xml:space="preserve"> = 1 \* GB3 \* MERGEFORMAT </w:instrText>
      </w:r>
      <w:r>
        <w:rPr>
          <w:snapToGrid w:val="0"/>
          <w:spacing w:val="-6"/>
          <w:kern w:val="21"/>
          <w:szCs w:val="21"/>
        </w:rPr>
        <w:fldChar w:fldCharType="separate"/>
      </w:r>
      <w:r>
        <w:rPr>
          <w:rFonts w:hint="eastAsia" w:ascii="宋体" w:hAnsi="宋体" w:cs="宋体"/>
          <w:szCs w:val="21"/>
        </w:rPr>
        <w:t>①</w:t>
      </w:r>
      <w:r>
        <w:rPr>
          <w:snapToGrid w:val="0"/>
          <w:spacing w:val="-6"/>
          <w:kern w:val="21"/>
          <w:szCs w:val="21"/>
        </w:rPr>
        <w:fldChar w:fldCharType="end"/>
      </w:r>
      <w:r>
        <w:rPr>
          <w:snapToGrid w:val="0"/>
          <w:spacing w:val="-6"/>
          <w:kern w:val="21"/>
          <w:szCs w:val="21"/>
        </w:rPr>
        <w:t>+</w:t>
      </w:r>
      <w:r>
        <w:rPr>
          <w:snapToGrid w:val="0"/>
          <w:spacing w:val="-6"/>
          <w:kern w:val="21"/>
          <w:szCs w:val="21"/>
        </w:rPr>
        <w:fldChar w:fldCharType="begin"/>
      </w:r>
      <w:r>
        <w:rPr>
          <w:snapToGrid w:val="0"/>
          <w:spacing w:val="-6"/>
          <w:kern w:val="21"/>
          <w:szCs w:val="21"/>
        </w:rPr>
        <w:instrText xml:space="preserve"> = 3 \* GB3 \* MERGEFORMAT </w:instrText>
      </w:r>
      <w:r>
        <w:rPr>
          <w:snapToGrid w:val="0"/>
          <w:spacing w:val="-6"/>
          <w:kern w:val="21"/>
          <w:szCs w:val="21"/>
        </w:rPr>
        <w:fldChar w:fldCharType="separate"/>
      </w:r>
      <w:r>
        <w:rPr>
          <w:rFonts w:hint="eastAsia" w:ascii="宋体" w:hAnsi="宋体" w:cs="宋体"/>
          <w:szCs w:val="21"/>
        </w:rPr>
        <w:t>③</w:t>
      </w:r>
      <w:r>
        <w:rPr>
          <w:snapToGrid w:val="0"/>
          <w:spacing w:val="-6"/>
          <w:kern w:val="21"/>
          <w:szCs w:val="21"/>
        </w:rPr>
        <w:fldChar w:fldCharType="end"/>
      </w:r>
      <w:r>
        <w:rPr>
          <w:snapToGrid w:val="0"/>
          <w:spacing w:val="-6"/>
          <w:kern w:val="21"/>
          <w:szCs w:val="21"/>
        </w:rPr>
        <w:t>+</w:t>
      </w:r>
      <w:r>
        <w:rPr>
          <w:snapToGrid w:val="0"/>
          <w:spacing w:val="-6"/>
          <w:kern w:val="21"/>
          <w:szCs w:val="21"/>
        </w:rPr>
        <w:fldChar w:fldCharType="begin"/>
      </w:r>
      <w:r>
        <w:rPr>
          <w:snapToGrid w:val="0"/>
          <w:spacing w:val="-6"/>
          <w:kern w:val="21"/>
          <w:szCs w:val="21"/>
        </w:rPr>
        <w:instrText xml:space="preserve"> = 4 \* GB3 \* MERGEFORMAT </w:instrText>
      </w:r>
      <w:r>
        <w:rPr>
          <w:snapToGrid w:val="0"/>
          <w:spacing w:val="-6"/>
          <w:kern w:val="21"/>
          <w:szCs w:val="21"/>
        </w:rPr>
        <w:fldChar w:fldCharType="separate"/>
      </w:r>
      <w:r>
        <w:rPr>
          <w:rFonts w:hint="eastAsia" w:ascii="宋体" w:hAnsi="宋体" w:cs="宋体"/>
          <w:szCs w:val="21"/>
        </w:rPr>
        <w:t>④</w:t>
      </w:r>
      <w:r>
        <w:rPr>
          <w:snapToGrid w:val="0"/>
          <w:spacing w:val="-6"/>
          <w:kern w:val="21"/>
          <w:szCs w:val="21"/>
        </w:rPr>
        <w:fldChar w:fldCharType="end"/>
      </w:r>
      <w:r>
        <w:rPr>
          <w:snapToGrid w:val="0"/>
          <w:spacing w:val="-6"/>
          <w:kern w:val="21"/>
          <w:szCs w:val="21"/>
        </w:rPr>
        <w:t>-</w:t>
      </w:r>
      <w:r>
        <w:rPr>
          <w:snapToGrid w:val="0"/>
          <w:spacing w:val="-16"/>
          <w:kern w:val="21"/>
          <w:szCs w:val="21"/>
        </w:rPr>
        <w:fldChar w:fldCharType="begin"/>
      </w:r>
      <w:r>
        <w:rPr>
          <w:snapToGrid w:val="0"/>
          <w:spacing w:val="-16"/>
          <w:kern w:val="21"/>
          <w:szCs w:val="21"/>
        </w:rPr>
        <w:instrText xml:space="preserve"> = 5 \* GB3 \* MERGEFORMAT </w:instrText>
      </w:r>
      <w:r>
        <w:rPr>
          <w:snapToGrid w:val="0"/>
          <w:spacing w:val="-16"/>
          <w:kern w:val="21"/>
          <w:szCs w:val="21"/>
        </w:rPr>
        <w:fldChar w:fldCharType="separate"/>
      </w:r>
      <w:r>
        <w:rPr>
          <w:rFonts w:hint="eastAsia" w:ascii="宋体" w:hAnsi="宋体" w:cs="宋体"/>
          <w:szCs w:val="21"/>
        </w:rPr>
        <w:t>⑤</w:t>
      </w:r>
      <w:r>
        <w:rPr>
          <w:snapToGrid w:val="0"/>
          <w:spacing w:val="-16"/>
          <w:kern w:val="21"/>
          <w:szCs w:val="21"/>
        </w:rPr>
        <w:fldChar w:fldCharType="end"/>
      </w:r>
      <w:r>
        <w:rPr>
          <w:snapToGrid w:val="0"/>
          <w:spacing w:val="-16"/>
          <w:kern w:val="21"/>
          <w:szCs w:val="21"/>
        </w:rPr>
        <w:t>；</w:t>
      </w:r>
      <w:r>
        <w:rPr>
          <w:snapToGrid w:val="0"/>
          <w:spacing w:val="-6"/>
          <w:kern w:val="21"/>
          <w:szCs w:val="21"/>
        </w:rPr>
        <w:fldChar w:fldCharType="begin"/>
      </w:r>
      <w:r>
        <w:rPr>
          <w:snapToGrid w:val="0"/>
          <w:spacing w:val="-6"/>
          <w:kern w:val="21"/>
          <w:szCs w:val="21"/>
        </w:rPr>
        <w:instrText xml:space="preserve"> = 7 \* GB3 \* MERGEFORMAT </w:instrText>
      </w:r>
      <w:r>
        <w:rPr>
          <w:snapToGrid w:val="0"/>
          <w:spacing w:val="-6"/>
          <w:kern w:val="21"/>
          <w:szCs w:val="21"/>
        </w:rPr>
        <w:fldChar w:fldCharType="separate"/>
      </w:r>
      <w:r>
        <w:rPr>
          <w:rFonts w:hint="eastAsia" w:ascii="宋体" w:hAnsi="宋体" w:cs="宋体"/>
          <w:szCs w:val="21"/>
        </w:rPr>
        <w:t>⑦</w:t>
      </w:r>
      <w:r>
        <w:rPr>
          <w:snapToGrid w:val="0"/>
          <w:spacing w:val="-6"/>
          <w:kern w:val="21"/>
          <w:szCs w:val="21"/>
        </w:rPr>
        <w:fldChar w:fldCharType="end"/>
      </w:r>
      <w:r>
        <w:rPr>
          <w:snapToGrid w:val="0"/>
          <w:spacing w:val="-6"/>
          <w:kern w:val="21"/>
          <w:szCs w:val="21"/>
        </w:rPr>
        <w:t>=</w:t>
      </w:r>
      <w:r>
        <w:rPr>
          <w:snapToGrid w:val="0"/>
          <w:spacing w:val="-16"/>
          <w:kern w:val="21"/>
          <w:szCs w:val="21"/>
        </w:rPr>
        <w:fldChar w:fldCharType="begin"/>
      </w:r>
      <w:r>
        <w:rPr>
          <w:snapToGrid w:val="0"/>
          <w:spacing w:val="-16"/>
          <w:kern w:val="21"/>
          <w:szCs w:val="21"/>
        </w:rPr>
        <w:instrText xml:space="preserve"> = 6 \* GB3 \* MERGEFORMAT </w:instrText>
      </w:r>
      <w:r>
        <w:rPr>
          <w:snapToGrid w:val="0"/>
          <w:spacing w:val="-16"/>
          <w:kern w:val="21"/>
          <w:szCs w:val="21"/>
        </w:rPr>
        <w:fldChar w:fldCharType="separate"/>
      </w:r>
      <w:r>
        <w:rPr>
          <w:rFonts w:hint="eastAsia" w:ascii="宋体" w:hAnsi="宋体" w:cs="宋体"/>
          <w:szCs w:val="21"/>
        </w:rPr>
        <w:t>⑥</w:t>
      </w:r>
      <w:r>
        <w:rPr>
          <w:snapToGrid w:val="0"/>
          <w:spacing w:val="-16"/>
          <w:kern w:val="21"/>
          <w:szCs w:val="21"/>
        </w:rPr>
        <w:fldChar w:fldCharType="end"/>
      </w:r>
      <w:r>
        <w:rPr>
          <w:snapToGrid w:val="0"/>
          <w:spacing w:val="-16"/>
          <w:kern w:val="21"/>
          <w:szCs w:val="21"/>
        </w:rPr>
        <w:t>-</w:t>
      </w:r>
      <w:r>
        <w:rPr>
          <w:snapToGrid w:val="0"/>
          <w:spacing w:val="-6"/>
          <w:kern w:val="21"/>
          <w:szCs w:val="21"/>
        </w:rPr>
        <w:fldChar w:fldCharType="begin"/>
      </w:r>
      <w:r>
        <w:rPr>
          <w:snapToGrid w:val="0"/>
          <w:spacing w:val="-6"/>
          <w:kern w:val="21"/>
          <w:szCs w:val="21"/>
        </w:rPr>
        <w:instrText xml:space="preserve"> = 1 \* GB3 \* MERGEFORMAT </w:instrText>
      </w:r>
      <w:r>
        <w:rPr>
          <w:snapToGrid w:val="0"/>
          <w:spacing w:val="-6"/>
          <w:kern w:val="21"/>
          <w:szCs w:val="21"/>
        </w:rPr>
        <w:fldChar w:fldCharType="separate"/>
      </w:r>
      <w:r>
        <w:rPr>
          <w:rFonts w:hint="eastAsia" w:ascii="宋体" w:hAnsi="宋体" w:cs="宋体"/>
          <w:szCs w:val="21"/>
        </w:rPr>
        <w:t>①</w:t>
      </w:r>
      <w:r>
        <w:rPr>
          <w:snapToGrid w:val="0"/>
          <w:spacing w:val="-6"/>
          <w:kern w:val="21"/>
          <w:szCs w:val="21"/>
        </w:rPr>
        <w:fldChar w:fldCharType="end"/>
      </w:r>
    </w:p>
    <w:p>
      <w:pPr>
        <w:pStyle w:val="28"/>
        <w:adjustRightInd w:val="0"/>
        <w:snapToGrid w:val="0"/>
        <w:spacing w:before="0" w:beforeAutospacing="0" w:after="0" w:afterAutospacing="0" w:line="648" w:lineRule="auto"/>
        <w:rPr>
          <w:rFonts w:ascii="Times New Roman" w:hAnsi="Times New Roman"/>
        </w:rPr>
      </w:pPr>
    </w:p>
    <w:sectPr>
      <w:footerReference r:id="rId6"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monospace">
    <w:altName w:val="Malgun Gothic Semilight"/>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Dutch801 Rm BT">
    <w:altName w:val="Times New Roman"/>
    <w:panose1 w:val="02020603060505020304"/>
    <w:charset w:val="00"/>
    <w:family w:val="roman"/>
    <w:pitch w:val="default"/>
    <w:sig w:usb0="00000000" w:usb1="00000000" w:usb2="00000000" w:usb3="00000000" w:csb0="0000001B" w:csb1="0000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华文中宋">
    <w:altName w:val="宋体"/>
    <w:panose1 w:val="00000000000000000000"/>
    <w:charset w:val="86"/>
    <w:family w:val="auto"/>
    <w:pitch w:val="default"/>
    <w:sig w:usb0="00000000" w:usb1="00000000" w:usb2="00000010" w:usb3="00000000" w:csb0="0004009F" w:csb1="00000000"/>
  </w:font>
  <w:font w:name="Malgun Gothic">
    <w:panose1 w:val="020B0503020000020004"/>
    <w:charset w:val="81"/>
    <w:family w:val="swiss"/>
    <w:pitch w:val="default"/>
    <w:sig w:usb0="9000002F" w:usb1="29D77CFB" w:usb2="00000012" w:usb3="00000000" w:csb0="00080001" w:csb1="00000000"/>
  </w:font>
  <w:font w:name="等线">
    <w:panose1 w:val="02010600030101010101"/>
    <w:charset w:val="86"/>
    <w:family w:val="auto"/>
    <w:pitch w:val="default"/>
    <w:sig w:usb0="A00002BF" w:usb1="38CF7CFA" w:usb2="00000016" w:usb3="00000000" w:csb0="0004000F" w:csb1="00000000"/>
  </w:font>
  <w:font w:name="Wingdings 2">
    <w:altName w:val="Wingdings"/>
    <w:panose1 w:val="00000000000000000000"/>
    <w:charset w:val="02"/>
    <w:family w:val="roman"/>
    <w:pitch w:val="default"/>
    <w:sig w:usb0="00000000" w:usb1="00000000" w:usb2="00000000" w:usb3="00000000" w:csb0="80000000" w:csb1="00000000"/>
  </w:font>
  <w:font w:name="楷体">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Malgun Gothic Semilight">
    <w:panose1 w:val="020B0502040204020203"/>
    <w:charset w:val="86"/>
    <w:family w:val="auto"/>
    <w:pitch w:val="default"/>
    <w:sig w:usb0="900002AF" w:usb1="01D77CFB" w:usb2="00000012" w:usb3="00000000" w:csb0="203E01BD"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8"/>
      </w:rPr>
    </w:pPr>
    <w:r>
      <w:fldChar w:fldCharType="begin"/>
    </w:r>
    <w:r>
      <w:rPr>
        <w:rStyle w:val="38"/>
      </w:rPr>
      <w:instrText xml:space="preserve">PAGE  </w:instrText>
    </w:r>
    <w:r>
      <w:fldChar w:fldCharType="separate"/>
    </w:r>
    <w:r>
      <w:rPr>
        <w:rStyle w:val="38"/>
      </w:rPr>
      <w:t>3</w:t>
    </w:r>
    <w:r>
      <w:fldChar w:fldCharType="end"/>
    </w:r>
  </w:p>
  <w:p>
    <w:pPr>
      <w:pStyle w:val="2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rPr>
      <w:t>109</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outside" w:y="1"/>
      <w:rPr>
        <w:rStyle w:val="38"/>
        <w:rFonts w:ascii="宋体" w:hAnsi="宋体"/>
        <w:sz w:val="28"/>
        <w:szCs w:val="28"/>
      </w:rPr>
    </w:pPr>
    <w:r>
      <w:rPr>
        <w:rStyle w:val="38"/>
        <w:rFonts w:hint="eastAsia" w:ascii="宋体" w:hAnsi="宋体"/>
        <w:sz w:val="28"/>
        <w:szCs w:val="28"/>
      </w:rPr>
      <w:t>—</w:t>
    </w:r>
    <w:r>
      <w:rPr>
        <w:rStyle w:val="38"/>
        <w:rFonts w:hint="eastAsia" w:ascii="宋体" w:hAnsi="宋体"/>
        <w:sz w:val="20"/>
      </w:rPr>
      <w:t xml:space="preserve">  </w:t>
    </w:r>
    <w:r>
      <w:rPr>
        <w:rStyle w:val="38"/>
        <w:rFonts w:ascii="宋体" w:hAnsi="宋体"/>
        <w:sz w:val="26"/>
        <w:szCs w:val="26"/>
      </w:rPr>
      <w:fldChar w:fldCharType="begin"/>
    </w:r>
    <w:r>
      <w:rPr>
        <w:rStyle w:val="38"/>
        <w:rFonts w:ascii="宋体" w:hAnsi="宋体"/>
        <w:sz w:val="26"/>
        <w:szCs w:val="26"/>
      </w:rPr>
      <w:instrText xml:space="preserve">PAGE  </w:instrText>
    </w:r>
    <w:r>
      <w:rPr>
        <w:rStyle w:val="38"/>
        <w:rFonts w:ascii="宋体" w:hAnsi="宋体"/>
        <w:sz w:val="26"/>
        <w:szCs w:val="26"/>
      </w:rPr>
      <w:fldChar w:fldCharType="separate"/>
    </w:r>
    <w:r>
      <w:rPr>
        <w:rStyle w:val="38"/>
        <w:rFonts w:ascii="宋体" w:hAnsi="宋体"/>
        <w:sz w:val="26"/>
        <w:szCs w:val="26"/>
      </w:rPr>
      <w:t>129</w:t>
    </w:r>
    <w:r>
      <w:rPr>
        <w:rStyle w:val="38"/>
        <w:rFonts w:ascii="宋体" w:hAnsi="宋体"/>
        <w:sz w:val="26"/>
        <w:szCs w:val="26"/>
      </w:rPr>
      <w:fldChar w:fldCharType="end"/>
    </w:r>
    <w:r>
      <w:rPr>
        <w:rStyle w:val="38"/>
        <w:rFonts w:hint="eastAsia" w:ascii="宋体" w:hAnsi="宋体"/>
        <w:sz w:val="20"/>
      </w:rPr>
      <w:t xml:space="preserve">  </w:t>
    </w:r>
    <w:r>
      <w:rPr>
        <w:rStyle w:val="38"/>
        <w:rFonts w:hint="eastAsia" w:ascii="宋体" w:hAnsi="宋体"/>
        <w:sz w:val="28"/>
        <w:szCs w:val="28"/>
      </w:rPr>
      <w:t>—</w:t>
    </w:r>
  </w:p>
  <w:p>
    <w:pPr>
      <w:pStyle w:val="21"/>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2F60FA"/>
    <w:multiLevelType w:val="multilevel"/>
    <w:tmpl w:val="022F60FA"/>
    <w:lvl w:ilvl="0" w:tentative="0">
      <w:start w:val="1"/>
      <w:numFmt w:val="upperLetter"/>
      <w:lvlText w:val="%1、"/>
      <w:lvlJc w:val="left"/>
      <w:pPr>
        <w:ind w:left="410" w:hanging="41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E197CE9"/>
    <w:multiLevelType w:val="multilevel"/>
    <w:tmpl w:val="0E197CE9"/>
    <w:lvl w:ilvl="0" w:tentative="0">
      <w:start w:val="1"/>
      <w:numFmt w:val="decimal"/>
      <w:pStyle w:val="99"/>
      <w:lvlText w:val="表1-%1  "/>
      <w:lvlJc w:val="center"/>
      <w:pPr>
        <w:ind w:left="900" w:hanging="420"/>
      </w:pPr>
      <w:rPr>
        <w:rFonts w:hint="default" w:ascii="Times New Roman" w:hAnsi="Times New Roman" w:eastAsia="黑体"/>
      </w:rPr>
    </w:lvl>
    <w:lvl w:ilvl="1" w:tentative="0">
      <w:start w:val="1"/>
      <w:numFmt w:val="lowerLetter"/>
      <w:lvlText w:val="%2)"/>
      <w:lvlJc w:val="left"/>
      <w:pPr>
        <w:ind w:left="1320" w:hanging="420"/>
      </w:pPr>
      <w:rPr>
        <w:rFonts w:hint="eastAsia"/>
      </w:rPr>
    </w:lvl>
    <w:lvl w:ilvl="2" w:tentative="0">
      <w:start w:val="1"/>
      <w:numFmt w:val="lowerRoman"/>
      <w:lvlText w:val="%3."/>
      <w:lvlJc w:val="right"/>
      <w:pPr>
        <w:ind w:left="1740" w:hanging="420"/>
      </w:pPr>
      <w:rPr>
        <w:rFonts w:hint="eastAsia"/>
      </w:rPr>
    </w:lvl>
    <w:lvl w:ilvl="3" w:tentative="0">
      <w:start w:val="1"/>
      <w:numFmt w:val="decimal"/>
      <w:lvlText w:val="%4."/>
      <w:lvlJc w:val="left"/>
      <w:pPr>
        <w:ind w:left="2160" w:hanging="420"/>
      </w:pPr>
      <w:rPr>
        <w:rFonts w:hint="eastAsia"/>
      </w:rPr>
    </w:lvl>
    <w:lvl w:ilvl="4" w:tentative="0">
      <w:start w:val="1"/>
      <w:numFmt w:val="lowerLetter"/>
      <w:lvlText w:val="%5)"/>
      <w:lvlJc w:val="left"/>
      <w:pPr>
        <w:ind w:left="2580" w:hanging="420"/>
      </w:pPr>
      <w:rPr>
        <w:rFonts w:hint="eastAsia"/>
      </w:rPr>
    </w:lvl>
    <w:lvl w:ilvl="5" w:tentative="0">
      <w:start w:val="1"/>
      <w:numFmt w:val="lowerRoman"/>
      <w:lvlText w:val="%6."/>
      <w:lvlJc w:val="right"/>
      <w:pPr>
        <w:ind w:left="3000" w:hanging="420"/>
      </w:pPr>
      <w:rPr>
        <w:rFonts w:hint="eastAsia"/>
      </w:rPr>
    </w:lvl>
    <w:lvl w:ilvl="6" w:tentative="0">
      <w:start w:val="1"/>
      <w:numFmt w:val="decimal"/>
      <w:lvlText w:val="%7."/>
      <w:lvlJc w:val="left"/>
      <w:pPr>
        <w:ind w:left="3420" w:hanging="420"/>
      </w:pPr>
      <w:rPr>
        <w:rFonts w:hint="eastAsia"/>
      </w:rPr>
    </w:lvl>
    <w:lvl w:ilvl="7" w:tentative="0">
      <w:start w:val="1"/>
      <w:numFmt w:val="lowerLetter"/>
      <w:lvlText w:val="%8)"/>
      <w:lvlJc w:val="left"/>
      <w:pPr>
        <w:ind w:left="3840" w:hanging="420"/>
      </w:pPr>
      <w:rPr>
        <w:rFonts w:hint="eastAsia"/>
      </w:rPr>
    </w:lvl>
    <w:lvl w:ilvl="8" w:tentative="0">
      <w:start w:val="1"/>
      <w:numFmt w:val="lowerRoman"/>
      <w:lvlText w:val="%9."/>
      <w:lvlJc w:val="right"/>
      <w:pPr>
        <w:ind w:left="4260" w:hanging="420"/>
      </w:pPr>
      <w:rPr>
        <w:rFonts w:hint="eastAsia"/>
      </w:rPr>
    </w:lvl>
  </w:abstractNum>
  <w:abstractNum w:abstractNumId="2">
    <w:nsid w:val="21697BDB"/>
    <w:multiLevelType w:val="multilevel"/>
    <w:tmpl w:val="21697BDB"/>
    <w:lvl w:ilvl="0" w:tentative="0">
      <w:start w:val="1"/>
      <w:numFmt w:val="decimal"/>
      <w:lvlText w:val="%1、"/>
      <w:lvlJc w:val="left"/>
      <w:pPr>
        <w:ind w:left="370" w:hanging="37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257117A"/>
    <w:multiLevelType w:val="multilevel"/>
    <w:tmpl w:val="2257117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7D25DEF"/>
    <w:multiLevelType w:val="multilevel"/>
    <w:tmpl w:val="27D25DEF"/>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B9F5449"/>
    <w:multiLevelType w:val="multilevel"/>
    <w:tmpl w:val="4B9F544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CED5C6F"/>
    <w:multiLevelType w:val="multilevel"/>
    <w:tmpl w:val="4CED5C6F"/>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CB72959"/>
    <w:multiLevelType w:val="multilevel"/>
    <w:tmpl w:val="5CB7295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62871D84"/>
    <w:multiLevelType w:val="multilevel"/>
    <w:tmpl w:val="62871D84"/>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5B941DB"/>
    <w:multiLevelType w:val="multilevel"/>
    <w:tmpl w:val="65B941DB"/>
    <w:lvl w:ilvl="0" w:tentative="0">
      <w:start w:val="1"/>
      <w:numFmt w:val="decimal"/>
      <w:lvlText w:val="%1."/>
      <w:lvlJc w:val="left"/>
      <w:pPr>
        <w:ind w:left="420" w:hanging="420"/>
      </w:pPr>
      <w:rPr>
        <w:color w:val="FF000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77"/>
      <w:suff w:val="nothing"/>
      <w:lvlText w:val="%1%2　"/>
      <w:lvlJc w:val="left"/>
      <w:pPr>
        <w:ind w:left="0" w:firstLine="0"/>
      </w:pPr>
      <w:rPr>
        <w:rFonts w:hint="eastAsia" w:ascii="黑体" w:hAnsi="Times New Roman" w:eastAsia="黑体"/>
        <w:b w:val="0"/>
        <w:i w:val="0"/>
        <w:sz w:val="21"/>
      </w:rPr>
    </w:lvl>
    <w:lvl w:ilvl="2" w:tentative="0">
      <w:start w:val="1"/>
      <w:numFmt w:val="decimal"/>
      <w:pStyle w:val="76"/>
      <w:suff w:val="nothing"/>
      <w:lvlText w:val="%1%2.%3　"/>
      <w:lvlJc w:val="left"/>
      <w:pPr>
        <w:ind w:left="0" w:firstLine="0"/>
      </w:pPr>
      <w:rPr>
        <w:rFonts w:hint="eastAsia" w:ascii="黑体" w:hAnsi="Times New Roman" w:eastAsia="黑体"/>
        <w:b w:val="0"/>
        <w:i w:val="0"/>
        <w:sz w:val="21"/>
      </w:rPr>
    </w:lvl>
    <w:lvl w:ilvl="3" w:tentative="0">
      <w:start w:val="1"/>
      <w:numFmt w:val="decimal"/>
      <w:pStyle w:val="75"/>
      <w:suff w:val="nothing"/>
      <w:lvlText w:val="%1%2.%3.%4　"/>
      <w:lvlJc w:val="left"/>
      <w:pPr>
        <w:ind w:left="0" w:firstLine="0"/>
      </w:pPr>
      <w:rPr>
        <w:rFonts w:hint="eastAsia" w:ascii="黑体" w:hAnsi="Times New Roman" w:eastAsia="黑体"/>
        <w:b w:val="0"/>
        <w:i w:val="0"/>
        <w:sz w:val="21"/>
      </w:rPr>
    </w:lvl>
    <w:lvl w:ilvl="4" w:tentative="0">
      <w:start w:val="1"/>
      <w:numFmt w:val="decimal"/>
      <w:pStyle w:val="74"/>
      <w:suff w:val="nothing"/>
      <w:lvlText w:val="%1%2.%3.%4.%5　"/>
      <w:lvlJc w:val="left"/>
      <w:pPr>
        <w:ind w:left="0" w:firstLine="0"/>
      </w:pPr>
      <w:rPr>
        <w:rFonts w:hint="eastAsia" w:ascii="黑体" w:hAnsi="Times New Roman" w:eastAsia="黑体"/>
        <w:b w:val="0"/>
        <w:i w:val="0"/>
        <w:sz w:val="21"/>
      </w:rPr>
    </w:lvl>
    <w:lvl w:ilvl="5" w:tentative="0">
      <w:start w:val="1"/>
      <w:numFmt w:val="decimal"/>
      <w:pStyle w:val="73"/>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10"/>
  </w:num>
  <w:num w:numId="2">
    <w:abstractNumId w:val="1"/>
  </w:num>
  <w:num w:numId="3">
    <w:abstractNumId w:val="8"/>
  </w:num>
  <w:num w:numId="4">
    <w:abstractNumId w:val="6"/>
  </w:num>
  <w:num w:numId="5">
    <w:abstractNumId w:val="2"/>
  </w:num>
  <w:num w:numId="6">
    <w:abstractNumId w:val="7"/>
  </w:num>
  <w:num w:numId="7">
    <w:abstractNumId w:val="9"/>
  </w:num>
  <w:num w:numId="8">
    <w:abstractNumId w:val="3"/>
  </w:num>
  <w:num w:numId="9">
    <w:abstractNumId w:val="4"/>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isplayHorizontalDrawingGridEvery w:val="1"/>
  <w:displayVerticalDrawingGridEvery w:val="1"/>
  <w:noPunctuationKerning w:val="1"/>
  <w:characterSpacingControl w:val="doNotCompress"/>
  <w:noLineBreaksAfter w:lang="zh-CN" w:val="([{·‘“〈《「『【〔〖（．［｛￡￥"/>
  <w:noLineBreaksBefore w:lang="zh-CN" w:val="!),.:;?]}¨·ˇˉ―‖’”…∶、。〃々〉》」』】〕〗！＂＇），．：；？］｀｜｝～￠"/>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zY2E4Mzg5YmZjMzcxNGU1NzY5YmQ2NDA1YTE1MzIifQ=="/>
  </w:docVars>
  <w:rsids>
    <w:rsidRoot w:val="00172A27"/>
    <w:rsid w:val="00000B64"/>
    <w:rsid w:val="0000165A"/>
    <w:rsid w:val="00002696"/>
    <w:rsid w:val="00002854"/>
    <w:rsid w:val="0000372F"/>
    <w:rsid w:val="000046AB"/>
    <w:rsid w:val="00004E65"/>
    <w:rsid w:val="000055EC"/>
    <w:rsid w:val="000060B3"/>
    <w:rsid w:val="00011BCE"/>
    <w:rsid w:val="0001233D"/>
    <w:rsid w:val="00013A34"/>
    <w:rsid w:val="000140A0"/>
    <w:rsid w:val="00014F14"/>
    <w:rsid w:val="00016002"/>
    <w:rsid w:val="000167EF"/>
    <w:rsid w:val="00016F73"/>
    <w:rsid w:val="00017282"/>
    <w:rsid w:val="00017DCC"/>
    <w:rsid w:val="00021360"/>
    <w:rsid w:val="0002196D"/>
    <w:rsid w:val="00022650"/>
    <w:rsid w:val="00022B02"/>
    <w:rsid w:val="000243C9"/>
    <w:rsid w:val="0002542C"/>
    <w:rsid w:val="000256F8"/>
    <w:rsid w:val="00025C1B"/>
    <w:rsid w:val="0002760C"/>
    <w:rsid w:val="00030064"/>
    <w:rsid w:val="000317BB"/>
    <w:rsid w:val="00032097"/>
    <w:rsid w:val="00032A30"/>
    <w:rsid w:val="00033441"/>
    <w:rsid w:val="000344E7"/>
    <w:rsid w:val="00034694"/>
    <w:rsid w:val="00034C99"/>
    <w:rsid w:val="000354B9"/>
    <w:rsid w:val="00035D93"/>
    <w:rsid w:val="00037819"/>
    <w:rsid w:val="0004170E"/>
    <w:rsid w:val="000434B7"/>
    <w:rsid w:val="0004364B"/>
    <w:rsid w:val="00043F18"/>
    <w:rsid w:val="00044D0B"/>
    <w:rsid w:val="0004565B"/>
    <w:rsid w:val="000457BF"/>
    <w:rsid w:val="00046110"/>
    <w:rsid w:val="000462D3"/>
    <w:rsid w:val="000469CC"/>
    <w:rsid w:val="00047D30"/>
    <w:rsid w:val="00050B94"/>
    <w:rsid w:val="0005197F"/>
    <w:rsid w:val="000525A0"/>
    <w:rsid w:val="000535EC"/>
    <w:rsid w:val="000546E6"/>
    <w:rsid w:val="0005591C"/>
    <w:rsid w:val="00055BAE"/>
    <w:rsid w:val="000564EC"/>
    <w:rsid w:val="00057069"/>
    <w:rsid w:val="00057337"/>
    <w:rsid w:val="0005774B"/>
    <w:rsid w:val="0005793B"/>
    <w:rsid w:val="00061231"/>
    <w:rsid w:val="00061B1F"/>
    <w:rsid w:val="00061DFD"/>
    <w:rsid w:val="00063262"/>
    <w:rsid w:val="000637ED"/>
    <w:rsid w:val="00064A63"/>
    <w:rsid w:val="00065C75"/>
    <w:rsid w:val="0006642D"/>
    <w:rsid w:val="00067DC3"/>
    <w:rsid w:val="00067EAB"/>
    <w:rsid w:val="000705F2"/>
    <w:rsid w:val="00070A6F"/>
    <w:rsid w:val="00071ADD"/>
    <w:rsid w:val="000731D3"/>
    <w:rsid w:val="000733C4"/>
    <w:rsid w:val="00073CB3"/>
    <w:rsid w:val="00074783"/>
    <w:rsid w:val="0007567B"/>
    <w:rsid w:val="00075B95"/>
    <w:rsid w:val="0007650D"/>
    <w:rsid w:val="00076B0A"/>
    <w:rsid w:val="00076EE1"/>
    <w:rsid w:val="00077FEE"/>
    <w:rsid w:val="0008033C"/>
    <w:rsid w:val="0008070B"/>
    <w:rsid w:val="00080798"/>
    <w:rsid w:val="000810AC"/>
    <w:rsid w:val="00081743"/>
    <w:rsid w:val="00081A02"/>
    <w:rsid w:val="00081A35"/>
    <w:rsid w:val="00081E7A"/>
    <w:rsid w:val="00082231"/>
    <w:rsid w:val="000826C6"/>
    <w:rsid w:val="00083717"/>
    <w:rsid w:val="00083EF5"/>
    <w:rsid w:val="000844AB"/>
    <w:rsid w:val="00084868"/>
    <w:rsid w:val="00087C0F"/>
    <w:rsid w:val="00090D2C"/>
    <w:rsid w:val="00092D38"/>
    <w:rsid w:val="000930B5"/>
    <w:rsid w:val="0009377B"/>
    <w:rsid w:val="000941D6"/>
    <w:rsid w:val="00094E54"/>
    <w:rsid w:val="000961BC"/>
    <w:rsid w:val="000977B9"/>
    <w:rsid w:val="000A01D0"/>
    <w:rsid w:val="000A0736"/>
    <w:rsid w:val="000A1669"/>
    <w:rsid w:val="000A1A3B"/>
    <w:rsid w:val="000A20C9"/>
    <w:rsid w:val="000A39E7"/>
    <w:rsid w:val="000A3F35"/>
    <w:rsid w:val="000A446E"/>
    <w:rsid w:val="000B00B0"/>
    <w:rsid w:val="000B058F"/>
    <w:rsid w:val="000B0A8A"/>
    <w:rsid w:val="000B18D6"/>
    <w:rsid w:val="000B1C1B"/>
    <w:rsid w:val="000B2B66"/>
    <w:rsid w:val="000B3D30"/>
    <w:rsid w:val="000B428E"/>
    <w:rsid w:val="000B4467"/>
    <w:rsid w:val="000B4DB9"/>
    <w:rsid w:val="000C09AC"/>
    <w:rsid w:val="000C1C9B"/>
    <w:rsid w:val="000C2854"/>
    <w:rsid w:val="000C5649"/>
    <w:rsid w:val="000C767F"/>
    <w:rsid w:val="000C7DDE"/>
    <w:rsid w:val="000C7FEA"/>
    <w:rsid w:val="000D04E4"/>
    <w:rsid w:val="000D1F2E"/>
    <w:rsid w:val="000D203C"/>
    <w:rsid w:val="000D2175"/>
    <w:rsid w:val="000D42A3"/>
    <w:rsid w:val="000D4EAE"/>
    <w:rsid w:val="000D526C"/>
    <w:rsid w:val="000D5A44"/>
    <w:rsid w:val="000D5B70"/>
    <w:rsid w:val="000D7B46"/>
    <w:rsid w:val="000E00D7"/>
    <w:rsid w:val="000E0F8E"/>
    <w:rsid w:val="000E1FA1"/>
    <w:rsid w:val="000E274D"/>
    <w:rsid w:val="000E2FE5"/>
    <w:rsid w:val="000E3272"/>
    <w:rsid w:val="000E3836"/>
    <w:rsid w:val="000E3ED2"/>
    <w:rsid w:val="000E6008"/>
    <w:rsid w:val="000E7333"/>
    <w:rsid w:val="000F0A16"/>
    <w:rsid w:val="000F17AF"/>
    <w:rsid w:val="000F2D2C"/>
    <w:rsid w:val="000F3BBF"/>
    <w:rsid w:val="000F59ED"/>
    <w:rsid w:val="000F684C"/>
    <w:rsid w:val="000F795F"/>
    <w:rsid w:val="000F7B13"/>
    <w:rsid w:val="00100D9D"/>
    <w:rsid w:val="00100E6C"/>
    <w:rsid w:val="001017F8"/>
    <w:rsid w:val="00102CC2"/>
    <w:rsid w:val="0010342C"/>
    <w:rsid w:val="001036E9"/>
    <w:rsid w:val="00103F13"/>
    <w:rsid w:val="00104EE9"/>
    <w:rsid w:val="00105BA6"/>
    <w:rsid w:val="00106DC0"/>
    <w:rsid w:val="001105A4"/>
    <w:rsid w:val="00110DB4"/>
    <w:rsid w:val="00111827"/>
    <w:rsid w:val="00111861"/>
    <w:rsid w:val="001137F1"/>
    <w:rsid w:val="00113EDE"/>
    <w:rsid w:val="00114CE7"/>
    <w:rsid w:val="00115815"/>
    <w:rsid w:val="00115822"/>
    <w:rsid w:val="00115D8F"/>
    <w:rsid w:val="00117B35"/>
    <w:rsid w:val="00122419"/>
    <w:rsid w:val="00122FAC"/>
    <w:rsid w:val="0012351A"/>
    <w:rsid w:val="00123A5C"/>
    <w:rsid w:val="00123CA4"/>
    <w:rsid w:val="00123D42"/>
    <w:rsid w:val="00131F42"/>
    <w:rsid w:val="001320B0"/>
    <w:rsid w:val="0013230E"/>
    <w:rsid w:val="001329A4"/>
    <w:rsid w:val="00132B07"/>
    <w:rsid w:val="00133EC5"/>
    <w:rsid w:val="0013528E"/>
    <w:rsid w:val="001357F1"/>
    <w:rsid w:val="00136BF8"/>
    <w:rsid w:val="00136E6A"/>
    <w:rsid w:val="001375A7"/>
    <w:rsid w:val="00137A8F"/>
    <w:rsid w:val="001404FC"/>
    <w:rsid w:val="00140A85"/>
    <w:rsid w:val="00140FA8"/>
    <w:rsid w:val="00141C46"/>
    <w:rsid w:val="00142207"/>
    <w:rsid w:val="00142A40"/>
    <w:rsid w:val="00142FEB"/>
    <w:rsid w:val="00143A2D"/>
    <w:rsid w:val="00144078"/>
    <w:rsid w:val="00144126"/>
    <w:rsid w:val="001444ED"/>
    <w:rsid w:val="00145A41"/>
    <w:rsid w:val="00151675"/>
    <w:rsid w:val="00152000"/>
    <w:rsid w:val="00153C98"/>
    <w:rsid w:val="00153FF4"/>
    <w:rsid w:val="00154BC2"/>
    <w:rsid w:val="00155CA3"/>
    <w:rsid w:val="00157435"/>
    <w:rsid w:val="0015784A"/>
    <w:rsid w:val="00162DAE"/>
    <w:rsid w:val="001634BB"/>
    <w:rsid w:val="00164D25"/>
    <w:rsid w:val="00166406"/>
    <w:rsid w:val="001702D9"/>
    <w:rsid w:val="00170413"/>
    <w:rsid w:val="00170829"/>
    <w:rsid w:val="00171F4D"/>
    <w:rsid w:val="0017205C"/>
    <w:rsid w:val="00172A27"/>
    <w:rsid w:val="00172B09"/>
    <w:rsid w:val="00172E91"/>
    <w:rsid w:val="00172F71"/>
    <w:rsid w:val="0017469B"/>
    <w:rsid w:val="00174A8D"/>
    <w:rsid w:val="0017504D"/>
    <w:rsid w:val="00175AE4"/>
    <w:rsid w:val="0017671A"/>
    <w:rsid w:val="00176C15"/>
    <w:rsid w:val="00177422"/>
    <w:rsid w:val="00180866"/>
    <w:rsid w:val="00181102"/>
    <w:rsid w:val="0018194C"/>
    <w:rsid w:val="00182733"/>
    <w:rsid w:val="00182DE3"/>
    <w:rsid w:val="00182F02"/>
    <w:rsid w:val="00183865"/>
    <w:rsid w:val="00183CF0"/>
    <w:rsid w:val="00183FC5"/>
    <w:rsid w:val="00184590"/>
    <w:rsid w:val="0018515C"/>
    <w:rsid w:val="001870D1"/>
    <w:rsid w:val="00187124"/>
    <w:rsid w:val="0018781E"/>
    <w:rsid w:val="00190488"/>
    <w:rsid w:val="00190CA1"/>
    <w:rsid w:val="0019262D"/>
    <w:rsid w:val="00193CAB"/>
    <w:rsid w:val="00193FA7"/>
    <w:rsid w:val="001951C8"/>
    <w:rsid w:val="00195B3A"/>
    <w:rsid w:val="001970F4"/>
    <w:rsid w:val="001A0EC5"/>
    <w:rsid w:val="001A15F8"/>
    <w:rsid w:val="001A1B35"/>
    <w:rsid w:val="001A2AE2"/>
    <w:rsid w:val="001A30A2"/>
    <w:rsid w:val="001A3116"/>
    <w:rsid w:val="001A321B"/>
    <w:rsid w:val="001A32C3"/>
    <w:rsid w:val="001A3B93"/>
    <w:rsid w:val="001A3D5A"/>
    <w:rsid w:val="001A41F2"/>
    <w:rsid w:val="001A48A2"/>
    <w:rsid w:val="001A4F9A"/>
    <w:rsid w:val="001A561D"/>
    <w:rsid w:val="001A642C"/>
    <w:rsid w:val="001A6F61"/>
    <w:rsid w:val="001B1C37"/>
    <w:rsid w:val="001B1DDC"/>
    <w:rsid w:val="001B1E76"/>
    <w:rsid w:val="001B2380"/>
    <w:rsid w:val="001B31EC"/>
    <w:rsid w:val="001B36A9"/>
    <w:rsid w:val="001B47E9"/>
    <w:rsid w:val="001B5B65"/>
    <w:rsid w:val="001B67DB"/>
    <w:rsid w:val="001B6DA2"/>
    <w:rsid w:val="001B70D1"/>
    <w:rsid w:val="001B72B8"/>
    <w:rsid w:val="001B78D7"/>
    <w:rsid w:val="001B7ED1"/>
    <w:rsid w:val="001C09DD"/>
    <w:rsid w:val="001C0C85"/>
    <w:rsid w:val="001C1D02"/>
    <w:rsid w:val="001C215D"/>
    <w:rsid w:val="001C592B"/>
    <w:rsid w:val="001C69B3"/>
    <w:rsid w:val="001D009E"/>
    <w:rsid w:val="001D1919"/>
    <w:rsid w:val="001D1BB6"/>
    <w:rsid w:val="001D4270"/>
    <w:rsid w:val="001D5289"/>
    <w:rsid w:val="001D5595"/>
    <w:rsid w:val="001D56D6"/>
    <w:rsid w:val="001D57C8"/>
    <w:rsid w:val="001D646E"/>
    <w:rsid w:val="001D6DA8"/>
    <w:rsid w:val="001D7874"/>
    <w:rsid w:val="001D7F22"/>
    <w:rsid w:val="001E014B"/>
    <w:rsid w:val="001E032D"/>
    <w:rsid w:val="001E2187"/>
    <w:rsid w:val="001E27E2"/>
    <w:rsid w:val="001E3D94"/>
    <w:rsid w:val="001E588C"/>
    <w:rsid w:val="001E5EF8"/>
    <w:rsid w:val="001E5FFE"/>
    <w:rsid w:val="001E6781"/>
    <w:rsid w:val="001E7D09"/>
    <w:rsid w:val="001F0B4E"/>
    <w:rsid w:val="001F0E77"/>
    <w:rsid w:val="001F0E88"/>
    <w:rsid w:val="001F0F17"/>
    <w:rsid w:val="001F1292"/>
    <w:rsid w:val="001F1BBB"/>
    <w:rsid w:val="001F1CD4"/>
    <w:rsid w:val="001F3027"/>
    <w:rsid w:val="001F3347"/>
    <w:rsid w:val="001F5180"/>
    <w:rsid w:val="001F51BA"/>
    <w:rsid w:val="001F5C3E"/>
    <w:rsid w:val="001F69E4"/>
    <w:rsid w:val="00200406"/>
    <w:rsid w:val="0020091A"/>
    <w:rsid w:val="002032B1"/>
    <w:rsid w:val="00205547"/>
    <w:rsid w:val="00205A97"/>
    <w:rsid w:val="002069B1"/>
    <w:rsid w:val="00206BEB"/>
    <w:rsid w:val="002104B4"/>
    <w:rsid w:val="00210865"/>
    <w:rsid w:val="00211E81"/>
    <w:rsid w:val="00212058"/>
    <w:rsid w:val="002125B4"/>
    <w:rsid w:val="00213B2C"/>
    <w:rsid w:val="00213D68"/>
    <w:rsid w:val="002155B8"/>
    <w:rsid w:val="00216D6F"/>
    <w:rsid w:val="00217078"/>
    <w:rsid w:val="00224839"/>
    <w:rsid w:val="002249AC"/>
    <w:rsid w:val="002249B2"/>
    <w:rsid w:val="00224B6A"/>
    <w:rsid w:val="00226574"/>
    <w:rsid w:val="002277FB"/>
    <w:rsid w:val="002278EC"/>
    <w:rsid w:val="002303B4"/>
    <w:rsid w:val="00231680"/>
    <w:rsid w:val="0023280E"/>
    <w:rsid w:val="002353C1"/>
    <w:rsid w:val="0023569C"/>
    <w:rsid w:val="00236535"/>
    <w:rsid w:val="0023661E"/>
    <w:rsid w:val="002377D1"/>
    <w:rsid w:val="00237D5F"/>
    <w:rsid w:val="00241F11"/>
    <w:rsid w:val="00243C29"/>
    <w:rsid w:val="0024421A"/>
    <w:rsid w:val="002479BC"/>
    <w:rsid w:val="002506BC"/>
    <w:rsid w:val="00250EF9"/>
    <w:rsid w:val="00250FE5"/>
    <w:rsid w:val="00251622"/>
    <w:rsid w:val="00251EA6"/>
    <w:rsid w:val="002527A6"/>
    <w:rsid w:val="00253313"/>
    <w:rsid w:val="00253DF9"/>
    <w:rsid w:val="00254345"/>
    <w:rsid w:val="00255ACE"/>
    <w:rsid w:val="00256328"/>
    <w:rsid w:val="002563B9"/>
    <w:rsid w:val="00256FC6"/>
    <w:rsid w:val="00260925"/>
    <w:rsid w:val="00261249"/>
    <w:rsid w:val="00261D40"/>
    <w:rsid w:val="00261DE9"/>
    <w:rsid w:val="00262F6A"/>
    <w:rsid w:val="00263F36"/>
    <w:rsid w:val="00264557"/>
    <w:rsid w:val="00265953"/>
    <w:rsid w:val="00266C63"/>
    <w:rsid w:val="002676D3"/>
    <w:rsid w:val="002677A7"/>
    <w:rsid w:val="00267A9C"/>
    <w:rsid w:val="00267FA1"/>
    <w:rsid w:val="00270F12"/>
    <w:rsid w:val="0027184B"/>
    <w:rsid w:val="00274C0B"/>
    <w:rsid w:val="0027627F"/>
    <w:rsid w:val="00276451"/>
    <w:rsid w:val="00277AE6"/>
    <w:rsid w:val="00280231"/>
    <w:rsid w:val="002805AB"/>
    <w:rsid w:val="0028089C"/>
    <w:rsid w:val="0028283F"/>
    <w:rsid w:val="0028296E"/>
    <w:rsid w:val="0028328E"/>
    <w:rsid w:val="00283507"/>
    <w:rsid w:val="00283B42"/>
    <w:rsid w:val="002841B9"/>
    <w:rsid w:val="00284204"/>
    <w:rsid w:val="00286B8B"/>
    <w:rsid w:val="0028702C"/>
    <w:rsid w:val="00291773"/>
    <w:rsid w:val="00292FE2"/>
    <w:rsid w:val="00293A2A"/>
    <w:rsid w:val="00293C6B"/>
    <w:rsid w:val="0029436F"/>
    <w:rsid w:val="00294BA3"/>
    <w:rsid w:val="002950DA"/>
    <w:rsid w:val="00295B9C"/>
    <w:rsid w:val="002960CB"/>
    <w:rsid w:val="0029771B"/>
    <w:rsid w:val="002A0867"/>
    <w:rsid w:val="002A09C9"/>
    <w:rsid w:val="002A1439"/>
    <w:rsid w:val="002A168C"/>
    <w:rsid w:val="002A2A88"/>
    <w:rsid w:val="002A3DC7"/>
    <w:rsid w:val="002A5A95"/>
    <w:rsid w:val="002A6ED0"/>
    <w:rsid w:val="002A7645"/>
    <w:rsid w:val="002B1472"/>
    <w:rsid w:val="002B3C40"/>
    <w:rsid w:val="002B443A"/>
    <w:rsid w:val="002B49E2"/>
    <w:rsid w:val="002B4FAF"/>
    <w:rsid w:val="002B5CBB"/>
    <w:rsid w:val="002B73A7"/>
    <w:rsid w:val="002B76CB"/>
    <w:rsid w:val="002B7B00"/>
    <w:rsid w:val="002B7C44"/>
    <w:rsid w:val="002C04DB"/>
    <w:rsid w:val="002C0DBD"/>
    <w:rsid w:val="002C2B17"/>
    <w:rsid w:val="002C33BD"/>
    <w:rsid w:val="002C722B"/>
    <w:rsid w:val="002C7287"/>
    <w:rsid w:val="002D0285"/>
    <w:rsid w:val="002D0A54"/>
    <w:rsid w:val="002D1418"/>
    <w:rsid w:val="002D3DB0"/>
    <w:rsid w:val="002D3DD0"/>
    <w:rsid w:val="002D4051"/>
    <w:rsid w:val="002D588E"/>
    <w:rsid w:val="002D6A3C"/>
    <w:rsid w:val="002D6EB9"/>
    <w:rsid w:val="002D703A"/>
    <w:rsid w:val="002D705F"/>
    <w:rsid w:val="002D76B3"/>
    <w:rsid w:val="002E046A"/>
    <w:rsid w:val="002E063B"/>
    <w:rsid w:val="002E087B"/>
    <w:rsid w:val="002E170F"/>
    <w:rsid w:val="002E1F3A"/>
    <w:rsid w:val="002E242E"/>
    <w:rsid w:val="002E2646"/>
    <w:rsid w:val="002E296C"/>
    <w:rsid w:val="002E298A"/>
    <w:rsid w:val="002E31DC"/>
    <w:rsid w:val="002E3B54"/>
    <w:rsid w:val="002E3BEF"/>
    <w:rsid w:val="002E4957"/>
    <w:rsid w:val="002E4A1F"/>
    <w:rsid w:val="002E5176"/>
    <w:rsid w:val="002E57A3"/>
    <w:rsid w:val="002E649E"/>
    <w:rsid w:val="002E6782"/>
    <w:rsid w:val="002E76A2"/>
    <w:rsid w:val="002F1669"/>
    <w:rsid w:val="002F1B1D"/>
    <w:rsid w:val="002F2093"/>
    <w:rsid w:val="002F236D"/>
    <w:rsid w:val="002F34DA"/>
    <w:rsid w:val="002F3F36"/>
    <w:rsid w:val="002F4391"/>
    <w:rsid w:val="002F4A9E"/>
    <w:rsid w:val="002F6079"/>
    <w:rsid w:val="002F6609"/>
    <w:rsid w:val="002F7FEB"/>
    <w:rsid w:val="003003CB"/>
    <w:rsid w:val="00300515"/>
    <w:rsid w:val="00300681"/>
    <w:rsid w:val="00301978"/>
    <w:rsid w:val="00302924"/>
    <w:rsid w:val="00302E24"/>
    <w:rsid w:val="0030332C"/>
    <w:rsid w:val="00303F5C"/>
    <w:rsid w:val="00304C3E"/>
    <w:rsid w:val="003051C2"/>
    <w:rsid w:val="00307ABA"/>
    <w:rsid w:val="00307BBD"/>
    <w:rsid w:val="003105ED"/>
    <w:rsid w:val="00310612"/>
    <w:rsid w:val="003118D5"/>
    <w:rsid w:val="00312296"/>
    <w:rsid w:val="003126D8"/>
    <w:rsid w:val="003131BF"/>
    <w:rsid w:val="00314CE6"/>
    <w:rsid w:val="00314F0E"/>
    <w:rsid w:val="003159B9"/>
    <w:rsid w:val="00316E8B"/>
    <w:rsid w:val="0031768E"/>
    <w:rsid w:val="0032010E"/>
    <w:rsid w:val="0032114B"/>
    <w:rsid w:val="00321D8E"/>
    <w:rsid w:val="0032228B"/>
    <w:rsid w:val="003227C4"/>
    <w:rsid w:val="003233C5"/>
    <w:rsid w:val="00324739"/>
    <w:rsid w:val="00324BAF"/>
    <w:rsid w:val="00325928"/>
    <w:rsid w:val="00326304"/>
    <w:rsid w:val="00326522"/>
    <w:rsid w:val="00327752"/>
    <w:rsid w:val="003310A2"/>
    <w:rsid w:val="0033154C"/>
    <w:rsid w:val="00332863"/>
    <w:rsid w:val="00332B81"/>
    <w:rsid w:val="0033314B"/>
    <w:rsid w:val="00333C78"/>
    <w:rsid w:val="00334CC3"/>
    <w:rsid w:val="00335BAC"/>
    <w:rsid w:val="0033684D"/>
    <w:rsid w:val="003368B6"/>
    <w:rsid w:val="00336D2B"/>
    <w:rsid w:val="00337415"/>
    <w:rsid w:val="00337B42"/>
    <w:rsid w:val="0034058A"/>
    <w:rsid w:val="003405EF"/>
    <w:rsid w:val="0034197B"/>
    <w:rsid w:val="00341B42"/>
    <w:rsid w:val="00341EF6"/>
    <w:rsid w:val="00342145"/>
    <w:rsid w:val="00342849"/>
    <w:rsid w:val="00342CC9"/>
    <w:rsid w:val="0034348F"/>
    <w:rsid w:val="00343FD0"/>
    <w:rsid w:val="00344ECC"/>
    <w:rsid w:val="00346791"/>
    <w:rsid w:val="00346FBE"/>
    <w:rsid w:val="00346FC6"/>
    <w:rsid w:val="003470CE"/>
    <w:rsid w:val="0034733F"/>
    <w:rsid w:val="003520EB"/>
    <w:rsid w:val="0035226F"/>
    <w:rsid w:val="003529C6"/>
    <w:rsid w:val="0035422D"/>
    <w:rsid w:val="00354382"/>
    <w:rsid w:val="00354ADB"/>
    <w:rsid w:val="00356653"/>
    <w:rsid w:val="003568B1"/>
    <w:rsid w:val="003568B5"/>
    <w:rsid w:val="00356C68"/>
    <w:rsid w:val="0035743F"/>
    <w:rsid w:val="00357B36"/>
    <w:rsid w:val="00357BE2"/>
    <w:rsid w:val="00357CCC"/>
    <w:rsid w:val="0036130E"/>
    <w:rsid w:val="00361550"/>
    <w:rsid w:val="0036170C"/>
    <w:rsid w:val="00361917"/>
    <w:rsid w:val="003636CD"/>
    <w:rsid w:val="00363CA2"/>
    <w:rsid w:val="0036534C"/>
    <w:rsid w:val="00365FF6"/>
    <w:rsid w:val="00366C17"/>
    <w:rsid w:val="00366C1B"/>
    <w:rsid w:val="00366E0F"/>
    <w:rsid w:val="00367653"/>
    <w:rsid w:val="00370FA3"/>
    <w:rsid w:val="00373038"/>
    <w:rsid w:val="00374137"/>
    <w:rsid w:val="00374255"/>
    <w:rsid w:val="003744EB"/>
    <w:rsid w:val="003746D7"/>
    <w:rsid w:val="003756B8"/>
    <w:rsid w:val="00375B3B"/>
    <w:rsid w:val="003760A9"/>
    <w:rsid w:val="003763A4"/>
    <w:rsid w:val="003804AD"/>
    <w:rsid w:val="00380584"/>
    <w:rsid w:val="003806DB"/>
    <w:rsid w:val="00381361"/>
    <w:rsid w:val="00381A72"/>
    <w:rsid w:val="00381CB2"/>
    <w:rsid w:val="00382568"/>
    <w:rsid w:val="0038282A"/>
    <w:rsid w:val="003831FE"/>
    <w:rsid w:val="00384676"/>
    <w:rsid w:val="003869B4"/>
    <w:rsid w:val="00390281"/>
    <w:rsid w:val="0039068A"/>
    <w:rsid w:val="00390857"/>
    <w:rsid w:val="00390996"/>
    <w:rsid w:val="0039350D"/>
    <w:rsid w:val="003935D5"/>
    <w:rsid w:val="003937C8"/>
    <w:rsid w:val="00393B05"/>
    <w:rsid w:val="00393C2E"/>
    <w:rsid w:val="00394246"/>
    <w:rsid w:val="0039431E"/>
    <w:rsid w:val="00395F5E"/>
    <w:rsid w:val="00396214"/>
    <w:rsid w:val="003968EC"/>
    <w:rsid w:val="00397309"/>
    <w:rsid w:val="003A17E6"/>
    <w:rsid w:val="003A24B8"/>
    <w:rsid w:val="003A35DD"/>
    <w:rsid w:val="003A4733"/>
    <w:rsid w:val="003A4BF3"/>
    <w:rsid w:val="003A524B"/>
    <w:rsid w:val="003A60B3"/>
    <w:rsid w:val="003A68D6"/>
    <w:rsid w:val="003B420D"/>
    <w:rsid w:val="003B4C54"/>
    <w:rsid w:val="003B59C3"/>
    <w:rsid w:val="003B5C31"/>
    <w:rsid w:val="003B5D75"/>
    <w:rsid w:val="003B67E5"/>
    <w:rsid w:val="003C012D"/>
    <w:rsid w:val="003C1AFF"/>
    <w:rsid w:val="003C2954"/>
    <w:rsid w:val="003C317D"/>
    <w:rsid w:val="003C49CE"/>
    <w:rsid w:val="003C6C16"/>
    <w:rsid w:val="003C6F1A"/>
    <w:rsid w:val="003C72EE"/>
    <w:rsid w:val="003D1243"/>
    <w:rsid w:val="003D197C"/>
    <w:rsid w:val="003D27F4"/>
    <w:rsid w:val="003D3243"/>
    <w:rsid w:val="003D5DE8"/>
    <w:rsid w:val="003D67FD"/>
    <w:rsid w:val="003D794D"/>
    <w:rsid w:val="003E15EC"/>
    <w:rsid w:val="003E2AF6"/>
    <w:rsid w:val="003E3058"/>
    <w:rsid w:val="003E3177"/>
    <w:rsid w:val="003E5547"/>
    <w:rsid w:val="003E760A"/>
    <w:rsid w:val="003E7684"/>
    <w:rsid w:val="003E76A9"/>
    <w:rsid w:val="003E7E29"/>
    <w:rsid w:val="003F0809"/>
    <w:rsid w:val="003F2079"/>
    <w:rsid w:val="003F4BCA"/>
    <w:rsid w:val="003F6743"/>
    <w:rsid w:val="003F6A8C"/>
    <w:rsid w:val="003F6C1E"/>
    <w:rsid w:val="003F755C"/>
    <w:rsid w:val="003F7B41"/>
    <w:rsid w:val="0040008D"/>
    <w:rsid w:val="00400A25"/>
    <w:rsid w:val="00400B3C"/>
    <w:rsid w:val="00400D3D"/>
    <w:rsid w:val="00401AA7"/>
    <w:rsid w:val="00401C04"/>
    <w:rsid w:val="00401C15"/>
    <w:rsid w:val="00403876"/>
    <w:rsid w:val="00404709"/>
    <w:rsid w:val="00406F01"/>
    <w:rsid w:val="00407321"/>
    <w:rsid w:val="0041037A"/>
    <w:rsid w:val="00410DCC"/>
    <w:rsid w:val="00412A48"/>
    <w:rsid w:val="00413B59"/>
    <w:rsid w:val="00414796"/>
    <w:rsid w:val="004147F5"/>
    <w:rsid w:val="0041502B"/>
    <w:rsid w:val="00415CAD"/>
    <w:rsid w:val="004169F6"/>
    <w:rsid w:val="00416AF0"/>
    <w:rsid w:val="00416D50"/>
    <w:rsid w:val="00416FD5"/>
    <w:rsid w:val="00417409"/>
    <w:rsid w:val="00417425"/>
    <w:rsid w:val="00417772"/>
    <w:rsid w:val="004203F9"/>
    <w:rsid w:val="00420E6A"/>
    <w:rsid w:val="004224D7"/>
    <w:rsid w:val="00422660"/>
    <w:rsid w:val="00422A65"/>
    <w:rsid w:val="00422D7D"/>
    <w:rsid w:val="00423AB4"/>
    <w:rsid w:val="0042432C"/>
    <w:rsid w:val="00424AB9"/>
    <w:rsid w:val="00425A9E"/>
    <w:rsid w:val="00425ABB"/>
    <w:rsid w:val="00426BE0"/>
    <w:rsid w:val="00426D6B"/>
    <w:rsid w:val="00426FE3"/>
    <w:rsid w:val="00427291"/>
    <w:rsid w:val="004307DA"/>
    <w:rsid w:val="00430CFE"/>
    <w:rsid w:val="00430D2A"/>
    <w:rsid w:val="00431984"/>
    <w:rsid w:val="00431CEA"/>
    <w:rsid w:val="00431E6C"/>
    <w:rsid w:val="00433CE7"/>
    <w:rsid w:val="00434434"/>
    <w:rsid w:val="00437ABA"/>
    <w:rsid w:val="00440D3C"/>
    <w:rsid w:val="0044101B"/>
    <w:rsid w:val="00441AC8"/>
    <w:rsid w:val="00441FC0"/>
    <w:rsid w:val="0044344A"/>
    <w:rsid w:val="00443E1D"/>
    <w:rsid w:val="0044413C"/>
    <w:rsid w:val="00446AD5"/>
    <w:rsid w:val="00446F4D"/>
    <w:rsid w:val="0044786E"/>
    <w:rsid w:val="00450F4E"/>
    <w:rsid w:val="00451658"/>
    <w:rsid w:val="00452738"/>
    <w:rsid w:val="0045309A"/>
    <w:rsid w:val="004537CB"/>
    <w:rsid w:val="0045495D"/>
    <w:rsid w:val="0045526A"/>
    <w:rsid w:val="00455899"/>
    <w:rsid w:val="00456091"/>
    <w:rsid w:val="0045665B"/>
    <w:rsid w:val="00456D02"/>
    <w:rsid w:val="004609A0"/>
    <w:rsid w:val="00461D80"/>
    <w:rsid w:val="00462126"/>
    <w:rsid w:val="004636E6"/>
    <w:rsid w:val="00464444"/>
    <w:rsid w:val="0046520D"/>
    <w:rsid w:val="00465FA9"/>
    <w:rsid w:val="00466321"/>
    <w:rsid w:val="004669B3"/>
    <w:rsid w:val="00466EDA"/>
    <w:rsid w:val="00470A2D"/>
    <w:rsid w:val="0047223B"/>
    <w:rsid w:val="00474B41"/>
    <w:rsid w:val="00475A79"/>
    <w:rsid w:val="004762AD"/>
    <w:rsid w:val="00480625"/>
    <w:rsid w:val="004825F2"/>
    <w:rsid w:val="00482A6C"/>
    <w:rsid w:val="00483480"/>
    <w:rsid w:val="00483BAB"/>
    <w:rsid w:val="00484B9B"/>
    <w:rsid w:val="004853B0"/>
    <w:rsid w:val="004855F6"/>
    <w:rsid w:val="0048576D"/>
    <w:rsid w:val="0048661E"/>
    <w:rsid w:val="00487B78"/>
    <w:rsid w:val="00490250"/>
    <w:rsid w:val="004916C8"/>
    <w:rsid w:val="00491B84"/>
    <w:rsid w:val="00492285"/>
    <w:rsid w:val="00492916"/>
    <w:rsid w:val="00492AEC"/>
    <w:rsid w:val="0049347D"/>
    <w:rsid w:val="00494670"/>
    <w:rsid w:val="00494689"/>
    <w:rsid w:val="00494892"/>
    <w:rsid w:val="00494F11"/>
    <w:rsid w:val="0049581E"/>
    <w:rsid w:val="0049776D"/>
    <w:rsid w:val="004A0D3B"/>
    <w:rsid w:val="004A0F7B"/>
    <w:rsid w:val="004A11AF"/>
    <w:rsid w:val="004A1397"/>
    <w:rsid w:val="004A2C54"/>
    <w:rsid w:val="004A303E"/>
    <w:rsid w:val="004A3823"/>
    <w:rsid w:val="004A38D1"/>
    <w:rsid w:val="004A3C85"/>
    <w:rsid w:val="004A4B27"/>
    <w:rsid w:val="004A5291"/>
    <w:rsid w:val="004A53C7"/>
    <w:rsid w:val="004A585A"/>
    <w:rsid w:val="004A5AC5"/>
    <w:rsid w:val="004A74C1"/>
    <w:rsid w:val="004B0D36"/>
    <w:rsid w:val="004B158F"/>
    <w:rsid w:val="004B58DE"/>
    <w:rsid w:val="004B5915"/>
    <w:rsid w:val="004B734A"/>
    <w:rsid w:val="004C0F92"/>
    <w:rsid w:val="004C14EF"/>
    <w:rsid w:val="004C1808"/>
    <w:rsid w:val="004C1F4C"/>
    <w:rsid w:val="004C260C"/>
    <w:rsid w:val="004C2707"/>
    <w:rsid w:val="004C2DBF"/>
    <w:rsid w:val="004C3956"/>
    <w:rsid w:val="004C450A"/>
    <w:rsid w:val="004C4B23"/>
    <w:rsid w:val="004C4E88"/>
    <w:rsid w:val="004C58FD"/>
    <w:rsid w:val="004C60CA"/>
    <w:rsid w:val="004C68BD"/>
    <w:rsid w:val="004C72B6"/>
    <w:rsid w:val="004C7366"/>
    <w:rsid w:val="004C7F33"/>
    <w:rsid w:val="004D0815"/>
    <w:rsid w:val="004D1466"/>
    <w:rsid w:val="004D1CE7"/>
    <w:rsid w:val="004D2195"/>
    <w:rsid w:val="004D22CD"/>
    <w:rsid w:val="004D3EF0"/>
    <w:rsid w:val="004D431E"/>
    <w:rsid w:val="004D45EF"/>
    <w:rsid w:val="004D45FA"/>
    <w:rsid w:val="004D494A"/>
    <w:rsid w:val="004D6BE9"/>
    <w:rsid w:val="004D7B23"/>
    <w:rsid w:val="004E0BBD"/>
    <w:rsid w:val="004E0CED"/>
    <w:rsid w:val="004E1039"/>
    <w:rsid w:val="004E1C4D"/>
    <w:rsid w:val="004E1E8D"/>
    <w:rsid w:val="004E36E4"/>
    <w:rsid w:val="004E5091"/>
    <w:rsid w:val="004E5DC9"/>
    <w:rsid w:val="004E68B1"/>
    <w:rsid w:val="004E6946"/>
    <w:rsid w:val="004F05A5"/>
    <w:rsid w:val="004F1682"/>
    <w:rsid w:val="004F1AD8"/>
    <w:rsid w:val="004F2A82"/>
    <w:rsid w:val="004F3CCE"/>
    <w:rsid w:val="004F4138"/>
    <w:rsid w:val="004F5F13"/>
    <w:rsid w:val="004F5FE1"/>
    <w:rsid w:val="004F6080"/>
    <w:rsid w:val="004F63FC"/>
    <w:rsid w:val="004F6BAE"/>
    <w:rsid w:val="004F70D1"/>
    <w:rsid w:val="004F77FC"/>
    <w:rsid w:val="004F7A61"/>
    <w:rsid w:val="005000C4"/>
    <w:rsid w:val="0050054C"/>
    <w:rsid w:val="00500FD3"/>
    <w:rsid w:val="00501800"/>
    <w:rsid w:val="0050293A"/>
    <w:rsid w:val="005039CB"/>
    <w:rsid w:val="00503A77"/>
    <w:rsid w:val="00503D49"/>
    <w:rsid w:val="0050413B"/>
    <w:rsid w:val="00504D9E"/>
    <w:rsid w:val="0050558F"/>
    <w:rsid w:val="00506286"/>
    <w:rsid w:val="0050662D"/>
    <w:rsid w:val="0050728B"/>
    <w:rsid w:val="00510609"/>
    <w:rsid w:val="00510813"/>
    <w:rsid w:val="00510DE8"/>
    <w:rsid w:val="00511990"/>
    <w:rsid w:val="00511A23"/>
    <w:rsid w:val="00511DE0"/>
    <w:rsid w:val="005139FB"/>
    <w:rsid w:val="00514870"/>
    <w:rsid w:val="00514B9B"/>
    <w:rsid w:val="00515A33"/>
    <w:rsid w:val="00516E46"/>
    <w:rsid w:val="005178AD"/>
    <w:rsid w:val="00517F02"/>
    <w:rsid w:val="00520E20"/>
    <w:rsid w:val="0052135B"/>
    <w:rsid w:val="005216A8"/>
    <w:rsid w:val="00521BAF"/>
    <w:rsid w:val="005233AA"/>
    <w:rsid w:val="00524303"/>
    <w:rsid w:val="00525216"/>
    <w:rsid w:val="005256E8"/>
    <w:rsid w:val="005258A2"/>
    <w:rsid w:val="00525FAD"/>
    <w:rsid w:val="00526A28"/>
    <w:rsid w:val="00530B9A"/>
    <w:rsid w:val="00530D53"/>
    <w:rsid w:val="005313CA"/>
    <w:rsid w:val="00532419"/>
    <w:rsid w:val="0053299A"/>
    <w:rsid w:val="00532B0F"/>
    <w:rsid w:val="005345F0"/>
    <w:rsid w:val="00536C81"/>
    <w:rsid w:val="00537B71"/>
    <w:rsid w:val="005401AE"/>
    <w:rsid w:val="00540BE1"/>
    <w:rsid w:val="005418B6"/>
    <w:rsid w:val="00541D24"/>
    <w:rsid w:val="005425BC"/>
    <w:rsid w:val="00542CA7"/>
    <w:rsid w:val="00542E07"/>
    <w:rsid w:val="00544216"/>
    <w:rsid w:val="005447CB"/>
    <w:rsid w:val="00544FA6"/>
    <w:rsid w:val="00545102"/>
    <w:rsid w:val="00545424"/>
    <w:rsid w:val="005457BB"/>
    <w:rsid w:val="00547593"/>
    <w:rsid w:val="00547CB4"/>
    <w:rsid w:val="005515FA"/>
    <w:rsid w:val="00552566"/>
    <w:rsid w:val="00552B5C"/>
    <w:rsid w:val="00552C6E"/>
    <w:rsid w:val="00552CEC"/>
    <w:rsid w:val="00553489"/>
    <w:rsid w:val="0055380B"/>
    <w:rsid w:val="00553FF3"/>
    <w:rsid w:val="005541F8"/>
    <w:rsid w:val="00554A7B"/>
    <w:rsid w:val="0055572C"/>
    <w:rsid w:val="0056106A"/>
    <w:rsid w:val="0056327F"/>
    <w:rsid w:val="005639FC"/>
    <w:rsid w:val="0056675E"/>
    <w:rsid w:val="00567440"/>
    <w:rsid w:val="00567673"/>
    <w:rsid w:val="00567EE9"/>
    <w:rsid w:val="00570277"/>
    <w:rsid w:val="00571815"/>
    <w:rsid w:val="005718E4"/>
    <w:rsid w:val="00571B95"/>
    <w:rsid w:val="005720AE"/>
    <w:rsid w:val="005732F1"/>
    <w:rsid w:val="00573AA7"/>
    <w:rsid w:val="00573FFD"/>
    <w:rsid w:val="005743BB"/>
    <w:rsid w:val="00574C18"/>
    <w:rsid w:val="00576F48"/>
    <w:rsid w:val="0057761D"/>
    <w:rsid w:val="0057782B"/>
    <w:rsid w:val="005808EC"/>
    <w:rsid w:val="00580FD6"/>
    <w:rsid w:val="005810E2"/>
    <w:rsid w:val="00582A16"/>
    <w:rsid w:val="0058366E"/>
    <w:rsid w:val="0058498D"/>
    <w:rsid w:val="005851CF"/>
    <w:rsid w:val="0058576B"/>
    <w:rsid w:val="0058606F"/>
    <w:rsid w:val="00586DF0"/>
    <w:rsid w:val="00587E95"/>
    <w:rsid w:val="00590E0D"/>
    <w:rsid w:val="00590F9B"/>
    <w:rsid w:val="00591771"/>
    <w:rsid w:val="00591FBA"/>
    <w:rsid w:val="00592888"/>
    <w:rsid w:val="00592961"/>
    <w:rsid w:val="00592B0E"/>
    <w:rsid w:val="00592CE6"/>
    <w:rsid w:val="0059311F"/>
    <w:rsid w:val="0059336E"/>
    <w:rsid w:val="005943D9"/>
    <w:rsid w:val="00594457"/>
    <w:rsid w:val="00594A52"/>
    <w:rsid w:val="00594D77"/>
    <w:rsid w:val="005964AC"/>
    <w:rsid w:val="005969E4"/>
    <w:rsid w:val="00597840"/>
    <w:rsid w:val="005A06B7"/>
    <w:rsid w:val="005A080D"/>
    <w:rsid w:val="005A0883"/>
    <w:rsid w:val="005A0B08"/>
    <w:rsid w:val="005A1759"/>
    <w:rsid w:val="005A2684"/>
    <w:rsid w:val="005A35CF"/>
    <w:rsid w:val="005A40A0"/>
    <w:rsid w:val="005A5EE0"/>
    <w:rsid w:val="005A661F"/>
    <w:rsid w:val="005A68A7"/>
    <w:rsid w:val="005A69F0"/>
    <w:rsid w:val="005A6A5B"/>
    <w:rsid w:val="005A6A93"/>
    <w:rsid w:val="005A7A1E"/>
    <w:rsid w:val="005B5AB3"/>
    <w:rsid w:val="005B6BAF"/>
    <w:rsid w:val="005B7857"/>
    <w:rsid w:val="005B7CF7"/>
    <w:rsid w:val="005C022A"/>
    <w:rsid w:val="005C063E"/>
    <w:rsid w:val="005C0B9A"/>
    <w:rsid w:val="005C1608"/>
    <w:rsid w:val="005C193C"/>
    <w:rsid w:val="005C2501"/>
    <w:rsid w:val="005C520A"/>
    <w:rsid w:val="005C617B"/>
    <w:rsid w:val="005C650B"/>
    <w:rsid w:val="005C6BEE"/>
    <w:rsid w:val="005C6CC1"/>
    <w:rsid w:val="005C7020"/>
    <w:rsid w:val="005D096A"/>
    <w:rsid w:val="005D0C78"/>
    <w:rsid w:val="005D122F"/>
    <w:rsid w:val="005D143E"/>
    <w:rsid w:val="005D24D3"/>
    <w:rsid w:val="005D280E"/>
    <w:rsid w:val="005D36AB"/>
    <w:rsid w:val="005D3714"/>
    <w:rsid w:val="005D3E9C"/>
    <w:rsid w:val="005D3F15"/>
    <w:rsid w:val="005D54E6"/>
    <w:rsid w:val="005D5820"/>
    <w:rsid w:val="005D61BB"/>
    <w:rsid w:val="005D6DBC"/>
    <w:rsid w:val="005D7605"/>
    <w:rsid w:val="005E04CC"/>
    <w:rsid w:val="005E04EB"/>
    <w:rsid w:val="005E0D3B"/>
    <w:rsid w:val="005E2CC7"/>
    <w:rsid w:val="005E31E0"/>
    <w:rsid w:val="005E3580"/>
    <w:rsid w:val="005E38BA"/>
    <w:rsid w:val="005E4667"/>
    <w:rsid w:val="005E49D3"/>
    <w:rsid w:val="005E4BEE"/>
    <w:rsid w:val="005E57BF"/>
    <w:rsid w:val="005E65FB"/>
    <w:rsid w:val="005E75BC"/>
    <w:rsid w:val="005F1E44"/>
    <w:rsid w:val="005F244F"/>
    <w:rsid w:val="005F34CC"/>
    <w:rsid w:val="005F3DBE"/>
    <w:rsid w:val="005F3E3D"/>
    <w:rsid w:val="005F44F6"/>
    <w:rsid w:val="005F470B"/>
    <w:rsid w:val="005F54B9"/>
    <w:rsid w:val="005F585D"/>
    <w:rsid w:val="005F7BE5"/>
    <w:rsid w:val="006019F5"/>
    <w:rsid w:val="006023B8"/>
    <w:rsid w:val="00602526"/>
    <w:rsid w:val="00602530"/>
    <w:rsid w:val="006028EA"/>
    <w:rsid w:val="00602A48"/>
    <w:rsid w:val="006042A5"/>
    <w:rsid w:val="00604A4B"/>
    <w:rsid w:val="00604D05"/>
    <w:rsid w:val="006062A3"/>
    <w:rsid w:val="0060746F"/>
    <w:rsid w:val="0061091A"/>
    <w:rsid w:val="00610B30"/>
    <w:rsid w:val="0061235A"/>
    <w:rsid w:val="00612A65"/>
    <w:rsid w:val="006154E0"/>
    <w:rsid w:val="00615C2B"/>
    <w:rsid w:val="00616017"/>
    <w:rsid w:val="00617CC3"/>
    <w:rsid w:val="00620708"/>
    <w:rsid w:val="00620A2C"/>
    <w:rsid w:val="00620D6E"/>
    <w:rsid w:val="0062156A"/>
    <w:rsid w:val="00621CC2"/>
    <w:rsid w:val="00621EB4"/>
    <w:rsid w:val="00622B16"/>
    <w:rsid w:val="00622C42"/>
    <w:rsid w:val="00624036"/>
    <w:rsid w:val="00625D25"/>
    <w:rsid w:val="00627A9F"/>
    <w:rsid w:val="00627B1A"/>
    <w:rsid w:val="00630651"/>
    <w:rsid w:val="00630A23"/>
    <w:rsid w:val="00630CCA"/>
    <w:rsid w:val="00632524"/>
    <w:rsid w:val="00632AFA"/>
    <w:rsid w:val="00633351"/>
    <w:rsid w:val="00633408"/>
    <w:rsid w:val="00633A02"/>
    <w:rsid w:val="00633C40"/>
    <w:rsid w:val="00634232"/>
    <w:rsid w:val="006345A2"/>
    <w:rsid w:val="006369FB"/>
    <w:rsid w:val="006377A6"/>
    <w:rsid w:val="00637A3D"/>
    <w:rsid w:val="00637A7D"/>
    <w:rsid w:val="006409AF"/>
    <w:rsid w:val="00641102"/>
    <w:rsid w:val="006411EF"/>
    <w:rsid w:val="006427C8"/>
    <w:rsid w:val="00642CBD"/>
    <w:rsid w:val="006436E5"/>
    <w:rsid w:val="00643C2F"/>
    <w:rsid w:val="00643F29"/>
    <w:rsid w:val="0064543D"/>
    <w:rsid w:val="0064591D"/>
    <w:rsid w:val="0064591E"/>
    <w:rsid w:val="0064668B"/>
    <w:rsid w:val="00651B12"/>
    <w:rsid w:val="006523F0"/>
    <w:rsid w:val="0065301D"/>
    <w:rsid w:val="006533AD"/>
    <w:rsid w:val="006551AB"/>
    <w:rsid w:val="00657DAB"/>
    <w:rsid w:val="00657DB2"/>
    <w:rsid w:val="006604C5"/>
    <w:rsid w:val="00660C95"/>
    <w:rsid w:val="00661B29"/>
    <w:rsid w:val="00661EF3"/>
    <w:rsid w:val="006624C8"/>
    <w:rsid w:val="00662A74"/>
    <w:rsid w:val="00663147"/>
    <w:rsid w:val="00664263"/>
    <w:rsid w:val="00665249"/>
    <w:rsid w:val="00665CC5"/>
    <w:rsid w:val="0066675C"/>
    <w:rsid w:val="00666C3B"/>
    <w:rsid w:val="006671F8"/>
    <w:rsid w:val="0067053E"/>
    <w:rsid w:val="00671AB1"/>
    <w:rsid w:val="0067285C"/>
    <w:rsid w:val="006748B8"/>
    <w:rsid w:val="006754FE"/>
    <w:rsid w:val="006769FD"/>
    <w:rsid w:val="00676A2D"/>
    <w:rsid w:val="00677017"/>
    <w:rsid w:val="006775C3"/>
    <w:rsid w:val="00680BD0"/>
    <w:rsid w:val="00680EDB"/>
    <w:rsid w:val="00680F17"/>
    <w:rsid w:val="00682FEB"/>
    <w:rsid w:val="0068382F"/>
    <w:rsid w:val="00684AE4"/>
    <w:rsid w:val="00684FE3"/>
    <w:rsid w:val="00685D35"/>
    <w:rsid w:val="00685EE8"/>
    <w:rsid w:val="0068632F"/>
    <w:rsid w:val="0068668B"/>
    <w:rsid w:val="006909E3"/>
    <w:rsid w:val="00690BD2"/>
    <w:rsid w:val="00691CD9"/>
    <w:rsid w:val="00691D29"/>
    <w:rsid w:val="006926F0"/>
    <w:rsid w:val="0069290A"/>
    <w:rsid w:val="00693F46"/>
    <w:rsid w:val="00694632"/>
    <w:rsid w:val="006959E1"/>
    <w:rsid w:val="0069775A"/>
    <w:rsid w:val="00697813"/>
    <w:rsid w:val="006A086D"/>
    <w:rsid w:val="006A0DED"/>
    <w:rsid w:val="006A1541"/>
    <w:rsid w:val="006A1FA5"/>
    <w:rsid w:val="006A28EA"/>
    <w:rsid w:val="006A3EE8"/>
    <w:rsid w:val="006A415F"/>
    <w:rsid w:val="006A4827"/>
    <w:rsid w:val="006A6CBA"/>
    <w:rsid w:val="006A6FEA"/>
    <w:rsid w:val="006A72BF"/>
    <w:rsid w:val="006A749B"/>
    <w:rsid w:val="006A7600"/>
    <w:rsid w:val="006A76C3"/>
    <w:rsid w:val="006A794A"/>
    <w:rsid w:val="006B03F2"/>
    <w:rsid w:val="006B2331"/>
    <w:rsid w:val="006B28BF"/>
    <w:rsid w:val="006B2A95"/>
    <w:rsid w:val="006B37DC"/>
    <w:rsid w:val="006B3993"/>
    <w:rsid w:val="006B3F72"/>
    <w:rsid w:val="006B44A8"/>
    <w:rsid w:val="006B4F68"/>
    <w:rsid w:val="006B7908"/>
    <w:rsid w:val="006C0592"/>
    <w:rsid w:val="006C06CD"/>
    <w:rsid w:val="006C0FC6"/>
    <w:rsid w:val="006C272E"/>
    <w:rsid w:val="006C2B76"/>
    <w:rsid w:val="006C2EB3"/>
    <w:rsid w:val="006C3F5D"/>
    <w:rsid w:val="006C47A8"/>
    <w:rsid w:val="006C5479"/>
    <w:rsid w:val="006C5881"/>
    <w:rsid w:val="006C7DCC"/>
    <w:rsid w:val="006C7EFA"/>
    <w:rsid w:val="006C7F68"/>
    <w:rsid w:val="006D13B5"/>
    <w:rsid w:val="006D160D"/>
    <w:rsid w:val="006D1AC4"/>
    <w:rsid w:val="006D22FE"/>
    <w:rsid w:val="006D23AB"/>
    <w:rsid w:val="006D29A2"/>
    <w:rsid w:val="006D45A8"/>
    <w:rsid w:val="006E0710"/>
    <w:rsid w:val="006E09E8"/>
    <w:rsid w:val="006E12FF"/>
    <w:rsid w:val="006E1CE4"/>
    <w:rsid w:val="006E1E6A"/>
    <w:rsid w:val="006E3057"/>
    <w:rsid w:val="006E3549"/>
    <w:rsid w:val="006E389F"/>
    <w:rsid w:val="006E3E95"/>
    <w:rsid w:val="006E4A37"/>
    <w:rsid w:val="006E607E"/>
    <w:rsid w:val="006E6A72"/>
    <w:rsid w:val="006E7D4B"/>
    <w:rsid w:val="006F03E7"/>
    <w:rsid w:val="006F33E5"/>
    <w:rsid w:val="006F7839"/>
    <w:rsid w:val="00700612"/>
    <w:rsid w:val="0070062B"/>
    <w:rsid w:val="00700BE9"/>
    <w:rsid w:val="00701E0D"/>
    <w:rsid w:val="007039B9"/>
    <w:rsid w:val="00703E46"/>
    <w:rsid w:val="007040DE"/>
    <w:rsid w:val="007042C2"/>
    <w:rsid w:val="00705415"/>
    <w:rsid w:val="00705E0B"/>
    <w:rsid w:val="007067EF"/>
    <w:rsid w:val="00706C5D"/>
    <w:rsid w:val="00707761"/>
    <w:rsid w:val="0071108B"/>
    <w:rsid w:val="00711214"/>
    <w:rsid w:val="00711786"/>
    <w:rsid w:val="00712DC1"/>
    <w:rsid w:val="00712E6C"/>
    <w:rsid w:val="00712FD8"/>
    <w:rsid w:val="0071335D"/>
    <w:rsid w:val="00713C77"/>
    <w:rsid w:val="00714331"/>
    <w:rsid w:val="0071586E"/>
    <w:rsid w:val="00715BBB"/>
    <w:rsid w:val="00716588"/>
    <w:rsid w:val="00720970"/>
    <w:rsid w:val="00720E67"/>
    <w:rsid w:val="00721344"/>
    <w:rsid w:val="00721525"/>
    <w:rsid w:val="00721E54"/>
    <w:rsid w:val="00721E90"/>
    <w:rsid w:val="0072498A"/>
    <w:rsid w:val="00726828"/>
    <w:rsid w:val="00727F75"/>
    <w:rsid w:val="007308AE"/>
    <w:rsid w:val="00730DD9"/>
    <w:rsid w:val="00732922"/>
    <w:rsid w:val="00734106"/>
    <w:rsid w:val="00734B8F"/>
    <w:rsid w:val="00734C4E"/>
    <w:rsid w:val="0073578A"/>
    <w:rsid w:val="007373FA"/>
    <w:rsid w:val="00737843"/>
    <w:rsid w:val="00737AC1"/>
    <w:rsid w:val="00740C35"/>
    <w:rsid w:val="00741A25"/>
    <w:rsid w:val="0074219B"/>
    <w:rsid w:val="00742968"/>
    <w:rsid w:val="007435E3"/>
    <w:rsid w:val="007442A0"/>
    <w:rsid w:val="0074476C"/>
    <w:rsid w:val="0074526F"/>
    <w:rsid w:val="007467EE"/>
    <w:rsid w:val="007474B1"/>
    <w:rsid w:val="00747547"/>
    <w:rsid w:val="00747F47"/>
    <w:rsid w:val="00750EFA"/>
    <w:rsid w:val="0075162E"/>
    <w:rsid w:val="00751D3B"/>
    <w:rsid w:val="0075350B"/>
    <w:rsid w:val="00754034"/>
    <w:rsid w:val="00754ECA"/>
    <w:rsid w:val="00756556"/>
    <w:rsid w:val="00756A73"/>
    <w:rsid w:val="00757CFD"/>
    <w:rsid w:val="00760BF0"/>
    <w:rsid w:val="007618C4"/>
    <w:rsid w:val="00762CAD"/>
    <w:rsid w:val="00762D2F"/>
    <w:rsid w:val="0076431C"/>
    <w:rsid w:val="00764F8B"/>
    <w:rsid w:val="00765A0F"/>
    <w:rsid w:val="00765DC8"/>
    <w:rsid w:val="007674BB"/>
    <w:rsid w:val="00767980"/>
    <w:rsid w:val="00767EEB"/>
    <w:rsid w:val="007702C7"/>
    <w:rsid w:val="00770B19"/>
    <w:rsid w:val="00770D66"/>
    <w:rsid w:val="00773087"/>
    <w:rsid w:val="00774505"/>
    <w:rsid w:val="0077463F"/>
    <w:rsid w:val="0077467A"/>
    <w:rsid w:val="00776EB6"/>
    <w:rsid w:val="00776FAF"/>
    <w:rsid w:val="0077748A"/>
    <w:rsid w:val="00777B34"/>
    <w:rsid w:val="0078220F"/>
    <w:rsid w:val="007836EA"/>
    <w:rsid w:val="00784CDA"/>
    <w:rsid w:val="00784CEC"/>
    <w:rsid w:val="00784DFF"/>
    <w:rsid w:val="00784F8C"/>
    <w:rsid w:val="00786680"/>
    <w:rsid w:val="00787A24"/>
    <w:rsid w:val="007902DC"/>
    <w:rsid w:val="0079036A"/>
    <w:rsid w:val="007906C4"/>
    <w:rsid w:val="00790F17"/>
    <w:rsid w:val="00792051"/>
    <w:rsid w:val="007924FF"/>
    <w:rsid w:val="00793CD0"/>
    <w:rsid w:val="007940EA"/>
    <w:rsid w:val="00794A09"/>
    <w:rsid w:val="007950DB"/>
    <w:rsid w:val="00795458"/>
    <w:rsid w:val="00795E72"/>
    <w:rsid w:val="00796451"/>
    <w:rsid w:val="007967E8"/>
    <w:rsid w:val="007A05F2"/>
    <w:rsid w:val="007A0882"/>
    <w:rsid w:val="007A0B58"/>
    <w:rsid w:val="007A1CA7"/>
    <w:rsid w:val="007A2170"/>
    <w:rsid w:val="007A22BF"/>
    <w:rsid w:val="007A3323"/>
    <w:rsid w:val="007A4452"/>
    <w:rsid w:val="007A47D3"/>
    <w:rsid w:val="007A536B"/>
    <w:rsid w:val="007A5419"/>
    <w:rsid w:val="007A7AC3"/>
    <w:rsid w:val="007B22A7"/>
    <w:rsid w:val="007B2D65"/>
    <w:rsid w:val="007B3328"/>
    <w:rsid w:val="007B37A8"/>
    <w:rsid w:val="007B41D8"/>
    <w:rsid w:val="007B4264"/>
    <w:rsid w:val="007B72B8"/>
    <w:rsid w:val="007B72FA"/>
    <w:rsid w:val="007B7A58"/>
    <w:rsid w:val="007C0B7D"/>
    <w:rsid w:val="007C17C2"/>
    <w:rsid w:val="007C1B8C"/>
    <w:rsid w:val="007C21B5"/>
    <w:rsid w:val="007C336C"/>
    <w:rsid w:val="007C654C"/>
    <w:rsid w:val="007C7CA2"/>
    <w:rsid w:val="007C7F6D"/>
    <w:rsid w:val="007D048B"/>
    <w:rsid w:val="007D0BDF"/>
    <w:rsid w:val="007D0FB0"/>
    <w:rsid w:val="007D1099"/>
    <w:rsid w:val="007D4823"/>
    <w:rsid w:val="007D48D8"/>
    <w:rsid w:val="007D6222"/>
    <w:rsid w:val="007D681B"/>
    <w:rsid w:val="007D6AE1"/>
    <w:rsid w:val="007D6DF1"/>
    <w:rsid w:val="007E0819"/>
    <w:rsid w:val="007E0ABA"/>
    <w:rsid w:val="007E0AE9"/>
    <w:rsid w:val="007E0D82"/>
    <w:rsid w:val="007E23B2"/>
    <w:rsid w:val="007E45A6"/>
    <w:rsid w:val="007E4BD2"/>
    <w:rsid w:val="007E577D"/>
    <w:rsid w:val="007E6062"/>
    <w:rsid w:val="007E6362"/>
    <w:rsid w:val="007E77FA"/>
    <w:rsid w:val="007E7D4E"/>
    <w:rsid w:val="007F35BE"/>
    <w:rsid w:val="007F70A1"/>
    <w:rsid w:val="007F7570"/>
    <w:rsid w:val="007F7B79"/>
    <w:rsid w:val="00801393"/>
    <w:rsid w:val="008017C4"/>
    <w:rsid w:val="00802D8F"/>
    <w:rsid w:val="00802F88"/>
    <w:rsid w:val="008031B7"/>
    <w:rsid w:val="00803D84"/>
    <w:rsid w:val="00803E96"/>
    <w:rsid w:val="008042F5"/>
    <w:rsid w:val="0080484F"/>
    <w:rsid w:val="008049C1"/>
    <w:rsid w:val="008062CE"/>
    <w:rsid w:val="00807D05"/>
    <w:rsid w:val="00810440"/>
    <w:rsid w:val="00810DED"/>
    <w:rsid w:val="00811BF4"/>
    <w:rsid w:val="00811FD4"/>
    <w:rsid w:val="0081293E"/>
    <w:rsid w:val="00812DE4"/>
    <w:rsid w:val="008143A9"/>
    <w:rsid w:val="00814DD4"/>
    <w:rsid w:val="00815465"/>
    <w:rsid w:val="00815DD2"/>
    <w:rsid w:val="008165C4"/>
    <w:rsid w:val="00816EA2"/>
    <w:rsid w:val="00817E9A"/>
    <w:rsid w:val="00817FBD"/>
    <w:rsid w:val="00820AF7"/>
    <w:rsid w:val="00820FAC"/>
    <w:rsid w:val="00821013"/>
    <w:rsid w:val="00821321"/>
    <w:rsid w:val="00825570"/>
    <w:rsid w:val="008306BD"/>
    <w:rsid w:val="008313F9"/>
    <w:rsid w:val="008315FD"/>
    <w:rsid w:val="00831A80"/>
    <w:rsid w:val="008327C2"/>
    <w:rsid w:val="00833743"/>
    <w:rsid w:val="008340A4"/>
    <w:rsid w:val="0083426F"/>
    <w:rsid w:val="0083461F"/>
    <w:rsid w:val="008349C8"/>
    <w:rsid w:val="00834F86"/>
    <w:rsid w:val="008365C3"/>
    <w:rsid w:val="008373DB"/>
    <w:rsid w:val="00837E29"/>
    <w:rsid w:val="00841207"/>
    <w:rsid w:val="00841F1A"/>
    <w:rsid w:val="00842173"/>
    <w:rsid w:val="0084558D"/>
    <w:rsid w:val="008502B8"/>
    <w:rsid w:val="0085097F"/>
    <w:rsid w:val="0085174E"/>
    <w:rsid w:val="00851F14"/>
    <w:rsid w:val="00853299"/>
    <w:rsid w:val="00860D41"/>
    <w:rsid w:val="0086350B"/>
    <w:rsid w:val="00863C1F"/>
    <w:rsid w:val="00863D69"/>
    <w:rsid w:val="0087135F"/>
    <w:rsid w:val="00871752"/>
    <w:rsid w:val="00872389"/>
    <w:rsid w:val="00872D94"/>
    <w:rsid w:val="00874CCC"/>
    <w:rsid w:val="00875CE1"/>
    <w:rsid w:val="00876E9C"/>
    <w:rsid w:val="00880364"/>
    <w:rsid w:val="00881D69"/>
    <w:rsid w:val="008822D1"/>
    <w:rsid w:val="008824AB"/>
    <w:rsid w:val="00882E67"/>
    <w:rsid w:val="0088300C"/>
    <w:rsid w:val="00883747"/>
    <w:rsid w:val="008839E1"/>
    <w:rsid w:val="00883E0C"/>
    <w:rsid w:val="00883FC6"/>
    <w:rsid w:val="00884E2D"/>
    <w:rsid w:val="00884F96"/>
    <w:rsid w:val="008850F8"/>
    <w:rsid w:val="00890437"/>
    <w:rsid w:val="00890DF5"/>
    <w:rsid w:val="00891592"/>
    <w:rsid w:val="00891E9E"/>
    <w:rsid w:val="00892AE3"/>
    <w:rsid w:val="00893927"/>
    <w:rsid w:val="00893C62"/>
    <w:rsid w:val="00894ED1"/>
    <w:rsid w:val="0089621E"/>
    <w:rsid w:val="00896DA4"/>
    <w:rsid w:val="00897C85"/>
    <w:rsid w:val="008A0588"/>
    <w:rsid w:val="008A1767"/>
    <w:rsid w:val="008A17F3"/>
    <w:rsid w:val="008A2F68"/>
    <w:rsid w:val="008A3667"/>
    <w:rsid w:val="008A3B18"/>
    <w:rsid w:val="008A6217"/>
    <w:rsid w:val="008A6408"/>
    <w:rsid w:val="008A7ED0"/>
    <w:rsid w:val="008B36BE"/>
    <w:rsid w:val="008B36F2"/>
    <w:rsid w:val="008B44B2"/>
    <w:rsid w:val="008B4FA6"/>
    <w:rsid w:val="008B5282"/>
    <w:rsid w:val="008B5E61"/>
    <w:rsid w:val="008B6731"/>
    <w:rsid w:val="008B7481"/>
    <w:rsid w:val="008B7C17"/>
    <w:rsid w:val="008C1BB1"/>
    <w:rsid w:val="008C2029"/>
    <w:rsid w:val="008C224A"/>
    <w:rsid w:val="008C25AA"/>
    <w:rsid w:val="008C2D01"/>
    <w:rsid w:val="008C3614"/>
    <w:rsid w:val="008C40DB"/>
    <w:rsid w:val="008C40E6"/>
    <w:rsid w:val="008C4AC1"/>
    <w:rsid w:val="008C6969"/>
    <w:rsid w:val="008C6C7A"/>
    <w:rsid w:val="008D0248"/>
    <w:rsid w:val="008D0F7A"/>
    <w:rsid w:val="008D2468"/>
    <w:rsid w:val="008D4130"/>
    <w:rsid w:val="008D4929"/>
    <w:rsid w:val="008D68E4"/>
    <w:rsid w:val="008D7DC5"/>
    <w:rsid w:val="008E0506"/>
    <w:rsid w:val="008E0C09"/>
    <w:rsid w:val="008E0CFF"/>
    <w:rsid w:val="008E1430"/>
    <w:rsid w:val="008E36E6"/>
    <w:rsid w:val="008E59B3"/>
    <w:rsid w:val="008E5D6B"/>
    <w:rsid w:val="008E6896"/>
    <w:rsid w:val="008E69B7"/>
    <w:rsid w:val="008E6CDC"/>
    <w:rsid w:val="008E76F0"/>
    <w:rsid w:val="008F0F65"/>
    <w:rsid w:val="008F116B"/>
    <w:rsid w:val="008F11B6"/>
    <w:rsid w:val="008F15C9"/>
    <w:rsid w:val="008F15FE"/>
    <w:rsid w:val="008F1EEE"/>
    <w:rsid w:val="008F1FFE"/>
    <w:rsid w:val="008F206C"/>
    <w:rsid w:val="008F2B72"/>
    <w:rsid w:val="008F2D29"/>
    <w:rsid w:val="008F34AA"/>
    <w:rsid w:val="008F3A65"/>
    <w:rsid w:val="008F4EAB"/>
    <w:rsid w:val="008F5187"/>
    <w:rsid w:val="008F60D8"/>
    <w:rsid w:val="008F670F"/>
    <w:rsid w:val="008F6E5E"/>
    <w:rsid w:val="00900183"/>
    <w:rsid w:val="009007AE"/>
    <w:rsid w:val="00901A8A"/>
    <w:rsid w:val="0090246E"/>
    <w:rsid w:val="00902727"/>
    <w:rsid w:val="0090312B"/>
    <w:rsid w:val="0090328D"/>
    <w:rsid w:val="00903E16"/>
    <w:rsid w:val="00904ED5"/>
    <w:rsid w:val="009056D3"/>
    <w:rsid w:val="00905CE3"/>
    <w:rsid w:val="0090639E"/>
    <w:rsid w:val="0090772C"/>
    <w:rsid w:val="00907DD4"/>
    <w:rsid w:val="0091007E"/>
    <w:rsid w:val="00911113"/>
    <w:rsid w:val="009119F5"/>
    <w:rsid w:val="00912EA9"/>
    <w:rsid w:val="00914D8D"/>
    <w:rsid w:val="0091532D"/>
    <w:rsid w:val="0091736D"/>
    <w:rsid w:val="00917378"/>
    <w:rsid w:val="009208F1"/>
    <w:rsid w:val="0092293E"/>
    <w:rsid w:val="009232B1"/>
    <w:rsid w:val="009233B0"/>
    <w:rsid w:val="0092423E"/>
    <w:rsid w:val="00924D6A"/>
    <w:rsid w:val="00924FBE"/>
    <w:rsid w:val="00925442"/>
    <w:rsid w:val="009256A0"/>
    <w:rsid w:val="0092653B"/>
    <w:rsid w:val="00927975"/>
    <w:rsid w:val="00927A6E"/>
    <w:rsid w:val="0093037A"/>
    <w:rsid w:val="00930395"/>
    <w:rsid w:val="009309B8"/>
    <w:rsid w:val="00930D44"/>
    <w:rsid w:val="00930ED8"/>
    <w:rsid w:val="00931014"/>
    <w:rsid w:val="0093200D"/>
    <w:rsid w:val="00932A67"/>
    <w:rsid w:val="00932B54"/>
    <w:rsid w:val="00932DDD"/>
    <w:rsid w:val="0093459B"/>
    <w:rsid w:val="00935A84"/>
    <w:rsid w:val="009374BF"/>
    <w:rsid w:val="00940048"/>
    <w:rsid w:val="0094081D"/>
    <w:rsid w:val="0094154D"/>
    <w:rsid w:val="00941A24"/>
    <w:rsid w:val="00941B04"/>
    <w:rsid w:val="009427EC"/>
    <w:rsid w:val="00943062"/>
    <w:rsid w:val="00943310"/>
    <w:rsid w:val="0094370B"/>
    <w:rsid w:val="0094604F"/>
    <w:rsid w:val="009464C9"/>
    <w:rsid w:val="009468BD"/>
    <w:rsid w:val="009477C4"/>
    <w:rsid w:val="00947A40"/>
    <w:rsid w:val="009509C9"/>
    <w:rsid w:val="0095155F"/>
    <w:rsid w:val="00952126"/>
    <w:rsid w:val="009522CE"/>
    <w:rsid w:val="00953A32"/>
    <w:rsid w:val="00953B37"/>
    <w:rsid w:val="00953EFD"/>
    <w:rsid w:val="00954429"/>
    <w:rsid w:val="009557A1"/>
    <w:rsid w:val="0095592F"/>
    <w:rsid w:val="009563CE"/>
    <w:rsid w:val="00956A55"/>
    <w:rsid w:val="009576CE"/>
    <w:rsid w:val="00957FA1"/>
    <w:rsid w:val="00960149"/>
    <w:rsid w:val="00960A7C"/>
    <w:rsid w:val="00961FB8"/>
    <w:rsid w:val="00962D0B"/>
    <w:rsid w:val="009636B3"/>
    <w:rsid w:val="00964A6D"/>
    <w:rsid w:val="009667D3"/>
    <w:rsid w:val="00966F06"/>
    <w:rsid w:val="00970259"/>
    <w:rsid w:val="00971D0B"/>
    <w:rsid w:val="00972D5F"/>
    <w:rsid w:val="00972FE8"/>
    <w:rsid w:val="00973EF9"/>
    <w:rsid w:val="00974032"/>
    <w:rsid w:val="00975A02"/>
    <w:rsid w:val="00976328"/>
    <w:rsid w:val="0097680D"/>
    <w:rsid w:val="00976EF6"/>
    <w:rsid w:val="009774D4"/>
    <w:rsid w:val="00981107"/>
    <w:rsid w:val="00982016"/>
    <w:rsid w:val="009820A0"/>
    <w:rsid w:val="00982438"/>
    <w:rsid w:val="0098342C"/>
    <w:rsid w:val="00983BFF"/>
    <w:rsid w:val="0098404C"/>
    <w:rsid w:val="00985133"/>
    <w:rsid w:val="00985283"/>
    <w:rsid w:val="009852FE"/>
    <w:rsid w:val="009853F5"/>
    <w:rsid w:val="009858B0"/>
    <w:rsid w:val="00985FD6"/>
    <w:rsid w:val="00987E5E"/>
    <w:rsid w:val="009904CC"/>
    <w:rsid w:val="009912B9"/>
    <w:rsid w:val="00991FA5"/>
    <w:rsid w:val="00992B2F"/>
    <w:rsid w:val="00993CB8"/>
    <w:rsid w:val="0099476B"/>
    <w:rsid w:val="00995243"/>
    <w:rsid w:val="00995992"/>
    <w:rsid w:val="00995EE6"/>
    <w:rsid w:val="00996094"/>
    <w:rsid w:val="00996932"/>
    <w:rsid w:val="009975BB"/>
    <w:rsid w:val="00997894"/>
    <w:rsid w:val="009A03E5"/>
    <w:rsid w:val="009A0CA3"/>
    <w:rsid w:val="009A0CC5"/>
    <w:rsid w:val="009A0E32"/>
    <w:rsid w:val="009A0F3B"/>
    <w:rsid w:val="009A0F43"/>
    <w:rsid w:val="009A1530"/>
    <w:rsid w:val="009A1BB4"/>
    <w:rsid w:val="009A2628"/>
    <w:rsid w:val="009A27E9"/>
    <w:rsid w:val="009A3008"/>
    <w:rsid w:val="009A3200"/>
    <w:rsid w:val="009A3F86"/>
    <w:rsid w:val="009A70AE"/>
    <w:rsid w:val="009B02EF"/>
    <w:rsid w:val="009B06DF"/>
    <w:rsid w:val="009B0897"/>
    <w:rsid w:val="009B1C64"/>
    <w:rsid w:val="009B36BF"/>
    <w:rsid w:val="009B5969"/>
    <w:rsid w:val="009B6082"/>
    <w:rsid w:val="009B6B0F"/>
    <w:rsid w:val="009B7BD9"/>
    <w:rsid w:val="009C2128"/>
    <w:rsid w:val="009C360D"/>
    <w:rsid w:val="009C51FC"/>
    <w:rsid w:val="009C7D8A"/>
    <w:rsid w:val="009C7DD5"/>
    <w:rsid w:val="009D149D"/>
    <w:rsid w:val="009D195A"/>
    <w:rsid w:val="009D1E41"/>
    <w:rsid w:val="009D3470"/>
    <w:rsid w:val="009D3CDE"/>
    <w:rsid w:val="009D43D2"/>
    <w:rsid w:val="009D440E"/>
    <w:rsid w:val="009D4678"/>
    <w:rsid w:val="009D5717"/>
    <w:rsid w:val="009D5DFB"/>
    <w:rsid w:val="009D61FB"/>
    <w:rsid w:val="009D7814"/>
    <w:rsid w:val="009E211E"/>
    <w:rsid w:val="009E227D"/>
    <w:rsid w:val="009E29B4"/>
    <w:rsid w:val="009E2D9B"/>
    <w:rsid w:val="009E3F64"/>
    <w:rsid w:val="009E5019"/>
    <w:rsid w:val="009E528B"/>
    <w:rsid w:val="009E52B0"/>
    <w:rsid w:val="009E678E"/>
    <w:rsid w:val="009E685B"/>
    <w:rsid w:val="009E6AD2"/>
    <w:rsid w:val="009F164C"/>
    <w:rsid w:val="009F20CF"/>
    <w:rsid w:val="009F2E8B"/>
    <w:rsid w:val="009F4C45"/>
    <w:rsid w:val="009F7636"/>
    <w:rsid w:val="00A00147"/>
    <w:rsid w:val="00A00980"/>
    <w:rsid w:val="00A00CF2"/>
    <w:rsid w:val="00A011E4"/>
    <w:rsid w:val="00A01824"/>
    <w:rsid w:val="00A024A6"/>
    <w:rsid w:val="00A0409C"/>
    <w:rsid w:val="00A04D46"/>
    <w:rsid w:val="00A04F1B"/>
    <w:rsid w:val="00A0501B"/>
    <w:rsid w:val="00A0512A"/>
    <w:rsid w:val="00A052BC"/>
    <w:rsid w:val="00A05A9E"/>
    <w:rsid w:val="00A05BA8"/>
    <w:rsid w:val="00A062EA"/>
    <w:rsid w:val="00A0636D"/>
    <w:rsid w:val="00A06999"/>
    <w:rsid w:val="00A119AA"/>
    <w:rsid w:val="00A11A75"/>
    <w:rsid w:val="00A12062"/>
    <w:rsid w:val="00A13695"/>
    <w:rsid w:val="00A13EF5"/>
    <w:rsid w:val="00A14947"/>
    <w:rsid w:val="00A14DB5"/>
    <w:rsid w:val="00A161F5"/>
    <w:rsid w:val="00A162C2"/>
    <w:rsid w:val="00A16E8B"/>
    <w:rsid w:val="00A1707B"/>
    <w:rsid w:val="00A1772B"/>
    <w:rsid w:val="00A17C77"/>
    <w:rsid w:val="00A209B7"/>
    <w:rsid w:val="00A20E8A"/>
    <w:rsid w:val="00A2125F"/>
    <w:rsid w:val="00A217FA"/>
    <w:rsid w:val="00A22957"/>
    <w:rsid w:val="00A22CD8"/>
    <w:rsid w:val="00A230E1"/>
    <w:rsid w:val="00A23328"/>
    <w:rsid w:val="00A23561"/>
    <w:rsid w:val="00A2415D"/>
    <w:rsid w:val="00A2456D"/>
    <w:rsid w:val="00A24AD1"/>
    <w:rsid w:val="00A2512B"/>
    <w:rsid w:val="00A252FA"/>
    <w:rsid w:val="00A254CE"/>
    <w:rsid w:val="00A25595"/>
    <w:rsid w:val="00A26DDF"/>
    <w:rsid w:val="00A3134A"/>
    <w:rsid w:val="00A3180F"/>
    <w:rsid w:val="00A324FD"/>
    <w:rsid w:val="00A327D9"/>
    <w:rsid w:val="00A32A60"/>
    <w:rsid w:val="00A32A83"/>
    <w:rsid w:val="00A3367F"/>
    <w:rsid w:val="00A33994"/>
    <w:rsid w:val="00A34F79"/>
    <w:rsid w:val="00A35A71"/>
    <w:rsid w:val="00A368DB"/>
    <w:rsid w:val="00A36A47"/>
    <w:rsid w:val="00A36DDB"/>
    <w:rsid w:val="00A36E4B"/>
    <w:rsid w:val="00A3742A"/>
    <w:rsid w:val="00A409C6"/>
    <w:rsid w:val="00A409EB"/>
    <w:rsid w:val="00A41861"/>
    <w:rsid w:val="00A423AA"/>
    <w:rsid w:val="00A42F31"/>
    <w:rsid w:val="00A43314"/>
    <w:rsid w:val="00A436E6"/>
    <w:rsid w:val="00A43797"/>
    <w:rsid w:val="00A43BFF"/>
    <w:rsid w:val="00A4463F"/>
    <w:rsid w:val="00A4615C"/>
    <w:rsid w:val="00A46618"/>
    <w:rsid w:val="00A47114"/>
    <w:rsid w:val="00A474A7"/>
    <w:rsid w:val="00A509D6"/>
    <w:rsid w:val="00A53EC6"/>
    <w:rsid w:val="00A545CF"/>
    <w:rsid w:val="00A55C0F"/>
    <w:rsid w:val="00A613B7"/>
    <w:rsid w:val="00A61ADF"/>
    <w:rsid w:val="00A64500"/>
    <w:rsid w:val="00A64728"/>
    <w:rsid w:val="00A64A65"/>
    <w:rsid w:val="00A65728"/>
    <w:rsid w:val="00A67040"/>
    <w:rsid w:val="00A70F8A"/>
    <w:rsid w:val="00A72A7B"/>
    <w:rsid w:val="00A746DC"/>
    <w:rsid w:val="00A75039"/>
    <w:rsid w:val="00A75DD8"/>
    <w:rsid w:val="00A75ED3"/>
    <w:rsid w:val="00A80CE8"/>
    <w:rsid w:val="00A80D82"/>
    <w:rsid w:val="00A83D1E"/>
    <w:rsid w:val="00A84304"/>
    <w:rsid w:val="00A84B29"/>
    <w:rsid w:val="00A86D6F"/>
    <w:rsid w:val="00A8707C"/>
    <w:rsid w:val="00A8713F"/>
    <w:rsid w:val="00A905DD"/>
    <w:rsid w:val="00A90BA1"/>
    <w:rsid w:val="00A90D6B"/>
    <w:rsid w:val="00A921FA"/>
    <w:rsid w:val="00A933C4"/>
    <w:rsid w:val="00A97A9A"/>
    <w:rsid w:val="00AA0197"/>
    <w:rsid w:val="00AA0671"/>
    <w:rsid w:val="00AA130C"/>
    <w:rsid w:val="00AA2019"/>
    <w:rsid w:val="00AA2531"/>
    <w:rsid w:val="00AA2C40"/>
    <w:rsid w:val="00AA3A16"/>
    <w:rsid w:val="00AA4ABC"/>
    <w:rsid w:val="00AA60CD"/>
    <w:rsid w:val="00AA6B07"/>
    <w:rsid w:val="00AA7E13"/>
    <w:rsid w:val="00AB1E09"/>
    <w:rsid w:val="00AB333E"/>
    <w:rsid w:val="00AB4595"/>
    <w:rsid w:val="00AB52ED"/>
    <w:rsid w:val="00AB5330"/>
    <w:rsid w:val="00AB5B87"/>
    <w:rsid w:val="00AB5F52"/>
    <w:rsid w:val="00AB6DA8"/>
    <w:rsid w:val="00AB7747"/>
    <w:rsid w:val="00AC14CE"/>
    <w:rsid w:val="00AC1683"/>
    <w:rsid w:val="00AC246B"/>
    <w:rsid w:val="00AC2A56"/>
    <w:rsid w:val="00AC377B"/>
    <w:rsid w:val="00AC3D1D"/>
    <w:rsid w:val="00AC40DF"/>
    <w:rsid w:val="00AC4389"/>
    <w:rsid w:val="00AC6B8C"/>
    <w:rsid w:val="00AC7FC2"/>
    <w:rsid w:val="00AD0057"/>
    <w:rsid w:val="00AD055E"/>
    <w:rsid w:val="00AD200C"/>
    <w:rsid w:val="00AD3326"/>
    <w:rsid w:val="00AD3FD8"/>
    <w:rsid w:val="00AD47A7"/>
    <w:rsid w:val="00AD6E72"/>
    <w:rsid w:val="00AD778C"/>
    <w:rsid w:val="00AD79DD"/>
    <w:rsid w:val="00AE1070"/>
    <w:rsid w:val="00AE19A9"/>
    <w:rsid w:val="00AE1AFE"/>
    <w:rsid w:val="00AE1EF4"/>
    <w:rsid w:val="00AE2353"/>
    <w:rsid w:val="00AE4BA8"/>
    <w:rsid w:val="00AE54FD"/>
    <w:rsid w:val="00AE6C69"/>
    <w:rsid w:val="00AE7365"/>
    <w:rsid w:val="00AE746D"/>
    <w:rsid w:val="00AE75F6"/>
    <w:rsid w:val="00AF0CBF"/>
    <w:rsid w:val="00AF2279"/>
    <w:rsid w:val="00AF2307"/>
    <w:rsid w:val="00AF257F"/>
    <w:rsid w:val="00AF2B72"/>
    <w:rsid w:val="00AF3346"/>
    <w:rsid w:val="00AF33CF"/>
    <w:rsid w:val="00AF3D0F"/>
    <w:rsid w:val="00AF4A53"/>
    <w:rsid w:val="00AF4B67"/>
    <w:rsid w:val="00AF4D50"/>
    <w:rsid w:val="00AF6179"/>
    <w:rsid w:val="00AF646A"/>
    <w:rsid w:val="00AF7BAF"/>
    <w:rsid w:val="00AF7D92"/>
    <w:rsid w:val="00B013D9"/>
    <w:rsid w:val="00B017A2"/>
    <w:rsid w:val="00B01C3F"/>
    <w:rsid w:val="00B01C80"/>
    <w:rsid w:val="00B024F3"/>
    <w:rsid w:val="00B032A4"/>
    <w:rsid w:val="00B0418E"/>
    <w:rsid w:val="00B06BAE"/>
    <w:rsid w:val="00B07A37"/>
    <w:rsid w:val="00B117B5"/>
    <w:rsid w:val="00B1295A"/>
    <w:rsid w:val="00B12A68"/>
    <w:rsid w:val="00B14727"/>
    <w:rsid w:val="00B14CDF"/>
    <w:rsid w:val="00B158E0"/>
    <w:rsid w:val="00B1768F"/>
    <w:rsid w:val="00B17A30"/>
    <w:rsid w:val="00B20A45"/>
    <w:rsid w:val="00B2186E"/>
    <w:rsid w:val="00B22442"/>
    <w:rsid w:val="00B22C5C"/>
    <w:rsid w:val="00B235AE"/>
    <w:rsid w:val="00B2360F"/>
    <w:rsid w:val="00B23C67"/>
    <w:rsid w:val="00B23DDA"/>
    <w:rsid w:val="00B23F5F"/>
    <w:rsid w:val="00B24D55"/>
    <w:rsid w:val="00B24F30"/>
    <w:rsid w:val="00B25E76"/>
    <w:rsid w:val="00B27584"/>
    <w:rsid w:val="00B27A08"/>
    <w:rsid w:val="00B27DC0"/>
    <w:rsid w:val="00B31ABF"/>
    <w:rsid w:val="00B32604"/>
    <w:rsid w:val="00B326EB"/>
    <w:rsid w:val="00B336EC"/>
    <w:rsid w:val="00B33BE3"/>
    <w:rsid w:val="00B344E8"/>
    <w:rsid w:val="00B34E64"/>
    <w:rsid w:val="00B34FE4"/>
    <w:rsid w:val="00B35E2E"/>
    <w:rsid w:val="00B36EA9"/>
    <w:rsid w:val="00B402F5"/>
    <w:rsid w:val="00B40D7C"/>
    <w:rsid w:val="00B419DF"/>
    <w:rsid w:val="00B431E1"/>
    <w:rsid w:val="00B448BC"/>
    <w:rsid w:val="00B45C89"/>
    <w:rsid w:val="00B45F24"/>
    <w:rsid w:val="00B4604B"/>
    <w:rsid w:val="00B51CCD"/>
    <w:rsid w:val="00B53710"/>
    <w:rsid w:val="00B53AB8"/>
    <w:rsid w:val="00B53B5D"/>
    <w:rsid w:val="00B54488"/>
    <w:rsid w:val="00B56848"/>
    <w:rsid w:val="00B6055E"/>
    <w:rsid w:val="00B6108E"/>
    <w:rsid w:val="00B61122"/>
    <w:rsid w:val="00B6123C"/>
    <w:rsid w:val="00B6132E"/>
    <w:rsid w:val="00B614FE"/>
    <w:rsid w:val="00B61B26"/>
    <w:rsid w:val="00B6317D"/>
    <w:rsid w:val="00B63DD2"/>
    <w:rsid w:val="00B63F09"/>
    <w:rsid w:val="00B64292"/>
    <w:rsid w:val="00B6461A"/>
    <w:rsid w:val="00B64D8D"/>
    <w:rsid w:val="00B65EE1"/>
    <w:rsid w:val="00B660AD"/>
    <w:rsid w:val="00B66257"/>
    <w:rsid w:val="00B665D3"/>
    <w:rsid w:val="00B66F51"/>
    <w:rsid w:val="00B70000"/>
    <w:rsid w:val="00B71407"/>
    <w:rsid w:val="00B7351C"/>
    <w:rsid w:val="00B73F2D"/>
    <w:rsid w:val="00B745C5"/>
    <w:rsid w:val="00B74DCD"/>
    <w:rsid w:val="00B76251"/>
    <w:rsid w:val="00B7723F"/>
    <w:rsid w:val="00B778F5"/>
    <w:rsid w:val="00B80534"/>
    <w:rsid w:val="00B81147"/>
    <w:rsid w:val="00B81327"/>
    <w:rsid w:val="00B82586"/>
    <w:rsid w:val="00B83968"/>
    <w:rsid w:val="00B8433C"/>
    <w:rsid w:val="00B8553F"/>
    <w:rsid w:val="00B87491"/>
    <w:rsid w:val="00B879BB"/>
    <w:rsid w:val="00B91F54"/>
    <w:rsid w:val="00B93D1C"/>
    <w:rsid w:val="00B9403B"/>
    <w:rsid w:val="00B9494F"/>
    <w:rsid w:val="00B9523F"/>
    <w:rsid w:val="00B954BE"/>
    <w:rsid w:val="00B961C2"/>
    <w:rsid w:val="00B974CB"/>
    <w:rsid w:val="00B97517"/>
    <w:rsid w:val="00B97F65"/>
    <w:rsid w:val="00BA29E9"/>
    <w:rsid w:val="00BA2C93"/>
    <w:rsid w:val="00BA2EF1"/>
    <w:rsid w:val="00BA2F00"/>
    <w:rsid w:val="00BA38A0"/>
    <w:rsid w:val="00BA3F1C"/>
    <w:rsid w:val="00BA70E5"/>
    <w:rsid w:val="00BA7142"/>
    <w:rsid w:val="00BA79EC"/>
    <w:rsid w:val="00BA7F1D"/>
    <w:rsid w:val="00BB0711"/>
    <w:rsid w:val="00BB0B67"/>
    <w:rsid w:val="00BB0EFB"/>
    <w:rsid w:val="00BB13DD"/>
    <w:rsid w:val="00BB237C"/>
    <w:rsid w:val="00BB39B8"/>
    <w:rsid w:val="00BB3AA3"/>
    <w:rsid w:val="00BB41A3"/>
    <w:rsid w:val="00BB5DC9"/>
    <w:rsid w:val="00BB5F21"/>
    <w:rsid w:val="00BB63A4"/>
    <w:rsid w:val="00BC045F"/>
    <w:rsid w:val="00BC0AFE"/>
    <w:rsid w:val="00BC1984"/>
    <w:rsid w:val="00BC1F96"/>
    <w:rsid w:val="00BC2ED4"/>
    <w:rsid w:val="00BC32DC"/>
    <w:rsid w:val="00BC35B6"/>
    <w:rsid w:val="00BC660F"/>
    <w:rsid w:val="00BD1B51"/>
    <w:rsid w:val="00BD1FA3"/>
    <w:rsid w:val="00BD22DE"/>
    <w:rsid w:val="00BD4596"/>
    <w:rsid w:val="00BD7F5D"/>
    <w:rsid w:val="00BE0EA4"/>
    <w:rsid w:val="00BE1405"/>
    <w:rsid w:val="00BE312D"/>
    <w:rsid w:val="00BE3918"/>
    <w:rsid w:val="00BE4725"/>
    <w:rsid w:val="00BE54B3"/>
    <w:rsid w:val="00BE63EB"/>
    <w:rsid w:val="00BE780D"/>
    <w:rsid w:val="00BE7DA6"/>
    <w:rsid w:val="00BF01B0"/>
    <w:rsid w:val="00BF16AB"/>
    <w:rsid w:val="00BF1A39"/>
    <w:rsid w:val="00BF1C20"/>
    <w:rsid w:val="00BF1F89"/>
    <w:rsid w:val="00BF3303"/>
    <w:rsid w:val="00BF3BA8"/>
    <w:rsid w:val="00BF45EE"/>
    <w:rsid w:val="00BF4634"/>
    <w:rsid w:val="00BF762F"/>
    <w:rsid w:val="00C01281"/>
    <w:rsid w:val="00C04285"/>
    <w:rsid w:val="00C05A69"/>
    <w:rsid w:val="00C05C2D"/>
    <w:rsid w:val="00C05C6F"/>
    <w:rsid w:val="00C1031F"/>
    <w:rsid w:val="00C10578"/>
    <w:rsid w:val="00C116AC"/>
    <w:rsid w:val="00C1231C"/>
    <w:rsid w:val="00C12516"/>
    <w:rsid w:val="00C133B1"/>
    <w:rsid w:val="00C135BC"/>
    <w:rsid w:val="00C14758"/>
    <w:rsid w:val="00C14759"/>
    <w:rsid w:val="00C15C95"/>
    <w:rsid w:val="00C16825"/>
    <w:rsid w:val="00C16882"/>
    <w:rsid w:val="00C20275"/>
    <w:rsid w:val="00C20BE7"/>
    <w:rsid w:val="00C21B58"/>
    <w:rsid w:val="00C2291F"/>
    <w:rsid w:val="00C23B0B"/>
    <w:rsid w:val="00C24143"/>
    <w:rsid w:val="00C24D0A"/>
    <w:rsid w:val="00C2596A"/>
    <w:rsid w:val="00C25CC0"/>
    <w:rsid w:val="00C25CD0"/>
    <w:rsid w:val="00C269EA"/>
    <w:rsid w:val="00C26BA0"/>
    <w:rsid w:val="00C26BD6"/>
    <w:rsid w:val="00C27537"/>
    <w:rsid w:val="00C304E6"/>
    <w:rsid w:val="00C30970"/>
    <w:rsid w:val="00C30FB5"/>
    <w:rsid w:val="00C3196F"/>
    <w:rsid w:val="00C31FA7"/>
    <w:rsid w:val="00C328FE"/>
    <w:rsid w:val="00C33507"/>
    <w:rsid w:val="00C344E8"/>
    <w:rsid w:val="00C34CB9"/>
    <w:rsid w:val="00C34E3A"/>
    <w:rsid w:val="00C35556"/>
    <w:rsid w:val="00C35A8C"/>
    <w:rsid w:val="00C36248"/>
    <w:rsid w:val="00C364DF"/>
    <w:rsid w:val="00C40A18"/>
    <w:rsid w:val="00C4409D"/>
    <w:rsid w:val="00C442AC"/>
    <w:rsid w:val="00C44E72"/>
    <w:rsid w:val="00C45A06"/>
    <w:rsid w:val="00C45A62"/>
    <w:rsid w:val="00C4678B"/>
    <w:rsid w:val="00C47566"/>
    <w:rsid w:val="00C47E5B"/>
    <w:rsid w:val="00C50A43"/>
    <w:rsid w:val="00C52576"/>
    <w:rsid w:val="00C52CB6"/>
    <w:rsid w:val="00C52F9D"/>
    <w:rsid w:val="00C54A66"/>
    <w:rsid w:val="00C557AA"/>
    <w:rsid w:val="00C55F78"/>
    <w:rsid w:val="00C566A2"/>
    <w:rsid w:val="00C607C4"/>
    <w:rsid w:val="00C61E4B"/>
    <w:rsid w:val="00C62484"/>
    <w:rsid w:val="00C64BFF"/>
    <w:rsid w:val="00C65469"/>
    <w:rsid w:val="00C67916"/>
    <w:rsid w:val="00C704E9"/>
    <w:rsid w:val="00C7073C"/>
    <w:rsid w:val="00C70871"/>
    <w:rsid w:val="00C720E7"/>
    <w:rsid w:val="00C72C16"/>
    <w:rsid w:val="00C734C6"/>
    <w:rsid w:val="00C74F22"/>
    <w:rsid w:val="00C75967"/>
    <w:rsid w:val="00C76363"/>
    <w:rsid w:val="00C763C9"/>
    <w:rsid w:val="00C766D3"/>
    <w:rsid w:val="00C76766"/>
    <w:rsid w:val="00C76D98"/>
    <w:rsid w:val="00C7711D"/>
    <w:rsid w:val="00C77393"/>
    <w:rsid w:val="00C77467"/>
    <w:rsid w:val="00C77878"/>
    <w:rsid w:val="00C80057"/>
    <w:rsid w:val="00C801A4"/>
    <w:rsid w:val="00C821E5"/>
    <w:rsid w:val="00C82232"/>
    <w:rsid w:val="00C82913"/>
    <w:rsid w:val="00C832C3"/>
    <w:rsid w:val="00C835E2"/>
    <w:rsid w:val="00C84187"/>
    <w:rsid w:val="00C85AFF"/>
    <w:rsid w:val="00C864BA"/>
    <w:rsid w:val="00C86992"/>
    <w:rsid w:val="00C87366"/>
    <w:rsid w:val="00C8749D"/>
    <w:rsid w:val="00C9014F"/>
    <w:rsid w:val="00C9021B"/>
    <w:rsid w:val="00C90726"/>
    <w:rsid w:val="00C908D8"/>
    <w:rsid w:val="00C923CF"/>
    <w:rsid w:val="00C926B5"/>
    <w:rsid w:val="00C941E5"/>
    <w:rsid w:val="00C943D2"/>
    <w:rsid w:val="00C94E82"/>
    <w:rsid w:val="00C972B1"/>
    <w:rsid w:val="00CA0559"/>
    <w:rsid w:val="00CA0753"/>
    <w:rsid w:val="00CA12DD"/>
    <w:rsid w:val="00CA1FDA"/>
    <w:rsid w:val="00CA2CCE"/>
    <w:rsid w:val="00CA322E"/>
    <w:rsid w:val="00CA43FD"/>
    <w:rsid w:val="00CA4606"/>
    <w:rsid w:val="00CA4648"/>
    <w:rsid w:val="00CA555E"/>
    <w:rsid w:val="00CA69CF"/>
    <w:rsid w:val="00CA6D15"/>
    <w:rsid w:val="00CA7C16"/>
    <w:rsid w:val="00CA7EF8"/>
    <w:rsid w:val="00CB0170"/>
    <w:rsid w:val="00CB0781"/>
    <w:rsid w:val="00CB2CA1"/>
    <w:rsid w:val="00CB3122"/>
    <w:rsid w:val="00CB4057"/>
    <w:rsid w:val="00CB45B4"/>
    <w:rsid w:val="00CB616B"/>
    <w:rsid w:val="00CC0593"/>
    <w:rsid w:val="00CC2350"/>
    <w:rsid w:val="00CC489B"/>
    <w:rsid w:val="00CC4AA2"/>
    <w:rsid w:val="00CC6477"/>
    <w:rsid w:val="00CD0692"/>
    <w:rsid w:val="00CD0F37"/>
    <w:rsid w:val="00CD163A"/>
    <w:rsid w:val="00CD1EB8"/>
    <w:rsid w:val="00CD2BCD"/>
    <w:rsid w:val="00CD310C"/>
    <w:rsid w:val="00CD3A4C"/>
    <w:rsid w:val="00CD3B4F"/>
    <w:rsid w:val="00CD401C"/>
    <w:rsid w:val="00CD496E"/>
    <w:rsid w:val="00CD525F"/>
    <w:rsid w:val="00CD5CF7"/>
    <w:rsid w:val="00CD5E11"/>
    <w:rsid w:val="00CD6513"/>
    <w:rsid w:val="00CE074B"/>
    <w:rsid w:val="00CE0D12"/>
    <w:rsid w:val="00CE10E9"/>
    <w:rsid w:val="00CE18D0"/>
    <w:rsid w:val="00CE2910"/>
    <w:rsid w:val="00CE454F"/>
    <w:rsid w:val="00CE4CD7"/>
    <w:rsid w:val="00CE4E07"/>
    <w:rsid w:val="00CE5393"/>
    <w:rsid w:val="00CE68F9"/>
    <w:rsid w:val="00CE6D7C"/>
    <w:rsid w:val="00CE786C"/>
    <w:rsid w:val="00CF0A2F"/>
    <w:rsid w:val="00CF17FC"/>
    <w:rsid w:val="00CF1DFA"/>
    <w:rsid w:val="00CF2AEC"/>
    <w:rsid w:val="00CF36BE"/>
    <w:rsid w:val="00CF3BFC"/>
    <w:rsid w:val="00CF3C8A"/>
    <w:rsid w:val="00CF529D"/>
    <w:rsid w:val="00CF6000"/>
    <w:rsid w:val="00CF7BEE"/>
    <w:rsid w:val="00D003F3"/>
    <w:rsid w:val="00D00592"/>
    <w:rsid w:val="00D01A75"/>
    <w:rsid w:val="00D01AAB"/>
    <w:rsid w:val="00D01B75"/>
    <w:rsid w:val="00D02256"/>
    <w:rsid w:val="00D02C3E"/>
    <w:rsid w:val="00D035BF"/>
    <w:rsid w:val="00D0364F"/>
    <w:rsid w:val="00D045AD"/>
    <w:rsid w:val="00D04645"/>
    <w:rsid w:val="00D06834"/>
    <w:rsid w:val="00D07E1A"/>
    <w:rsid w:val="00D11D0C"/>
    <w:rsid w:val="00D11E79"/>
    <w:rsid w:val="00D12D99"/>
    <w:rsid w:val="00D13AA8"/>
    <w:rsid w:val="00D13F3F"/>
    <w:rsid w:val="00D146D6"/>
    <w:rsid w:val="00D149DE"/>
    <w:rsid w:val="00D1540C"/>
    <w:rsid w:val="00D16BA3"/>
    <w:rsid w:val="00D220A1"/>
    <w:rsid w:val="00D23EE2"/>
    <w:rsid w:val="00D24E1E"/>
    <w:rsid w:val="00D26375"/>
    <w:rsid w:val="00D27450"/>
    <w:rsid w:val="00D308ED"/>
    <w:rsid w:val="00D3104B"/>
    <w:rsid w:val="00D320C3"/>
    <w:rsid w:val="00D35195"/>
    <w:rsid w:val="00D36887"/>
    <w:rsid w:val="00D36D86"/>
    <w:rsid w:val="00D36E11"/>
    <w:rsid w:val="00D406C4"/>
    <w:rsid w:val="00D40F17"/>
    <w:rsid w:val="00D41128"/>
    <w:rsid w:val="00D41350"/>
    <w:rsid w:val="00D423F1"/>
    <w:rsid w:val="00D428AA"/>
    <w:rsid w:val="00D42B30"/>
    <w:rsid w:val="00D434E3"/>
    <w:rsid w:val="00D45074"/>
    <w:rsid w:val="00D45CB9"/>
    <w:rsid w:val="00D45F96"/>
    <w:rsid w:val="00D4666E"/>
    <w:rsid w:val="00D46931"/>
    <w:rsid w:val="00D503CB"/>
    <w:rsid w:val="00D50A34"/>
    <w:rsid w:val="00D50A8A"/>
    <w:rsid w:val="00D52521"/>
    <w:rsid w:val="00D53E56"/>
    <w:rsid w:val="00D53EFA"/>
    <w:rsid w:val="00D548C0"/>
    <w:rsid w:val="00D56B30"/>
    <w:rsid w:val="00D606C2"/>
    <w:rsid w:val="00D6101A"/>
    <w:rsid w:val="00D611EC"/>
    <w:rsid w:val="00D612AB"/>
    <w:rsid w:val="00D619A0"/>
    <w:rsid w:val="00D626DE"/>
    <w:rsid w:val="00D62FC7"/>
    <w:rsid w:val="00D6418A"/>
    <w:rsid w:val="00D6460E"/>
    <w:rsid w:val="00D64860"/>
    <w:rsid w:val="00D64F26"/>
    <w:rsid w:val="00D650A4"/>
    <w:rsid w:val="00D70B77"/>
    <w:rsid w:val="00D715AE"/>
    <w:rsid w:val="00D71D05"/>
    <w:rsid w:val="00D734CE"/>
    <w:rsid w:val="00D739C7"/>
    <w:rsid w:val="00D74D25"/>
    <w:rsid w:val="00D81742"/>
    <w:rsid w:val="00D81A5F"/>
    <w:rsid w:val="00D82BC6"/>
    <w:rsid w:val="00D838F2"/>
    <w:rsid w:val="00D84C48"/>
    <w:rsid w:val="00D8531B"/>
    <w:rsid w:val="00D85794"/>
    <w:rsid w:val="00D9238D"/>
    <w:rsid w:val="00D92DF3"/>
    <w:rsid w:val="00D93F89"/>
    <w:rsid w:val="00D94A7C"/>
    <w:rsid w:val="00D94C17"/>
    <w:rsid w:val="00D953DC"/>
    <w:rsid w:val="00D95896"/>
    <w:rsid w:val="00D9596E"/>
    <w:rsid w:val="00D95D01"/>
    <w:rsid w:val="00D97A58"/>
    <w:rsid w:val="00DA0AE1"/>
    <w:rsid w:val="00DA2868"/>
    <w:rsid w:val="00DA2BF9"/>
    <w:rsid w:val="00DA3A42"/>
    <w:rsid w:val="00DA3F87"/>
    <w:rsid w:val="00DA500B"/>
    <w:rsid w:val="00DA5B87"/>
    <w:rsid w:val="00DA5EF0"/>
    <w:rsid w:val="00DA6414"/>
    <w:rsid w:val="00DA723A"/>
    <w:rsid w:val="00DA72FD"/>
    <w:rsid w:val="00DB06BA"/>
    <w:rsid w:val="00DB2983"/>
    <w:rsid w:val="00DB2D6C"/>
    <w:rsid w:val="00DB3754"/>
    <w:rsid w:val="00DB38B9"/>
    <w:rsid w:val="00DB598E"/>
    <w:rsid w:val="00DB731F"/>
    <w:rsid w:val="00DB7E30"/>
    <w:rsid w:val="00DC1257"/>
    <w:rsid w:val="00DC2E22"/>
    <w:rsid w:val="00DC3DC0"/>
    <w:rsid w:val="00DC4DB4"/>
    <w:rsid w:val="00DC5B2B"/>
    <w:rsid w:val="00DC5EAD"/>
    <w:rsid w:val="00DC63F7"/>
    <w:rsid w:val="00DC7641"/>
    <w:rsid w:val="00DD0294"/>
    <w:rsid w:val="00DD2103"/>
    <w:rsid w:val="00DD288D"/>
    <w:rsid w:val="00DD318D"/>
    <w:rsid w:val="00DD3ABE"/>
    <w:rsid w:val="00DD4263"/>
    <w:rsid w:val="00DD4D7B"/>
    <w:rsid w:val="00DD56D0"/>
    <w:rsid w:val="00DD57DC"/>
    <w:rsid w:val="00DD5C90"/>
    <w:rsid w:val="00DD6547"/>
    <w:rsid w:val="00DD67DC"/>
    <w:rsid w:val="00DE0401"/>
    <w:rsid w:val="00DE069B"/>
    <w:rsid w:val="00DE166F"/>
    <w:rsid w:val="00DE1C0F"/>
    <w:rsid w:val="00DE2AD7"/>
    <w:rsid w:val="00DE2C19"/>
    <w:rsid w:val="00DE3111"/>
    <w:rsid w:val="00DE343A"/>
    <w:rsid w:val="00DE455E"/>
    <w:rsid w:val="00DE4629"/>
    <w:rsid w:val="00DE4945"/>
    <w:rsid w:val="00DE4DF1"/>
    <w:rsid w:val="00DE4F03"/>
    <w:rsid w:val="00DE65D1"/>
    <w:rsid w:val="00DE724A"/>
    <w:rsid w:val="00DE7D1E"/>
    <w:rsid w:val="00DF06D9"/>
    <w:rsid w:val="00DF070E"/>
    <w:rsid w:val="00DF0841"/>
    <w:rsid w:val="00DF0C37"/>
    <w:rsid w:val="00DF1F62"/>
    <w:rsid w:val="00DF2E12"/>
    <w:rsid w:val="00DF2FCE"/>
    <w:rsid w:val="00DF47E1"/>
    <w:rsid w:val="00DF490A"/>
    <w:rsid w:val="00DF514A"/>
    <w:rsid w:val="00DF5EAB"/>
    <w:rsid w:val="00DF6690"/>
    <w:rsid w:val="00DF6804"/>
    <w:rsid w:val="00DF6F21"/>
    <w:rsid w:val="00DF7142"/>
    <w:rsid w:val="00E00A3A"/>
    <w:rsid w:val="00E00A57"/>
    <w:rsid w:val="00E013F0"/>
    <w:rsid w:val="00E0358D"/>
    <w:rsid w:val="00E03999"/>
    <w:rsid w:val="00E03CE8"/>
    <w:rsid w:val="00E03EA8"/>
    <w:rsid w:val="00E04323"/>
    <w:rsid w:val="00E04D47"/>
    <w:rsid w:val="00E070A2"/>
    <w:rsid w:val="00E070BA"/>
    <w:rsid w:val="00E10380"/>
    <w:rsid w:val="00E10608"/>
    <w:rsid w:val="00E118AB"/>
    <w:rsid w:val="00E11E1B"/>
    <w:rsid w:val="00E13920"/>
    <w:rsid w:val="00E14ED6"/>
    <w:rsid w:val="00E171A5"/>
    <w:rsid w:val="00E17CB3"/>
    <w:rsid w:val="00E17ED7"/>
    <w:rsid w:val="00E2104B"/>
    <w:rsid w:val="00E21151"/>
    <w:rsid w:val="00E2117B"/>
    <w:rsid w:val="00E219D9"/>
    <w:rsid w:val="00E24688"/>
    <w:rsid w:val="00E25093"/>
    <w:rsid w:val="00E25AF6"/>
    <w:rsid w:val="00E25B59"/>
    <w:rsid w:val="00E26246"/>
    <w:rsid w:val="00E2656A"/>
    <w:rsid w:val="00E27180"/>
    <w:rsid w:val="00E27D91"/>
    <w:rsid w:val="00E30144"/>
    <w:rsid w:val="00E30E6A"/>
    <w:rsid w:val="00E31044"/>
    <w:rsid w:val="00E312D0"/>
    <w:rsid w:val="00E31C8B"/>
    <w:rsid w:val="00E321E9"/>
    <w:rsid w:val="00E33C2A"/>
    <w:rsid w:val="00E33C8A"/>
    <w:rsid w:val="00E33D74"/>
    <w:rsid w:val="00E350B3"/>
    <w:rsid w:val="00E37415"/>
    <w:rsid w:val="00E3795A"/>
    <w:rsid w:val="00E401EF"/>
    <w:rsid w:val="00E40658"/>
    <w:rsid w:val="00E406D0"/>
    <w:rsid w:val="00E40D13"/>
    <w:rsid w:val="00E412D0"/>
    <w:rsid w:val="00E42C02"/>
    <w:rsid w:val="00E43152"/>
    <w:rsid w:val="00E437F5"/>
    <w:rsid w:val="00E46B73"/>
    <w:rsid w:val="00E46FEC"/>
    <w:rsid w:val="00E4752D"/>
    <w:rsid w:val="00E47B3F"/>
    <w:rsid w:val="00E47BBE"/>
    <w:rsid w:val="00E50E57"/>
    <w:rsid w:val="00E519B5"/>
    <w:rsid w:val="00E51C7B"/>
    <w:rsid w:val="00E51DB1"/>
    <w:rsid w:val="00E52EE4"/>
    <w:rsid w:val="00E551C4"/>
    <w:rsid w:val="00E559CE"/>
    <w:rsid w:val="00E56097"/>
    <w:rsid w:val="00E56322"/>
    <w:rsid w:val="00E56621"/>
    <w:rsid w:val="00E60982"/>
    <w:rsid w:val="00E60E7F"/>
    <w:rsid w:val="00E61EA7"/>
    <w:rsid w:val="00E6255D"/>
    <w:rsid w:val="00E62C62"/>
    <w:rsid w:val="00E62C8D"/>
    <w:rsid w:val="00E63095"/>
    <w:rsid w:val="00E63329"/>
    <w:rsid w:val="00E63B0E"/>
    <w:rsid w:val="00E63F15"/>
    <w:rsid w:val="00E649B1"/>
    <w:rsid w:val="00E64F3E"/>
    <w:rsid w:val="00E654C1"/>
    <w:rsid w:val="00E65539"/>
    <w:rsid w:val="00E65D97"/>
    <w:rsid w:val="00E662FB"/>
    <w:rsid w:val="00E66DB9"/>
    <w:rsid w:val="00E66E19"/>
    <w:rsid w:val="00E66F98"/>
    <w:rsid w:val="00E67738"/>
    <w:rsid w:val="00E7062F"/>
    <w:rsid w:val="00E707B9"/>
    <w:rsid w:val="00E70934"/>
    <w:rsid w:val="00E70C0E"/>
    <w:rsid w:val="00E7147B"/>
    <w:rsid w:val="00E717AB"/>
    <w:rsid w:val="00E723D7"/>
    <w:rsid w:val="00E72A5A"/>
    <w:rsid w:val="00E7306A"/>
    <w:rsid w:val="00E73116"/>
    <w:rsid w:val="00E73354"/>
    <w:rsid w:val="00E749FE"/>
    <w:rsid w:val="00E749FF"/>
    <w:rsid w:val="00E75072"/>
    <w:rsid w:val="00E7539C"/>
    <w:rsid w:val="00E76278"/>
    <w:rsid w:val="00E77D63"/>
    <w:rsid w:val="00E8039A"/>
    <w:rsid w:val="00E81A66"/>
    <w:rsid w:val="00E82E7E"/>
    <w:rsid w:val="00E83272"/>
    <w:rsid w:val="00E84076"/>
    <w:rsid w:val="00E84BEA"/>
    <w:rsid w:val="00E860D6"/>
    <w:rsid w:val="00E86825"/>
    <w:rsid w:val="00E86A4D"/>
    <w:rsid w:val="00E86CE4"/>
    <w:rsid w:val="00E86F83"/>
    <w:rsid w:val="00E87476"/>
    <w:rsid w:val="00E875FC"/>
    <w:rsid w:val="00E9044E"/>
    <w:rsid w:val="00E909F3"/>
    <w:rsid w:val="00E91716"/>
    <w:rsid w:val="00E9242D"/>
    <w:rsid w:val="00E92C8D"/>
    <w:rsid w:val="00E939F0"/>
    <w:rsid w:val="00E93D03"/>
    <w:rsid w:val="00E93D99"/>
    <w:rsid w:val="00E946EE"/>
    <w:rsid w:val="00E948F3"/>
    <w:rsid w:val="00E95379"/>
    <w:rsid w:val="00E95958"/>
    <w:rsid w:val="00E95FEE"/>
    <w:rsid w:val="00E9698A"/>
    <w:rsid w:val="00E97A4D"/>
    <w:rsid w:val="00E97D70"/>
    <w:rsid w:val="00EA039F"/>
    <w:rsid w:val="00EA0E47"/>
    <w:rsid w:val="00EA129F"/>
    <w:rsid w:val="00EA3446"/>
    <w:rsid w:val="00EA54A6"/>
    <w:rsid w:val="00EA5F3C"/>
    <w:rsid w:val="00EA5FAF"/>
    <w:rsid w:val="00EA608B"/>
    <w:rsid w:val="00EA7C72"/>
    <w:rsid w:val="00EB151E"/>
    <w:rsid w:val="00EB2261"/>
    <w:rsid w:val="00EB315E"/>
    <w:rsid w:val="00EB31DD"/>
    <w:rsid w:val="00EB5255"/>
    <w:rsid w:val="00EB5C47"/>
    <w:rsid w:val="00EB7BB1"/>
    <w:rsid w:val="00EB7C40"/>
    <w:rsid w:val="00EC05A4"/>
    <w:rsid w:val="00EC2BAD"/>
    <w:rsid w:val="00EC4DEB"/>
    <w:rsid w:val="00EC554D"/>
    <w:rsid w:val="00EC5D5E"/>
    <w:rsid w:val="00EC765B"/>
    <w:rsid w:val="00EC7EA8"/>
    <w:rsid w:val="00ED0639"/>
    <w:rsid w:val="00ED0C7F"/>
    <w:rsid w:val="00ED172D"/>
    <w:rsid w:val="00ED195F"/>
    <w:rsid w:val="00ED4850"/>
    <w:rsid w:val="00ED59E5"/>
    <w:rsid w:val="00ED62D2"/>
    <w:rsid w:val="00ED662B"/>
    <w:rsid w:val="00ED6ACF"/>
    <w:rsid w:val="00ED6B06"/>
    <w:rsid w:val="00EE18D6"/>
    <w:rsid w:val="00EE4ED6"/>
    <w:rsid w:val="00EF025C"/>
    <w:rsid w:val="00EF1B00"/>
    <w:rsid w:val="00EF24A4"/>
    <w:rsid w:val="00EF289F"/>
    <w:rsid w:val="00EF2CFE"/>
    <w:rsid w:val="00EF4692"/>
    <w:rsid w:val="00EF4755"/>
    <w:rsid w:val="00EF50E7"/>
    <w:rsid w:val="00EF5595"/>
    <w:rsid w:val="00EF647C"/>
    <w:rsid w:val="00EF6E2E"/>
    <w:rsid w:val="00EF7135"/>
    <w:rsid w:val="00EF7478"/>
    <w:rsid w:val="00F000BF"/>
    <w:rsid w:val="00F0046A"/>
    <w:rsid w:val="00F015E6"/>
    <w:rsid w:val="00F02104"/>
    <w:rsid w:val="00F027DB"/>
    <w:rsid w:val="00F02E2A"/>
    <w:rsid w:val="00F0367A"/>
    <w:rsid w:val="00F04390"/>
    <w:rsid w:val="00F06505"/>
    <w:rsid w:val="00F071EF"/>
    <w:rsid w:val="00F07FE7"/>
    <w:rsid w:val="00F11F93"/>
    <w:rsid w:val="00F12CAD"/>
    <w:rsid w:val="00F14A7A"/>
    <w:rsid w:val="00F14E97"/>
    <w:rsid w:val="00F152A7"/>
    <w:rsid w:val="00F154F4"/>
    <w:rsid w:val="00F15927"/>
    <w:rsid w:val="00F16535"/>
    <w:rsid w:val="00F16EA4"/>
    <w:rsid w:val="00F174CA"/>
    <w:rsid w:val="00F2028A"/>
    <w:rsid w:val="00F21C27"/>
    <w:rsid w:val="00F22080"/>
    <w:rsid w:val="00F22985"/>
    <w:rsid w:val="00F23BBF"/>
    <w:rsid w:val="00F26227"/>
    <w:rsid w:val="00F317B6"/>
    <w:rsid w:val="00F3230B"/>
    <w:rsid w:val="00F32A0D"/>
    <w:rsid w:val="00F32E4B"/>
    <w:rsid w:val="00F3383E"/>
    <w:rsid w:val="00F347C4"/>
    <w:rsid w:val="00F35748"/>
    <w:rsid w:val="00F36154"/>
    <w:rsid w:val="00F36630"/>
    <w:rsid w:val="00F369A3"/>
    <w:rsid w:val="00F4317C"/>
    <w:rsid w:val="00F446CE"/>
    <w:rsid w:val="00F465A7"/>
    <w:rsid w:val="00F467E3"/>
    <w:rsid w:val="00F468DD"/>
    <w:rsid w:val="00F46BCF"/>
    <w:rsid w:val="00F47341"/>
    <w:rsid w:val="00F47923"/>
    <w:rsid w:val="00F504F1"/>
    <w:rsid w:val="00F50A86"/>
    <w:rsid w:val="00F50B7C"/>
    <w:rsid w:val="00F5137F"/>
    <w:rsid w:val="00F5195A"/>
    <w:rsid w:val="00F51CF4"/>
    <w:rsid w:val="00F51EF8"/>
    <w:rsid w:val="00F543E3"/>
    <w:rsid w:val="00F54C63"/>
    <w:rsid w:val="00F550E6"/>
    <w:rsid w:val="00F5549C"/>
    <w:rsid w:val="00F561F0"/>
    <w:rsid w:val="00F5656D"/>
    <w:rsid w:val="00F60356"/>
    <w:rsid w:val="00F60A99"/>
    <w:rsid w:val="00F615F2"/>
    <w:rsid w:val="00F61B1F"/>
    <w:rsid w:val="00F62BD5"/>
    <w:rsid w:val="00F63A84"/>
    <w:rsid w:val="00F65249"/>
    <w:rsid w:val="00F66700"/>
    <w:rsid w:val="00F67D7B"/>
    <w:rsid w:val="00F70B69"/>
    <w:rsid w:val="00F712C3"/>
    <w:rsid w:val="00F7299A"/>
    <w:rsid w:val="00F7365B"/>
    <w:rsid w:val="00F74345"/>
    <w:rsid w:val="00F744F3"/>
    <w:rsid w:val="00F768F0"/>
    <w:rsid w:val="00F77925"/>
    <w:rsid w:val="00F77DE8"/>
    <w:rsid w:val="00F77F5C"/>
    <w:rsid w:val="00F802AB"/>
    <w:rsid w:val="00F80A03"/>
    <w:rsid w:val="00F80A0A"/>
    <w:rsid w:val="00F8172C"/>
    <w:rsid w:val="00F827D5"/>
    <w:rsid w:val="00F82B19"/>
    <w:rsid w:val="00F82D84"/>
    <w:rsid w:val="00F82EAC"/>
    <w:rsid w:val="00F83CED"/>
    <w:rsid w:val="00F847C9"/>
    <w:rsid w:val="00F84EF9"/>
    <w:rsid w:val="00F84FBE"/>
    <w:rsid w:val="00F85418"/>
    <w:rsid w:val="00F86EA9"/>
    <w:rsid w:val="00F87614"/>
    <w:rsid w:val="00F9212D"/>
    <w:rsid w:val="00F921A2"/>
    <w:rsid w:val="00F93BF1"/>
    <w:rsid w:val="00F94ACB"/>
    <w:rsid w:val="00F965DA"/>
    <w:rsid w:val="00FA15BA"/>
    <w:rsid w:val="00FA3342"/>
    <w:rsid w:val="00FA406A"/>
    <w:rsid w:val="00FA661D"/>
    <w:rsid w:val="00FB3414"/>
    <w:rsid w:val="00FB38C7"/>
    <w:rsid w:val="00FB3F11"/>
    <w:rsid w:val="00FB503A"/>
    <w:rsid w:val="00FB516C"/>
    <w:rsid w:val="00FB5F8C"/>
    <w:rsid w:val="00FC0DE6"/>
    <w:rsid w:val="00FC1C41"/>
    <w:rsid w:val="00FC26A6"/>
    <w:rsid w:val="00FC2DF0"/>
    <w:rsid w:val="00FC460B"/>
    <w:rsid w:val="00FC5C56"/>
    <w:rsid w:val="00FC6636"/>
    <w:rsid w:val="00FC7992"/>
    <w:rsid w:val="00FD0236"/>
    <w:rsid w:val="00FD03DF"/>
    <w:rsid w:val="00FD18F4"/>
    <w:rsid w:val="00FD25E5"/>
    <w:rsid w:val="00FD3C95"/>
    <w:rsid w:val="00FD3FEE"/>
    <w:rsid w:val="00FD40CC"/>
    <w:rsid w:val="00FD51DD"/>
    <w:rsid w:val="00FD54DB"/>
    <w:rsid w:val="00FD58AE"/>
    <w:rsid w:val="00FD5F22"/>
    <w:rsid w:val="00FD619F"/>
    <w:rsid w:val="00FD67D8"/>
    <w:rsid w:val="00FD7064"/>
    <w:rsid w:val="00FD7BF9"/>
    <w:rsid w:val="00FD7D44"/>
    <w:rsid w:val="00FE04A3"/>
    <w:rsid w:val="00FE0C90"/>
    <w:rsid w:val="00FE1332"/>
    <w:rsid w:val="00FE162C"/>
    <w:rsid w:val="00FE25AB"/>
    <w:rsid w:val="00FE4B0A"/>
    <w:rsid w:val="00FE501E"/>
    <w:rsid w:val="00FE50E0"/>
    <w:rsid w:val="00FE7BB5"/>
    <w:rsid w:val="00FF0C35"/>
    <w:rsid w:val="00FF1619"/>
    <w:rsid w:val="00FF1ACB"/>
    <w:rsid w:val="00FF26DE"/>
    <w:rsid w:val="00FF2905"/>
    <w:rsid w:val="00FF2D40"/>
    <w:rsid w:val="00FF3501"/>
    <w:rsid w:val="00FF38E7"/>
    <w:rsid w:val="00FF6AAD"/>
    <w:rsid w:val="00FF6C71"/>
    <w:rsid w:val="00FF7B2E"/>
    <w:rsid w:val="01290F7E"/>
    <w:rsid w:val="015D1E09"/>
    <w:rsid w:val="01BC3CDF"/>
    <w:rsid w:val="02405AEF"/>
    <w:rsid w:val="02697903"/>
    <w:rsid w:val="02F96569"/>
    <w:rsid w:val="03EA7B21"/>
    <w:rsid w:val="04357C74"/>
    <w:rsid w:val="05B5595B"/>
    <w:rsid w:val="05F83EAE"/>
    <w:rsid w:val="063E7D85"/>
    <w:rsid w:val="07293586"/>
    <w:rsid w:val="07295285"/>
    <w:rsid w:val="07636392"/>
    <w:rsid w:val="07770C56"/>
    <w:rsid w:val="08772A3E"/>
    <w:rsid w:val="09130805"/>
    <w:rsid w:val="092217DD"/>
    <w:rsid w:val="093A7294"/>
    <w:rsid w:val="099C48D8"/>
    <w:rsid w:val="0A231A2D"/>
    <w:rsid w:val="0A263993"/>
    <w:rsid w:val="0A2D3AC2"/>
    <w:rsid w:val="0A573310"/>
    <w:rsid w:val="0AA755DF"/>
    <w:rsid w:val="0AD835F6"/>
    <w:rsid w:val="0B120D44"/>
    <w:rsid w:val="0B4310D9"/>
    <w:rsid w:val="0BD27BF6"/>
    <w:rsid w:val="0C32005C"/>
    <w:rsid w:val="0C3B3C7D"/>
    <w:rsid w:val="0CAB2EAE"/>
    <w:rsid w:val="0D621C7D"/>
    <w:rsid w:val="0E73034D"/>
    <w:rsid w:val="0F13775A"/>
    <w:rsid w:val="0F5F45FE"/>
    <w:rsid w:val="0F9A112B"/>
    <w:rsid w:val="106D2F64"/>
    <w:rsid w:val="10B63710"/>
    <w:rsid w:val="10CE7031"/>
    <w:rsid w:val="10F10820"/>
    <w:rsid w:val="111C2F7A"/>
    <w:rsid w:val="11665CA1"/>
    <w:rsid w:val="12D35019"/>
    <w:rsid w:val="130801AC"/>
    <w:rsid w:val="13951726"/>
    <w:rsid w:val="13E127C4"/>
    <w:rsid w:val="13F1232B"/>
    <w:rsid w:val="14396509"/>
    <w:rsid w:val="14DD2C3C"/>
    <w:rsid w:val="16087E1D"/>
    <w:rsid w:val="16144621"/>
    <w:rsid w:val="16C43650"/>
    <w:rsid w:val="17701D14"/>
    <w:rsid w:val="17735226"/>
    <w:rsid w:val="188E08AB"/>
    <w:rsid w:val="189F624C"/>
    <w:rsid w:val="18F243DE"/>
    <w:rsid w:val="19080D02"/>
    <w:rsid w:val="19197F55"/>
    <w:rsid w:val="1A14176B"/>
    <w:rsid w:val="1A1C66C0"/>
    <w:rsid w:val="1A42393B"/>
    <w:rsid w:val="1A6619C7"/>
    <w:rsid w:val="1A7C646E"/>
    <w:rsid w:val="1A7D5E62"/>
    <w:rsid w:val="1AAD45DE"/>
    <w:rsid w:val="1B046F80"/>
    <w:rsid w:val="1B3267B5"/>
    <w:rsid w:val="1B40161D"/>
    <w:rsid w:val="1B441859"/>
    <w:rsid w:val="1B6606B1"/>
    <w:rsid w:val="1C0A1AF3"/>
    <w:rsid w:val="1C5E7925"/>
    <w:rsid w:val="1CEB41EA"/>
    <w:rsid w:val="1CFD070F"/>
    <w:rsid w:val="1D452D77"/>
    <w:rsid w:val="1D5F6196"/>
    <w:rsid w:val="1D6132A5"/>
    <w:rsid w:val="1D8E56D5"/>
    <w:rsid w:val="1D94309B"/>
    <w:rsid w:val="1E093AD8"/>
    <w:rsid w:val="1E7A43DA"/>
    <w:rsid w:val="1ECE2188"/>
    <w:rsid w:val="1F823A1F"/>
    <w:rsid w:val="1FE50C72"/>
    <w:rsid w:val="1FE55795"/>
    <w:rsid w:val="1FE7539E"/>
    <w:rsid w:val="1FF8621B"/>
    <w:rsid w:val="200033A6"/>
    <w:rsid w:val="20671BE0"/>
    <w:rsid w:val="20963CB8"/>
    <w:rsid w:val="20A81A1B"/>
    <w:rsid w:val="20B07FB6"/>
    <w:rsid w:val="20B646FB"/>
    <w:rsid w:val="213B74B1"/>
    <w:rsid w:val="215A2310"/>
    <w:rsid w:val="21DE318A"/>
    <w:rsid w:val="21EF5B80"/>
    <w:rsid w:val="222009F8"/>
    <w:rsid w:val="2221732F"/>
    <w:rsid w:val="22576990"/>
    <w:rsid w:val="22F47480"/>
    <w:rsid w:val="23210EF4"/>
    <w:rsid w:val="23DE1C48"/>
    <w:rsid w:val="240210CD"/>
    <w:rsid w:val="24795462"/>
    <w:rsid w:val="24BF09F7"/>
    <w:rsid w:val="252D53FE"/>
    <w:rsid w:val="253D4A62"/>
    <w:rsid w:val="256C7E4D"/>
    <w:rsid w:val="25BB05BD"/>
    <w:rsid w:val="25EC2D81"/>
    <w:rsid w:val="267F052C"/>
    <w:rsid w:val="26B76D45"/>
    <w:rsid w:val="26ED1159"/>
    <w:rsid w:val="274E598F"/>
    <w:rsid w:val="277057A2"/>
    <w:rsid w:val="28A75ADB"/>
    <w:rsid w:val="28ED1615"/>
    <w:rsid w:val="29206EB8"/>
    <w:rsid w:val="29595666"/>
    <w:rsid w:val="29874881"/>
    <w:rsid w:val="29E325E0"/>
    <w:rsid w:val="2A452503"/>
    <w:rsid w:val="2A6C0121"/>
    <w:rsid w:val="2B104792"/>
    <w:rsid w:val="2B1D1F5D"/>
    <w:rsid w:val="2B58030E"/>
    <w:rsid w:val="2BA936A8"/>
    <w:rsid w:val="2C315A5A"/>
    <w:rsid w:val="2C4B1C25"/>
    <w:rsid w:val="2C896C2C"/>
    <w:rsid w:val="2D9E56F5"/>
    <w:rsid w:val="2E667F96"/>
    <w:rsid w:val="2E8226AB"/>
    <w:rsid w:val="2EBB3A82"/>
    <w:rsid w:val="2ED54D05"/>
    <w:rsid w:val="2FD065E6"/>
    <w:rsid w:val="2FD96870"/>
    <w:rsid w:val="30465C00"/>
    <w:rsid w:val="30580BC9"/>
    <w:rsid w:val="311E2ED7"/>
    <w:rsid w:val="315619EE"/>
    <w:rsid w:val="315C449C"/>
    <w:rsid w:val="31614A58"/>
    <w:rsid w:val="31B82709"/>
    <w:rsid w:val="31D05482"/>
    <w:rsid w:val="32400B34"/>
    <w:rsid w:val="329E6876"/>
    <w:rsid w:val="333015F2"/>
    <w:rsid w:val="333D4A97"/>
    <w:rsid w:val="334B6320"/>
    <w:rsid w:val="33D934D4"/>
    <w:rsid w:val="33FE2F6A"/>
    <w:rsid w:val="340E07E5"/>
    <w:rsid w:val="34235BF7"/>
    <w:rsid w:val="34BF6C7C"/>
    <w:rsid w:val="34E74CEA"/>
    <w:rsid w:val="350F2D4E"/>
    <w:rsid w:val="358C5FA8"/>
    <w:rsid w:val="35C15DF1"/>
    <w:rsid w:val="36074A7F"/>
    <w:rsid w:val="36923549"/>
    <w:rsid w:val="36B75FBF"/>
    <w:rsid w:val="36BD0C45"/>
    <w:rsid w:val="37E00298"/>
    <w:rsid w:val="387231A4"/>
    <w:rsid w:val="38896B4E"/>
    <w:rsid w:val="38B302F9"/>
    <w:rsid w:val="38EC3D93"/>
    <w:rsid w:val="38F12CD3"/>
    <w:rsid w:val="38F94775"/>
    <w:rsid w:val="390123DD"/>
    <w:rsid w:val="392971ED"/>
    <w:rsid w:val="39325651"/>
    <w:rsid w:val="3A506000"/>
    <w:rsid w:val="3A872856"/>
    <w:rsid w:val="3A9E43FF"/>
    <w:rsid w:val="3B3763D1"/>
    <w:rsid w:val="3C2F6E1E"/>
    <w:rsid w:val="3C4F64BA"/>
    <w:rsid w:val="3CDA245A"/>
    <w:rsid w:val="3D1E06B7"/>
    <w:rsid w:val="3EDA0523"/>
    <w:rsid w:val="407A6407"/>
    <w:rsid w:val="4148796E"/>
    <w:rsid w:val="41B27000"/>
    <w:rsid w:val="41DA29DF"/>
    <w:rsid w:val="4200449D"/>
    <w:rsid w:val="422A04CA"/>
    <w:rsid w:val="422C681A"/>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28677D"/>
    <w:rsid w:val="46577FD6"/>
    <w:rsid w:val="466B3583"/>
    <w:rsid w:val="466D0505"/>
    <w:rsid w:val="46D955A7"/>
    <w:rsid w:val="47133957"/>
    <w:rsid w:val="476E334C"/>
    <w:rsid w:val="47A07E0C"/>
    <w:rsid w:val="47BC6618"/>
    <w:rsid w:val="4870272E"/>
    <w:rsid w:val="495B55E9"/>
    <w:rsid w:val="49DC7715"/>
    <w:rsid w:val="4A023139"/>
    <w:rsid w:val="4A5117E2"/>
    <w:rsid w:val="4A601EBD"/>
    <w:rsid w:val="4A7B576F"/>
    <w:rsid w:val="4AC96961"/>
    <w:rsid w:val="4AF561A9"/>
    <w:rsid w:val="4B0B7417"/>
    <w:rsid w:val="4B815682"/>
    <w:rsid w:val="4C4A0649"/>
    <w:rsid w:val="4C7E5ECA"/>
    <w:rsid w:val="4C876AA5"/>
    <w:rsid w:val="4D0E00FB"/>
    <w:rsid w:val="4D176606"/>
    <w:rsid w:val="4DEC4FB0"/>
    <w:rsid w:val="4E075D8A"/>
    <w:rsid w:val="4EC00FAD"/>
    <w:rsid w:val="4F0301D7"/>
    <w:rsid w:val="4F18723B"/>
    <w:rsid w:val="4F696E17"/>
    <w:rsid w:val="4F9843DC"/>
    <w:rsid w:val="4FC62A8C"/>
    <w:rsid w:val="4FE20F0D"/>
    <w:rsid w:val="4FE51552"/>
    <w:rsid w:val="50504C4B"/>
    <w:rsid w:val="509C6E7C"/>
    <w:rsid w:val="5162104E"/>
    <w:rsid w:val="53A039CC"/>
    <w:rsid w:val="53A1505A"/>
    <w:rsid w:val="53E33C93"/>
    <w:rsid w:val="54063E08"/>
    <w:rsid w:val="543437E8"/>
    <w:rsid w:val="54F73313"/>
    <w:rsid w:val="54F80955"/>
    <w:rsid w:val="550E3D7A"/>
    <w:rsid w:val="555170A7"/>
    <w:rsid w:val="5587536D"/>
    <w:rsid w:val="559B174B"/>
    <w:rsid w:val="55CE0CF4"/>
    <w:rsid w:val="56B22A9C"/>
    <w:rsid w:val="57B23863"/>
    <w:rsid w:val="57B72A76"/>
    <w:rsid w:val="57C3426C"/>
    <w:rsid w:val="57CE1F93"/>
    <w:rsid w:val="58047D50"/>
    <w:rsid w:val="58125024"/>
    <w:rsid w:val="588743D1"/>
    <w:rsid w:val="5887701A"/>
    <w:rsid w:val="58995F43"/>
    <w:rsid w:val="59C0439F"/>
    <w:rsid w:val="5ABE2233"/>
    <w:rsid w:val="5AFF5DF9"/>
    <w:rsid w:val="5BB55277"/>
    <w:rsid w:val="5BDF5D95"/>
    <w:rsid w:val="5BDF7595"/>
    <w:rsid w:val="5BFE7528"/>
    <w:rsid w:val="5CC0096F"/>
    <w:rsid w:val="5E2467F1"/>
    <w:rsid w:val="5EAA0EBE"/>
    <w:rsid w:val="5F1A2B43"/>
    <w:rsid w:val="5FB837BB"/>
    <w:rsid w:val="5FEA1C7F"/>
    <w:rsid w:val="60CC405A"/>
    <w:rsid w:val="61E215D8"/>
    <w:rsid w:val="621B3775"/>
    <w:rsid w:val="62364782"/>
    <w:rsid w:val="626E5C2D"/>
    <w:rsid w:val="6394356A"/>
    <w:rsid w:val="63C61B2C"/>
    <w:rsid w:val="63D40BE9"/>
    <w:rsid w:val="64102431"/>
    <w:rsid w:val="64A5243A"/>
    <w:rsid w:val="64F531DE"/>
    <w:rsid w:val="65373578"/>
    <w:rsid w:val="65475562"/>
    <w:rsid w:val="662733B6"/>
    <w:rsid w:val="671F124A"/>
    <w:rsid w:val="677A33C6"/>
    <w:rsid w:val="681F6961"/>
    <w:rsid w:val="68610A2F"/>
    <w:rsid w:val="68805514"/>
    <w:rsid w:val="69316E2F"/>
    <w:rsid w:val="69395AA9"/>
    <w:rsid w:val="694E2071"/>
    <w:rsid w:val="69766163"/>
    <w:rsid w:val="697A3B33"/>
    <w:rsid w:val="69D44760"/>
    <w:rsid w:val="6A520EC7"/>
    <w:rsid w:val="6A833B58"/>
    <w:rsid w:val="6AAB1A1A"/>
    <w:rsid w:val="6AF87E20"/>
    <w:rsid w:val="6B322639"/>
    <w:rsid w:val="6B3B3E09"/>
    <w:rsid w:val="6B894B46"/>
    <w:rsid w:val="6BEF4999"/>
    <w:rsid w:val="6C636C38"/>
    <w:rsid w:val="6CAD6B53"/>
    <w:rsid w:val="6DB34098"/>
    <w:rsid w:val="6DB545B6"/>
    <w:rsid w:val="6DE02FB4"/>
    <w:rsid w:val="6E514CED"/>
    <w:rsid w:val="6E8A0B07"/>
    <w:rsid w:val="6EB563D5"/>
    <w:rsid w:val="6ED92677"/>
    <w:rsid w:val="6F1A1797"/>
    <w:rsid w:val="6F225983"/>
    <w:rsid w:val="6FFC5590"/>
    <w:rsid w:val="706D1DD0"/>
    <w:rsid w:val="70856B87"/>
    <w:rsid w:val="70A83E7A"/>
    <w:rsid w:val="70C5363C"/>
    <w:rsid w:val="70D527EE"/>
    <w:rsid w:val="715B5300"/>
    <w:rsid w:val="71A77B84"/>
    <w:rsid w:val="71D27F8A"/>
    <w:rsid w:val="72553024"/>
    <w:rsid w:val="72AF4027"/>
    <w:rsid w:val="73122968"/>
    <w:rsid w:val="731756F2"/>
    <w:rsid w:val="731F5D5E"/>
    <w:rsid w:val="738F3796"/>
    <w:rsid w:val="73A66F6B"/>
    <w:rsid w:val="73C51AD5"/>
    <w:rsid w:val="741E793C"/>
    <w:rsid w:val="745E3944"/>
    <w:rsid w:val="749E27ED"/>
    <w:rsid w:val="74DC2354"/>
    <w:rsid w:val="75826E68"/>
    <w:rsid w:val="7635099D"/>
    <w:rsid w:val="77762421"/>
    <w:rsid w:val="77B56B1F"/>
    <w:rsid w:val="780F09F4"/>
    <w:rsid w:val="781A541B"/>
    <w:rsid w:val="787C4BBB"/>
    <w:rsid w:val="78A90480"/>
    <w:rsid w:val="7A364017"/>
    <w:rsid w:val="7A8265E1"/>
    <w:rsid w:val="7B686D42"/>
    <w:rsid w:val="7B841746"/>
    <w:rsid w:val="7B956126"/>
    <w:rsid w:val="7C6C5AC7"/>
    <w:rsid w:val="7CC6544B"/>
    <w:rsid w:val="7CFE249F"/>
    <w:rsid w:val="7D0239FF"/>
    <w:rsid w:val="7D5E40CD"/>
    <w:rsid w:val="7DCD56F2"/>
    <w:rsid w:val="7F001CE7"/>
    <w:rsid w:val="7FAB78DE"/>
    <w:rsid w:val="7FBA682D"/>
    <w:rsid w:val="7FBD69E4"/>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99"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qFormat="1"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qFormat="1"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uiPriority="1" w:semiHidden="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99" w:semiHidden="0" w:name="Date"/>
    <w:lsdException w:qFormat="1" w:unhideWhenUsed="0" w:uiPriority="0" w:semiHidden="0" w:name="Body Text First Indent" w:locked="1"/>
    <w:lsdException w:qFormat="1" w:unhideWhenUsed="0" w:uiPriority="99" w:semiHidden="0" w:name="Body Text First Indent 2" w:locked="1"/>
    <w:lsdException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iPriority="99" w:semiHidden="0" w:name="Hyperlink" w:locked="1"/>
    <w:lsdException w:qFormat="1" w:unhideWhenUsed="0" w:uiPriority="0" w:semiHidden="0" w:name="FollowedHyperlink" w:locked="1"/>
    <w:lsdException w:qFormat="1" w:unhideWhenUsed="0" w:uiPriority="0" w:semiHidden="0" w:name="Strong" w:locked="1"/>
    <w:lsdException w:qFormat="1" w:unhideWhenUsed="0" w:uiPriority="2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qFormat="1" w:unhideWhenUsed="0" w:uiPriority="0" w:semiHidden="0" w:name="HTML Acronym" w:locked="1"/>
    <w:lsdException w:unhideWhenUsed="0" w:uiPriority="0" w:semiHidden="0" w:name="HTML Address" w:locked="1"/>
    <w:lsdException w:qFormat="1" w:unhideWhenUsed="0" w:uiPriority="0" w:semiHidden="0" w:name="HTML Cite" w:locked="1"/>
    <w:lsdException w:qFormat="1" w:unhideWhenUsed="0" w:uiPriority="0" w:semiHidden="0" w:name="HTML Code" w:locked="1"/>
    <w:lsdException w:qFormat="1" w:unhideWhenUsed="0" w:uiPriority="0" w:semiHidden="0" w:name="HTML Definition" w:locked="1"/>
    <w:lsdException w:qFormat="1" w:unhideWhenUsed="0" w:uiPriority="0" w:semiHidden="0" w:name="HTML Keyboard" w:locked="1"/>
    <w:lsdException w:unhideWhenUsed="0" w:uiPriority="0" w:semiHidden="0" w:name="HTML Preformatted" w:locked="1"/>
    <w:lsdException w:qFormat="1" w:unhideWhenUsed="0" w:uiPriority="0" w:semiHidden="0" w:name="HTML Sample" w:locked="1"/>
    <w:lsdException w:unhideWhenUsed="0" w:uiPriority="0" w:semiHidden="0" w:name="HTML Typewriter" w:locked="1"/>
    <w:lsdException w:qFormat="1" w:unhideWhenUsed="0" w:uiPriority="0" w:semiHidden="0" w:name="HTML Variable" w:locked="1"/>
    <w:lsdException w:uiPriority="99" w:semiHidden="0"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qFormat="1" w:unhideWhenUsed="0" w:uiPriority="0" w:semiHidden="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99" w:semiHidden="0" w:name="Table Grid"/>
    <w:lsdException w:qFormat="1" w:unhideWhenUsed="0" w:uiPriority="0" w:semiHidden="0"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1"/>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52"/>
    <w:qFormat/>
    <w:locked/>
    <w:uiPriority w:val="0"/>
    <w:pPr>
      <w:keepNext/>
      <w:keepLines/>
      <w:spacing w:before="260" w:after="260" w:line="413" w:lineRule="auto"/>
      <w:outlineLvl w:val="1"/>
    </w:pPr>
    <w:rPr>
      <w:rFonts w:ascii="Arial" w:hAnsi="Arial" w:eastAsia="黑体"/>
      <w:b/>
      <w:sz w:val="32"/>
    </w:rPr>
  </w:style>
  <w:style w:type="paragraph" w:styleId="5">
    <w:name w:val="heading 3"/>
    <w:basedOn w:val="1"/>
    <w:next w:val="1"/>
    <w:link w:val="53"/>
    <w:qFormat/>
    <w:locked/>
    <w:uiPriority w:val="99"/>
    <w:pPr>
      <w:autoSpaceDE w:val="0"/>
      <w:autoSpaceDN w:val="0"/>
      <w:adjustRightInd w:val="0"/>
      <w:jc w:val="left"/>
      <w:outlineLvl w:val="2"/>
    </w:pPr>
    <w:rPr>
      <w:rFonts w:ascii="宋体"/>
      <w:kern w:val="0"/>
      <w:sz w:val="24"/>
    </w:rPr>
  </w:style>
  <w:style w:type="paragraph" w:styleId="6">
    <w:name w:val="heading 4"/>
    <w:basedOn w:val="1"/>
    <w:next w:val="1"/>
    <w:link w:val="54"/>
    <w:qFormat/>
    <w:locked/>
    <w:uiPriority w:val="0"/>
    <w:pPr>
      <w:keepNext/>
      <w:keepLines/>
      <w:spacing w:before="280" w:after="290" w:line="376" w:lineRule="auto"/>
      <w:outlineLvl w:val="3"/>
    </w:pPr>
    <w:rPr>
      <w:rFonts w:ascii="Calibri Light" w:hAnsi="Calibri Light" w:eastAsia="宋体" w:cs="Times New Roman"/>
      <w:b/>
      <w:bCs/>
      <w:sz w:val="28"/>
      <w:szCs w:val="28"/>
    </w:rPr>
  </w:style>
  <w:style w:type="character" w:default="1" w:styleId="36">
    <w:name w:val="Default Paragraph Font"/>
    <w:unhideWhenUsed/>
    <w:uiPriority w:val="1"/>
  </w:style>
  <w:style w:type="table" w:default="1" w:styleId="32">
    <w:name w:val="Normal Table"/>
    <w:unhideWhenUsed/>
    <w:uiPriority w:val="99"/>
    <w:tblPr>
      <w:tblCellMar>
        <w:top w:w="0" w:type="dxa"/>
        <w:left w:w="108" w:type="dxa"/>
        <w:bottom w:w="0" w:type="dxa"/>
        <w:right w:w="108" w:type="dxa"/>
      </w:tblCellMar>
    </w:tblPr>
  </w:style>
  <w:style w:type="paragraph" w:styleId="2">
    <w:name w:val="Body Text"/>
    <w:basedOn w:val="1"/>
    <w:link w:val="50"/>
    <w:qFormat/>
    <w:uiPriority w:val="99"/>
    <w:pPr>
      <w:widowControl/>
      <w:snapToGrid w:val="0"/>
      <w:spacing w:before="60" w:after="160" w:line="259" w:lineRule="auto"/>
      <w:ind w:right="113"/>
    </w:pPr>
    <w:rPr>
      <w:kern w:val="0"/>
      <w:sz w:val="18"/>
      <w:szCs w:val="20"/>
    </w:rPr>
  </w:style>
  <w:style w:type="paragraph" w:styleId="7">
    <w:name w:val="Normal Indent"/>
    <w:basedOn w:val="1"/>
    <w:link w:val="55"/>
    <w:locked/>
    <w:uiPriority w:val="0"/>
    <w:pPr>
      <w:ind w:firstLine="420"/>
    </w:pPr>
    <w:rPr>
      <w:szCs w:val="21"/>
    </w:rPr>
  </w:style>
  <w:style w:type="paragraph" w:styleId="8">
    <w:name w:val="caption"/>
    <w:basedOn w:val="1"/>
    <w:next w:val="1"/>
    <w:qFormat/>
    <w:locked/>
    <w:uiPriority w:val="0"/>
    <w:pPr>
      <w:autoSpaceDE w:val="0"/>
      <w:autoSpaceDN w:val="0"/>
      <w:adjustRightInd w:val="0"/>
      <w:spacing w:before="120" w:line="288" w:lineRule="auto"/>
      <w:jc w:val="left"/>
      <w:textAlignment w:val="baseline"/>
    </w:pPr>
    <w:rPr>
      <w:rFonts w:eastAsia="黑体"/>
      <w:kern w:val="0"/>
      <w:sz w:val="24"/>
      <w:szCs w:val="20"/>
    </w:rPr>
  </w:style>
  <w:style w:type="paragraph" w:styleId="9">
    <w:name w:val="Document Map"/>
    <w:basedOn w:val="1"/>
    <w:link w:val="56"/>
    <w:qFormat/>
    <w:locked/>
    <w:uiPriority w:val="0"/>
    <w:pPr>
      <w:shd w:val="clear" w:color="auto" w:fill="000080"/>
    </w:pPr>
  </w:style>
  <w:style w:type="paragraph" w:styleId="10">
    <w:name w:val="toa heading"/>
    <w:basedOn w:val="1"/>
    <w:next w:val="1"/>
    <w:qFormat/>
    <w:locked/>
    <w:uiPriority w:val="0"/>
    <w:pPr>
      <w:spacing w:before="120"/>
    </w:pPr>
    <w:rPr>
      <w:rFonts w:ascii="Arial" w:hAnsi="Arial" w:cs="Arial"/>
    </w:rPr>
  </w:style>
  <w:style w:type="paragraph" w:styleId="11">
    <w:name w:val="annotation text"/>
    <w:basedOn w:val="1"/>
    <w:link w:val="57"/>
    <w:qFormat/>
    <w:uiPriority w:val="0"/>
    <w:pPr>
      <w:jc w:val="left"/>
    </w:pPr>
    <w:rPr>
      <w:kern w:val="0"/>
      <w:sz w:val="24"/>
      <w:szCs w:val="20"/>
    </w:rPr>
  </w:style>
  <w:style w:type="paragraph" w:styleId="12">
    <w:name w:val="Body Text 3"/>
    <w:basedOn w:val="1"/>
    <w:link w:val="58"/>
    <w:qFormat/>
    <w:locked/>
    <w:uiPriority w:val="0"/>
    <w:pPr>
      <w:spacing w:line="300" w:lineRule="exact"/>
    </w:pPr>
    <w:rPr>
      <w:rFonts w:hAnsi="宋体"/>
      <w:color w:val="000000"/>
    </w:rPr>
  </w:style>
  <w:style w:type="paragraph" w:styleId="13">
    <w:name w:val="Body Text Indent"/>
    <w:basedOn w:val="1"/>
    <w:link w:val="59"/>
    <w:qFormat/>
    <w:uiPriority w:val="0"/>
    <w:pPr>
      <w:spacing w:after="120"/>
      <w:ind w:left="420" w:leftChars="200"/>
    </w:pPr>
    <w:rPr>
      <w:kern w:val="0"/>
      <w:sz w:val="24"/>
      <w:szCs w:val="20"/>
    </w:rPr>
  </w:style>
  <w:style w:type="paragraph" w:styleId="14">
    <w:name w:val="List 2"/>
    <w:basedOn w:val="1"/>
    <w:qFormat/>
    <w:locked/>
    <w:uiPriority w:val="0"/>
    <w:pPr>
      <w:ind w:left="100" w:leftChars="200" w:hanging="200" w:hangingChars="200"/>
      <w:contextualSpacing/>
    </w:pPr>
  </w:style>
  <w:style w:type="paragraph" w:styleId="15">
    <w:name w:val="Block Text"/>
    <w:basedOn w:val="1"/>
    <w:qFormat/>
    <w:locked/>
    <w:uiPriority w:val="0"/>
    <w:pPr>
      <w:spacing w:line="500" w:lineRule="exact"/>
      <w:ind w:left="420" w:right="340" w:firstLine="570"/>
    </w:pPr>
    <w:rPr>
      <w:rFonts w:ascii="宋体"/>
      <w:sz w:val="28"/>
      <w:szCs w:val="20"/>
    </w:rPr>
  </w:style>
  <w:style w:type="paragraph" w:styleId="16">
    <w:name w:val="toc 3"/>
    <w:basedOn w:val="1"/>
    <w:next w:val="1"/>
    <w:qFormat/>
    <w:locked/>
    <w:uiPriority w:val="39"/>
    <w:pPr>
      <w:ind w:left="840" w:leftChars="400"/>
    </w:pPr>
  </w:style>
  <w:style w:type="paragraph" w:styleId="17">
    <w:name w:val="Plain Text"/>
    <w:basedOn w:val="1"/>
    <w:next w:val="1"/>
    <w:link w:val="60"/>
    <w:qFormat/>
    <w:locked/>
    <w:uiPriority w:val="0"/>
    <w:rPr>
      <w:rFonts w:ascii="宋体" w:hAnsi="Courier New"/>
    </w:rPr>
  </w:style>
  <w:style w:type="paragraph" w:styleId="18">
    <w:name w:val="Date"/>
    <w:basedOn w:val="1"/>
    <w:next w:val="1"/>
    <w:link w:val="61"/>
    <w:qFormat/>
    <w:uiPriority w:val="99"/>
    <w:pPr>
      <w:ind w:left="100" w:leftChars="2500"/>
    </w:pPr>
    <w:rPr>
      <w:kern w:val="0"/>
      <w:sz w:val="24"/>
      <w:szCs w:val="20"/>
    </w:rPr>
  </w:style>
  <w:style w:type="paragraph" w:styleId="19">
    <w:name w:val="Body Text Indent 2"/>
    <w:basedOn w:val="1"/>
    <w:next w:val="1"/>
    <w:link w:val="62"/>
    <w:qFormat/>
    <w:locked/>
    <w:uiPriority w:val="0"/>
    <w:pPr>
      <w:adjustRightInd w:val="0"/>
      <w:snapToGrid w:val="0"/>
      <w:spacing w:line="440" w:lineRule="atLeast"/>
      <w:ind w:firstLine="573"/>
    </w:pPr>
    <w:rPr>
      <w:rFonts w:ascii="宋体"/>
    </w:rPr>
  </w:style>
  <w:style w:type="paragraph" w:styleId="20">
    <w:name w:val="Balloon Text"/>
    <w:basedOn w:val="1"/>
    <w:link w:val="63"/>
    <w:qFormat/>
    <w:uiPriority w:val="0"/>
    <w:rPr>
      <w:kern w:val="0"/>
      <w:sz w:val="18"/>
      <w:szCs w:val="20"/>
    </w:rPr>
  </w:style>
  <w:style w:type="paragraph" w:styleId="21">
    <w:name w:val="footer"/>
    <w:basedOn w:val="1"/>
    <w:link w:val="64"/>
    <w:qFormat/>
    <w:uiPriority w:val="99"/>
    <w:pPr>
      <w:tabs>
        <w:tab w:val="center" w:pos="4153"/>
        <w:tab w:val="right" w:pos="8306"/>
      </w:tabs>
      <w:snapToGrid w:val="0"/>
      <w:jc w:val="left"/>
    </w:pPr>
    <w:rPr>
      <w:kern w:val="0"/>
      <w:sz w:val="18"/>
      <w:szCs w:val="20"/>
    </w:rPr>
  </w:style>
  <w:style w:type="paragraph" w:styleId="22">
    <w:name w:val="header"/>
    <w:basedOn w:val="1"/>
    <w:link w:val="65"/>
    <w:qFormat/>
    <w:uiPriority w:val="0"/>
    <w:pPr>
      <w:pBdr>
        <w:bottom w:val="single" w:color="auto" w:sz="6" w:space="1"/>
      </w:pBdr>
      <w:tabs>
        <w:tab w:val="center" w:pos="4153"/>
        <w:tab w:val="right" w:pos="8306"/>
      </w:tabs>
      <w:snapToGrid w:val="0"/>
      <w:jc w:val="center"/>
    </w:pPr>
    <w:rPr>
      <w:kern w:val="0"/>
      <w:sz w:val="18"/>
      <w:szCs w:val="20"/>
    </w:rPr>
  </w:style>
  <w:style w:type="paragraph" w:styleId="23">
    <w:name w:val="toc 1"/>
    <w:basedOn w:val="1"/>
    <w:next w:val="1"/>
    <w:qFormat/>
    <w:locked/>
    <w:uiPriority w:val="39"/>
  </w:style>
  <w:style w:type="paragraph" w:styleId="24">
    <w:name w:val="List"/>
    <w:basedOn w:val="1"/>
    <w:link w:val="66"/>
    <w:qFormat/>
    <w:locked/>
    <w:uiPriority w:val="0"/>
    <w:pPr>
      <w:widowControl/>
      <w:tabs>
        <w:tab w:val="left" w:pos="425"/>
      </w:tabs>
      <w:ind w:left="425" w:hanging="425"/>
      <w:jc w:val="left"/>
    </w:pPr>
    <w:rPr>
      <w:kern w:val="0"/>
      <w:sz w:val="24"/>
    </w:rPr>
  </w:style>
  <w:style w:type="paragraph" w:styleId="25">
    <w:name w:val="Body Text Indent 3"/>
    <w:basedOn w:val="1"/>
    <w:link w:val="67"/>
    <w:qFormat/>
    <w:locked/>
    <w:uiPriority w:val="0"/>
    <w:pPr>
      <w:spacing w:after="120"/>
      <w:ind w:left="420" w:leftChars="200"/>
    </w:pPr>
    <w:rPr>
      <w:sz w:val="16"/>
      <w:szCs w:val="16"/>
    </w:rPr>
  </w:style>
  <w:style w:type="paragraph" w:styleId="26">
    <w:name w:val="toc 2"/>
    <w:basedOn w:val="1"/>
    <w:next w:val="1"/>
    <w:qFormat/>
    <w:locked/>
    <w:uiPriority w:val="39"/>
    <w:pPr>
      <w:ind w:left="210" w:leftChars="100" w:firstLine="560" w:firstLineChars="200"/>
    </w:pPr>
    <w:rPr>
      <w:rFonts w:ascii="宋体" w:hAnsi="宋体"/>
      <w:sz w:val="28"/>
      <w:szCs w:val="28"/>
    </w:rPr>
  </w:style>
  <w:style w:type="paragraph" w:styleId="27">
    <w:name w:val="Body Text 2"/>
    <w:basedOn w:val="1"/>
    <w:link w:val="68"/>
    <w:qFormat/>
    <w:locked/>
    <w:uiPriority w:val="0"/>
    <w:pPr>
      <w:spacing w:after="120" w:line="480" w:lineRule="auto"/>
    </w:pPr>
  </w:style>
  <w:style w:type="paragraph" w:styleId="28">
    <w:name w:val="Normal (Web)"/>
    <w:basedOn w:val="1"/>
    <w:link w:val="69"/>
    <w:qFormat/>
    <w:uiPriority w:val="0"/>
    <w:pPr>
      <w:widowControl/>
      <w:spacing w:before="100" w:beforeAutospacing="1" w:after="100" w:afterAutospacing="1"/>
      <w:jc w:val="left"/>
    </w:pPr>
    <w:rPr>
      <w:rFonts w:ascii="宋体" w:hAnsi="宋体"/>
      <w:kern w:val="0"/>
      <w:sz w:val="24"/>
      <w:szCs w:val="20"/>
    </w:rPr>
  </w:style>
  <w:style w:type="paragraph" w:styleId="29">
    <w:name w:val="annotation subject"/>
    <w:basedOn w:val="11"/>
    <w:next w:val="11"/>
    <w:link w:val="70"/>
    <w:qFormat/>
    <w:uiPriority w:val="0"/>
    <w:rPr>
      <w:b/>
    </w:rPr>
  </w:style>
  <w:style w:type="paragraph" w:styleId="30">
    <w:name w:val="Body Text First Indent"/>
    <w:basedOn w:val="2"/>
    <w:link w:val="71"/>
    <w:qFormat/>
    <w:locked/>
    <w:uiPriority w:val="0"/>
    <w:pPr>
      <w:widowControl w:val="0"/>
      <w:snapToGrid/>
      <w:spacing w:before="0" w:after="120" w:line="240" w:lineRule="auto"/>
      <w:ind w:right="0" w:firstLine="420" w:firstLineChars="100"/>
    </w:pPr>
    <w:rPr>
      <w:kern w:val="2"/>
      <w:sz w:val="21"/>
      <w:szCs w:val="24"/>
    </w:rPr>
  </w:style>
  <w:style w:type="paragraph" w:styleId="31">
    <w:name w:val="Body Text First Indent 2"/>
    <w:basedOn w:val="13"/>
    <w:link w:val="72"/>
    <w:qFormat/>
    <w:locked/>
    <w:uiPriority w:val="99"/>
    <w:pPr>
      <w:tabs>
        <w:tab w:val="left" w:pos="420"/>
        <w:tab w:val="left" w:pos="870"/>
        <w:tab w:val="left" w:pos="3150"/>
      </w:tabs>
      <w:autoSpaceDE w:val="0"/>
      <w:autoSpaceDN w:val="0"/>
      <w:adjustRightInd w:val="0"/>
      <w:spacing w:after="0" w:line="360" w:lineRule="auto"/>
      <w:ind w:left="0" w:leftChars="0" w:firstLine="567"/>
      <w:textAlignment w:val="baseline"/>
    </w:pPr>
    <w:rPr>
      <w:rFonts w:ascii="宋体"/>
      <w:szCs w:val="28"/>
    </w:rPr>
  </w:style>
  <w:style w:type="table" w:styleId="33">
    <w:name w:val="Table Grid"/>
    <w:basedOn w:val="32"/>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4">
    <w:name w:val="Table Theme"/>
    <w:basedOn w:val="32"/>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5">
    <w:name w:val="Table 3D effects 1"/>
    <w:basedOn w:val="32"/>
    <w:qFormat/>
    <w:locked/>
    <w:uiPriority w:val="0"/>
    <w:pPr>
      <w:widowControl w:val="0"/>
      <w:jc w:val="both"/>
    </w:pPr>
    <w:tblPr/>
    <w:tcPr>
      <w:shd w:val="solid" w:color="C0C0C0" w:fill="FFFFFF"/>
    </w:tcPr>
    <w:tblStylePr w:type="firstRow">
      <w:rPr>
        <w:b/>
        <w:bCs/>
        <w:color w:val="800080"/>
      </w:rPr>
      <w:tblPr/>
      <w:tcPr>
        <w:tcBorders>
          <w:top w:val="nil"/>
          <w:left w:val="single" w:color="808080" w:sz="6" w:space="0"/>
          <w:bottom w:val="nil"/>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single" w:color="FFFFFF" w:sz="6" w:space="0"/>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character" w:styleId="37">
    <w:name w:val="Strong"/>
    <w:qFormat/>
    <w:locked/>
    <w:uiPriority w:val="0"/>
    <w:rPr>
      <w:b/>
      <w:bCs/>
    </w:rPr>
  </w:style>
  <w:style w:type="character" w:styleId="38">
    <w:name w:val="page number"/>
    <w:qFormat/>
    <w:locked/>
    <w:uiPriority w:val="0"/>
  </w:style>
  <w:style w:type="character" w:styleId="39">
    <w:name w:val="FollowedHyperlink"/>
    <w:qFormat/>
    <w:locked/>
    <w:uiPriority w:val="0"/>
    <w:rPr>
      <w:color w:val="000000"/>
      <w:u w:val="none"/>
      <w:lang w:val="en-US" w:eastAsia="zh-CN" w:bidi="ar-SA"/>
    </w:rPr>
  </w:style>
  <w:style w:type="character" w:styleId="40">
    <w:name w:val="Emphasis"/>
    <w:qFormat/>
    <w:locked/>
    <w:uiPriority w:val="20"/>
    <w:rPr>
      <w:lang w:val="en-US" w:eastAsia="zh-CN" w:bidi="ar-SA"/>
    </w:rPr>
  </w:style>
  <w:style w:type="character" w:styleId="41">
    <w:name w:val="HTML Definition"/>
    <w:qFormat/>
    <w:locked/>
    <w:uiPriority w:val="0"/>
  </w:style>
  <w:style w:type="character" w:styleId="42">
    <w:name w:val="HTML Acronym"/>
    <w:qFormat/>
    <w:locked/>
    <w:uiPriority w:val="0"/>
    <w:rPr>
      <w:lang w:val="en-US" w:eastAsia="zh-CN" w:bidi="ar-SA"/>
    </w:rPr>
  </w:style>
  <w:style w:type="character" w:styleId="43">
    <w:name w:val="HTML Variable"/>
    <w:qFormat/>
    <w:locked/>
    <w:uiPriority w:val="0"/>
  </w:style>
  <w:style w:type="character" w:styleId="44">
    <w:name w:val="Hyperlink"/>
    <w:unhideWhenUsed/>
    <w:qFormat/>
    <w:locked/>
    <w:uiPriority w:val="99"/>
    <w:rPr>
      <w:color w:val="0563C1"/>
      <w:u w:val="single"/>
    </w:rPr>
  </w:style>
  <w:style w:type="character" w:styleId="45">
    <w:name w:val="HTML Code"/>
    <w:qFormat/>
    <w:locked/>
    <w:uiPriority w:val="0"/>
    <w:rPr>
      <w:rFonts w:hint="default" w:ascii="monospace" w:hAnsi="monospace" w:eastAsia="monospace" w:cs="monospace"/>
      <w:sz w:val="21"/>
      <w:szCs w:val="21"/>
    </w:rPr>
  </w:style>
  <w:style w:type="character" w:styleId="46">
    <w:name w:val="annotation reference"/>
    <w:qFormat/>
    <w:uiPriority w:val="0"/>
    <w:rPr>
      <w:sz w:val="21"/>
    </w:rPr>
  </w:style>
  <w:style w:type="character" w:styleId="47">
    <w:name w:val="HTML Cite"/>
    <w:qFormat/>
    <w:locked/>
    <w:uiPriority w:val="0"/>
    <w:rPr>
      <w:sz w:val="24"/>
      <w:szCs w:val="24"/>
    </w:rPr>
  </w:style>
  <w:style w:type="character" w:styleId="48">
    <w:name w:val="HTML Keyboard"/>
    <w:qFormat/>
    <w:locked/>
    <w:uiPriority w:val="0"/>
    <w:rPr>
      <w:rFonts w:ascii="monospace" w:hAnsi="monospace" w:eastAsia="monospace" w:cs="monospace"/>
      <w:sz w:val="21"/>
      <w:szCs w:val="21"/>
    </w:rPr>
  </w:style>
  <w:style w:type="character" w:styleId="49">
    <w:name w:val="HTML Sample"/>
    <w:qFormat/>
    <w:locked/>
    <w:uiPriority w:val="0"/>
    <w:rPr>
      <w:rFonts w:hint="default" w:ascii="monospace" w:hAnsi="monospace" w:eastAsia="monospace" w:cs="monospace"/>
      <w:sz w:val="21"/>
      <w:szCs w:val="21"/>
    </w:rPr>
  </w:style>
  <w:style w:type="character" w:customStyle="1" w:styleId="50">
    <w:name w:val="正文文本 字符"/>
    <w:link w:val="2"/>
    <w:qFormat/>
    <w:locked/>
    <w:uiPriority w:val="99"/>
    <w:rPr>
      <w:sz w:val="18"/>
    </w:rPr>
  </w:style>
  <w:style w:type="character" w:customStyle="1" w:styleId="51">
    <w:name w:val="标题 1 字符"/>
    <w:link w:val="3"/>
    <w:qFormat/>
    <w:uiPriority w:val="0"/>
    <w:rPr>
      <w:rFonts w:eastAsia="黑体"/>
      <w:b/>
      <w:bCs/>
      <w:color w:val="000000"/>
      <w:kern w:val="44"/>
      <w:sz w:val="30"/>
      <w:szCs w:val="30"/>
    </w:rPr>
  </w:style>
  <w:style w:type="character" w:customStyle="1" w:styleId="52">
    <w:name w:val="标题 2 字符"/>
    <w:link w:val="4"/>
    <w:qFormat/>
    <w:uiPriority w:val="0"/>
    <w:rPr>
      <w:rFonts w:ascii="Arial" w:hAnsi="Arial" w:eastAsia="黑体"/>
      <w:b/>
      <w:sz w:val="32"/>
    </w:rPr>
  </w:style>
  <w:style w:type="character" w:customStyle="1" w:styleId="53">
    <w:name w:val="标题 3 字符"/>
    <w:link w:val="5"/>
    <w:qFormat/>
    <w:uiPriority w:val="99"/>
    <w:rPr>
      <w:rFonts w:ascii="宋体"/>
      <w:sz w:val="24"/>
      <w:szCs w:val="24"/>
    </w:rPr>
  </w:style>
  <w:style w:type="character" w:customStyle="1" w:styleId="54">
    <w:name w:val="标题 4 字符"/>
    <w:link w:val="6"/>
    <w:qFormat/>
    <w:uiPriority w:val="0"/>
    <w:rPr>
      <w:rFonts w:ascii="Calibri Light" w:hAnsi="Calibri Light" w:eastAsia="宋体" w:cs="Times New Roman"/>
      <w:b/>
      <w:bCs/>
      <w:kern w:val="2"/>
      <w:sz w:val="28"/>
      <w:szCs w:val="28"/>
    </w:rPr>
  </w:style>
  <w:style w:type="character" w:customStyle="1" w:styleId="55">
    <w:name w:val="正文缩进 字符"/>
    <w:link w:val="7"/>
    <w:qFormat/>
    <w:uiPriority w:val="0"/>
    <w:rPr>
      <w:kern w:val="2"/>
      <w:sz w:val="21"/>
      <w:szCs w:val="21"/>
    </w:rPr>
  </w:style>
  <w:style w:type="character" w:customStyle="1" w:styleId="56">
    <w:name w:val="文档结构图 字符"/>
    <w:link w:val="9"/>
    <w:qFormat/>
    <w:uiPriority w:val="0"/>
    <w:rPr>
      <w:kern w:val="2"/>
      <w:sz w:val="21"/>
      <w:szCs w:val="24"/>
      <w:shd w:val="clear" w:color="auto" w:fill="000080"/>
    </w:rPr>
  </w:style>
  <w:style w:type="character" w:customStyle="1" w:styleId="57">
    <w:name w:val="批注文字 字符"/>
    <w:link w:val="11"/>
    <w:qFormat/>
    <w:locked/>
    <w:uiPriority w:val="0"/>
    <w:rPr>
      <w:rFonts w:ascii="Times New Roman" w:hAnsi="Times New Roman" w:eastAsia="宋体"/>
      <w:sz w:val="24"/>
    </w:rPr>
  </w:style>
  <w:style w:type="character" w:customStyle="1" w:styleId="58">
    <w:name w:val="正文文本 3 字符"/>
    <w:link w:val="12"/>
    <w:qFormat/>
    <w:uiPriority w:val="0"/>
    <w:rPr>
      <w:rFonts w:hAnsi="宋体"/>
      <w:color w:val="000000"/>
      <w:kern w:val="2"/>
      <w:sz w:val="21"/>
      <w:szCs w:val="24"/>
    </w:rPr>
  </w:style>
  <w:style w:type="character" w:customStyle="1" w:styleId="59">
    <w:name w:val="正文文本缩进 字符"/>
    <w:link w:val="13"/>
    <w:qFormat/>
    <w:locked/>
    <w:uiPriority w:val="0"/>
    <w:rPr>
      <w:rFonts w:ascii="Times New Roman" w:hAnsi="Times New Roman" w:eastAsia="宋体"/>
      <w:sz w:val="24"/>
    </w:rPr>
  </w:style>
  <w:style w:type="character" w:customStyle="1" w:styleId="60">
    <w:name w:val="纯文本 字符"/>
    <w:link w:val="17"/>
    <w:qFormat/>
    <w:uiPriority w:val="0"/>
    <w:rPr>
      <w:rFonts w:ascii="宋体" w:hAnsi="Courier New"/>
      <w:kern w:val="2"/>
      <w:sz w:val="21"/>
      <w:szCs w:val="24"/>
    </w:rPr>
  </w:style>
  <w:style w:type="character" w:customStyle="1" w:styleId="61">
    <w:name w:val="日期 字符1"/>
    <w:link w:val="18"/>
    <w:qFormat/>
    <w:locked/>
    <w:uiPriority w:val="99"/>
    <w:rPr>
      <w:rFonts w:ascii="Times New Roman" w:hAnsi="Times New Roman" w:eastAsia="宋体"/>
      <w:sz w:val="24"/>
    </w:rPr>
  </w:style>
  <w:style w:type="character" w:customStyle="1" w:styleId="62">
    <w:name w:val="正文文本缩进 2 字符"/>
    <w:link w:val="19"/>
    <w:qFormat/>
    <w:uiPriority w:val="0"/>
    <w:rPr>
      <w:rFonts w:ascii="宋体"/>
      <w:kern w:val="2"/>
      <w:sz w:val="21"/>
      <w:szCs w:val="24"/>
    </w:rPr>
  </w:style>
  <w:style w:type="character" w:customStyle="1" w:styleId="63">
    <w:name w:val="批注框文本 字符"/>
    <w:link w:val="20"/>
    <w:qFormat/>
    <w:locked/>
    <w:uiPriority w:val="0"/>
    <w:rPr>
      <w:rFonts w:ascii="Times New Roman" w:hAnsi="Times New Roman" w:eastAsia="宋体"/>
      <w:sz w:val="18"/>
    </w:rPr>
  </w:style>
  <w:style w:type="character" w:customStyle="1" w:styleId="64">
    <w:name w:val="页脚 字符1"/>
    <w:link w:val="21"/>
    <w:qFormat/>
    <w:locked/>
    <w:uiPriority w:val="99"/>
    <w:rPr>
      <w:sz w:val="18"/>
    </w:rPr>
  </w:style>
  <w:style w:type="character" w:customStyle="1" w:styleId="65">
    <w:name w:val="页眉 字符"/>
    <w:link w:val="22"/>
    <w:qFormat/>
    <w:locked/>
    <w:uiPriority w:val="0"/>
    <w:rPr>
      <w:sz w:val="18"/>
    </w:rPr>
  </w:style>
  <w:style w:type="character" w:customStyle="1" w:styleId="66">
    <w:name w:val="列表 字符"/>
    <w:link w:val="24"/>
    <w:qFormat/>
    <w:uiPriority w:val="0"/>
    <w:rPr>
      <w:sz w:val="24"/>
      <w:szCs w:val="24"/>
    </w:rPr>
  </w:style>
  <w:style w:type="character" w:customStyle="1" w:styleId="67">
    <w:name w:val="正文文本缩进 3 字符"/>
    <w:link w:val="25"/>
    <w:qFormat/>
    <w:uiPriority w:val="0"/>
    <w:rPr>
      <w:kern w:val="2"/>
      <w:sz w:val="16"/>
      <w:szCs w:val="16"/>
    </w:rPr>
  </w:style>
  <w:style w:type="character" w:customStyle="1" w:styleId="68">
    <w:name w:val="正文文本 2 字符"/>
    <w:link w:val="27"/>
    <w:qFormat/>
    <w:uiPriority w:val="0"/>
    <w:rPr>
      <w:kern w:val="2"/>
      <w:sz w:val="21"/>
      <w:szCs w:val="24"/>
    </w:rPr>
  </w:style>
  <w:style w:type="character" w:customStyle="1" w:styleId="69">
    <w:name w:val="普通(网站) 字符"/>
    <w:link w:val="28"/>
    <w:qFormat/>
    <w:locked/>
    <w:uiPriority w:val="0"/>
    <w:rPr>
      <w:rFonts w:ascii="宋体" w:hAnsi="宋体" w:eastAsia="宋体"/>
      <w:sz w:val="24"/>
    </w:rPr>
  </w:style>
  <w:style w:type="character" w:customStyle="1" w:styleId="70">
    <w:name w:val="批注主题 字符"/>
    <w:link w:val="29"/>
    <w:qFormat/>
    <w:locked/>
    <w:uiPriority w:val="0"/>
    <w:rPr>
      <w:rFonts w:ascii="Times New Roman" w:hAnsi="Times New Roman" w:eastAsia="宋体"/>
      <w:b/>
      <w:kern w:val="2"/>
      <w:sz w:val="24"/>
    </w:rPr>
  </w:style>
  <w:style w:type="character" w:customStyle="1" w:styleId="71">
    <w:name w:val="正文文本首行缩进 字符"/>
    <w:link w:val="30"/>
    <w:qFormat/>
    <w:uiPriority w:val="0"/>
    <w:rPr>
      <w:kern w:val="2"/>
      <w:sz w:val="21"/>
      <w:szCs w:val="24"/>
    </w:rPr>
  </w:style>
  <w:style w:type="character" w:customStyle="1" w:styleId="72">
    <w:name w:val="正文文本首行缩进 2 字符"/>
    <w:link w:val="31"/>
    <w:qFormat/>
    <w:uiPriority w:val="99"/>
    <w:rPr>
      <w:rFonts w:ascii="宋体"/>
      <w:sz w:val="24"/>
      <w:szCs w:val="28"/>
    </w:rPr>
  </w:style>
  <w:style w:type="paragraph" w:customStyle="1" w:styleId="73">
    <w:name w:val="四级条标题"/>
    <w:basedOn w:val="74"/>
    <w:next w:val="78"/>
    <w:qFormat/>
    <w:uiPriority w:val="0"/>
    <w:pPr>
      <w:numPr>
        <w:ilvl w:val="5"/>
      </w:numPr>
      <w:tabs>
        <w:tab w:val="left" w:pos="360"/>
        <w:tab w:val="left" w:pos="903"/>
      </w:tabs>
      <w:outlineLvl w:val="5"/>
    </w:pPr>
  </w:style>
  <w:style w:type="paragraph" w:customStyle="1" w:styleId="74">
    <w:name w:val="三级条标题"/>
    <w:basedOn w:val="75"/>
    <w:next w:val="78"/>
    <w:qFormat/>
    <w:uiPriority w:val="0"/>
    <w:pPr>
      <w:numPr>
        <w:ilvl w:val="4"/>
      </w:numPr>
      <w:tabs>
        <w:tab w:val="left" w:pos="360"/>
        <w:tab w:val="left" w:pos="903"/>
      </w:tabs>
      <w:outlineLvl w:val="4"/>
    </w:pPr>
  </w:style>
  <w:style w:type="paragraph" w:customStyle="1" w:styleId="75">
    <w:name w:val="二级条标题"/>
    <w:basedOn w:val="76"/>
    <w:next w:val="78"/>
    <w:qFormat/>
    <w:uiPriority w:val="0"/>
    <w:pPr>
      <w:numPr>
        <w:ilvl w:val="3"/>
      </w:numPr>
      <w:tabs>
        <w:tab w:val="left" w:pos="360"/>
        <w:tab w:val="left" w:pos="903"/>
      </w:tabs>
      <w:outlineLvl w:val="3"/>
    </w:pPr>
  </w:style>
  <w:style w:type="paragraph" w:customStyle="1" w:styleId="76">
    <w:name w:val="一级条标题"/>
    <w:basedOn w:val="77"/>
    <w:next w:val="78"/>
    <w:qFormat/>
    <w:uiPriority w:val="0"/>
    <w:pPr>
      <w:numPr>
        <w:ilvl w:val="2"/>
      </w:numPr>
      <w:tabs>
        <w:tab w:val="left" w:pos="360"/>
        <w:tab w:val="left" w:pos="903"/>
      </w:tabs>
      <w:spacing w:before="0" w:after="0"/>
      <w:outlineLvl w:val="2"/>
    </w:pPr>
  </w:style>
  <w:style w:type="paragraph" w:customStyle="1" w:styleId="77">
    <w:name w:val="章标题"/>
    <w:next w:val="78"/>
    <w:qFormat/>
    <w:uiPriority w:val="0"/>
    <w:pPr>
      <w:numPr>
        <w:ilvl w:val="1"/>
        <w:numId w:val="1"/>
      </w:numPr>
      <w:tabs>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7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79">
    <w:name w:val="页脚 字符"/>
    <w:qFormat/>
    <w:uiPriority w:val="99"/>
  </w:style>
  <w:style w:type="character" w:customStyle="1" w:styleId="80">
    <w:name w:val="正文文本 字符1"/>
    <w:qFormat/>
    <w:uiPriority w:val="0"/>
    <w:rPr>
      <w:rFonts w:ascii="Times New Roman" w:hAnsi="Times New Roman" w:eastAsia="宋体"/>
      <w:sz w:val="24"/>
    </w:rPr>
  </w:style>
  <w:style w:type="character" w:customStyle="1" w:styleId="81">
    <w:name w:val="表格 Char"/>
    <w:link w:val="82"/>
    <w:qFormat/>
    <w:locked/>
    <w:uiPriority w:val="0"/>
    <w:rPr>
      <w:rFonts w:ascii="宋体"/>
      <w:sz w:val="21"/>
    </w:rPr>
  </w:style>
  <w:style w:type="paragraph" w:customStyle="1" w:styleId="82">
    <w:name w:val="表格"/>
    <w:basedOn w:val="1"/>
    <w:next w:val="1"/>
    <w:link w:val="81"/>
    <w:qFormat/>
    <w:uiPriority w:val="0"/>
    <w:pPr>
      <w:adjustRightInd w:val="0"/>
      <w:snapToGrid w:val="0"/>
      <w:spacing w:beforeLines="10" w:afterLines="10" w:line="259" w:lineRule="auto"/>
      <w:jc w:val="center"/>
    </w:pPr>
    <w:rPr>
      <w:rFonts w:ascii="宋体"/>
      <w:kern w:val="0"/>
      <w:szCs w:val="20"/>
    </w:rPr>
  </w:style>
  <w:style w:type="character" w:customStyle="1" w:styleId="83">
    <w:name w:val="日期 字符"/>
    <w:qFormat/>
    <w:uiPriority w:val="99"/>
    <w:rPr>
      <w:rFonts w:ascii="Times New Roman" w:hAnsi="Times New Roman" w:eastAsia="宋体"/>
      <w:sz w:val="24"/>
    </w:rPr>
  </w:style>
  <w:style w:type="character" w:customStyle="1" w:styleId="84">
    <w:name w:val="批注文字 字符1"/>
    <w:qFormat/>
    <w:uiPriority w:val="0"/>
    <w:rPr>
      <w:rFonts w:ascii="Times New Roman" w:hAnsi="Times New Roman" w:eastAsia="宋体"/>
      <w:sz w:val="24"/>
    </w:rPr>
  </w:style>
  <w:style w:type="paragraph" w:customStyle="1" w:styleId="85">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6">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87">
    <w:name w:val="++++++++正文"/>
    <w:basedOn w:val="1"/>
    <w:qFormat/>
    <w:uiPriority w:val="0"/>
    <w:pPr>
      <w:autoSpaceDE w:val="0"/>
      <w:autoSpaceDN w:val="0"/>
      <w:adjustRightInd w:val="0"/>
      <w:snapToGrid w:val="0"/>
      <w:ind w:firstLine="200" w:firstLineChars="200"/>
    </w:pPr>
  </w:style>
  <w:style w:type="paragraph" w:customStyle="1" w:styleId="88">
    <w:name w:val="表文"/>
    <w:basedOn w:val="1"/>
    <w:qFormat/>
    <w:uiPriority w:val="0"/>
    <w:pPr>
      <w:adjustRightInd w:val="0"/>
      <w:spacing w:before="120" w:after="120" w:line="200" w:lineRule="atLeast"/>
      <w:jc w:val="center"/>
      <w:textAlignment w:val="baseline"/>
    </w:pPr>
    <w:rPr>
      <w:rFonts w:ascii="宋体"/>
      <w:szCs w:val="18"/>
    </w:rPr>
  </w:style>
  <w:style w:type="paragraph" w:customStyle="1" w:styleId="89">
    <w:name w:val="Table Paragraph"/>
    <w:basedOn w:val="1"/>
    <w:qFormat/>
    <w:uiPriority w:val="1"/>
    <w:pPr>
      <w:snapToGrid w:val="0"/>
      <w:jc w:val="left"/>
    </w:pPr>
    <w:rPr>
      <w:rFonts w:ascii="Calibri" w:hAnsi="Calibri" w:cs="Calibri"/>
      <w:kern w:val="0"/>
      <w:sz w:val="22"/>
      <w:lang w:eastAsia="en-US"/>
    </w:rPr>
  </w:style>
  <w:style w:type="paragraph" w:customStyle="1" w:styleId="90">
    <w:name w:val="文本文字"/>
    <w:basedOn w:val="1"/>
    <w:qFormat/>
    <w:uiPriority w:val="0"/>
    <w:pPr>
      <w:widowControl/>
      <w:ind w:firstLine="200" w:firstLineChars="200"/>
    </w:pPr>
    <w:rPr>
      <w:color w:val="000000"/>
      <w:kern w:val="0"/>
    </w:rPr>
  </w:style>
  <w:style w:type="paragraph" w:customStyle="1" w:styleId="91">
    <w:name w:val="表格文字"/>
    <w:basedOn w:val="1"/>
    <w:next w:val="1"/>
    <w:link w:val="92"/>
    <w:qFormat/>
    <w:uiPriority w:val="0"/>
    <w:pPr>
      <w:spacing w:line="300" w:lineRule="exact"/>
      <w:jc w:val="center"/>
    </w:pPr>
    <w:rPr>
      <w:snapToGrid/>
      <w:color w:val="000000"/>
      <w:kern w:val="24"/>
      <w:szCs w:val="20"/>
    </w:rPr>
  </w:style>
  <w:style w:type="character" w:customStyle="1" w:styleId="92">
    <w:name w:val="表格文字 Char2"/>
    <w:link w:val="91"/>
    <w:qFormat/>
    <w:uiPriority w:val="0"/>
    <w:rPr>
      <w:snapToGrid/>
      <w:color w:val="000000"/>
      <w:kern w:val="24"/>
      <w:sz w:val="21"/>
    </w:rPr>
  </w:style>
  <w:style w:type="table" w:customStyle="1" w:styleId="93">
    <w:name w:val="Table Normal"/>
    <w:unhideWhenUsed/>
    <w:qFormat/>
    <w:uiPriority w:val="2"/>
    <w:rPr>
      <w:lang w:val="en-US" w:eastAsia="zh-CN" w:bidi="ar-SA"/>
    </w:rPr>
    <w:tblPr>
      <w:tblCellMar>
        <w:top w:w="0" w:type="dxa"/>
        <w:left w:w="0" w:type="dxa"/>
        <w:bottom w:w="0" w:type="dxa"/>
        <w:right w:w="0" w:type="dxa"/>
      </w:tblCellMar>
    </w:tblPr>
  </w:style>
  <w:style w:type="paragraph" w:customStyle="1" w:styleId="9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95">
    <w:name w:val="样式4"/>
    <w:basedOn w:val="1"/>
    <w:qFormat/>
    <w:uiPriority w:val="0"/>
    <w:pPr>
      <w:spacing w:line="360" w:lineRule="auto"/>
      <w:ind w:firstLine="1044" w:firstLineChars="200"/>
    </w:pPr>
  </w:style>
  <w:style w:type="paragraph" w:customStyle="1" w:styleId="96">
    <w:name w:val="样式2"/>
    <w:basedOn w:val="1"/>
    <w:qFormat/>
    <w:uiPriority w:val="0"/>
    <w:pPr>
      <w:jc w:val="center"/>
    </w:pPr>
    <w:rPr>
      <w:rFonts w:eastAsia="黑体"/>
    </w:rPr>
  </w:style>
  <w:style w:type="paragraph" w:customStyle="1" w:styleId="97">
    <w:name w:val="正文文本2"/>
    <w:basedOn w:val="2"/>
    <w:qFormat/>
    <w:uiPriority w:val="0"/>
    <w:pPr>
      <w:spacing w:after="0"/>
      <w:ind w:firstLine="480" w:firstLineChars="200"/>
    </w:pPr>
    <w:rPr>
      <w:rFonts w:ascii="宋体" w:cs="宋体"/>
    </w:rPr>
  </w:style>
  <w:style w:type="paragraph" w:customStyle="1" w:styleId="98">
    <w:name w:val="正文_5"/>
    <w:qFormat/>
    <w:uiPriority w:val="0"/>
    <w:pPr>
      <w:widowControl w:val="0"/>
      <w:jc w:val="both"/>
    </w:pPr>
    <w:rPr>
      <w:rFonts w:ascii="Calibri" w:hAnsi="Calibri" w:eastAsia="宋体" w:cs="Times New Roman"/>
      <w:kern w:val="2"/>
      <w:sz w:val="21"/>
      <w:lang w:val="en-US" w:eastAsia="zh-CN" w:bidi="ar-SA"/>
    </w:rPr>
  </w:style>
  <w:style w:type="paragraph" w:customStyle="1" w:styleId="99">
    <w:name w:val="表1表头"/>
    <w:basedOn w:val="1"/>
    <w:qFormat/>
    <w:uiPriority w:val="0"/>
    <w:pPr>
      <w:numPr>
        <w:ilvl w:val="0"/>
        <w:numId w:val="2"/>
      </w:numPr>
      <w:spacing w:line="360" w:lineRule="auto"/>
      <w:ind w:left="0" w:firstLine="0"/>
      <w:jc w:val="center"/>
    </w:pPr>
    <w:rPr>
      <w:rFonts w:ascii="宋体" w:hAnsi="宋体" w:eastAsia="宋体"/>
      <w:b/>
      <w:szCs w:val="21"/>
    </w:rPr>
  </w:style>
  <w:style w:type="paragraph" w:customStyle="1" w:styleId="100">
    <w:name w:val="表格表格"/>
    <w:basedOn w:val="1"/>
    <w:link w:val="101"/>
    <w:qFormat/>
    <w:uiPriority w:val="0"/>
    <w:pPr>
      <w:framePr w:wrap="around" w:vAnchor="text" w:hAnchor="text" w:xAlign="center" w:y="1"/>
      <w:autoSpaceDE w:val="0"/>
      <w:autoSpaceDN w:val="0"/>
      <w:adjustRightInd w:val="0"/>
      <w:jc w:val="center"/>
    </w:pPr>
    <w:rPr>
      <w:rFonts w:ascii="宋体" w:hAnsi="宋体"/>
      <w:kern w:val="0"/>
      <w:szCs w:val="21"/>
    </w:rPr>
  </w:style>
  <w:style w:type="character" w:customStyle="1" w:styleId="101">
    <w:name w:val="表格表格 Char"/>
    <w:link w:val="100"/>
    <w:qFormat/>
    <w:uiPriority w:val="0"/>
    <w:rPr>
      <w:rFonts w:ascii="宋体" w:hAnsi="宋体"/>
      <w:sz w:val="21"/>
      <w:szCs w:val="21"/>
    </w:rPr>
  </w:style>
  <w:style w:type="paragraph" w:customStyle="1" w:styleId="102">
    <w:name w:val="正文样式"/>
    <w:basedOn w:val="1"/>
    <w:qFormat/>
    <w:uiPriority w:val="0"/>
    <w:pPr>
      <w:tabs>
        <w:tab w:val="left" w:pos="1440"/>
        <w:tab w:val="left" w:pos="4368"/>
      </w:tabs>
      <w:spacing w:line="360" w:lineRule="auto"/>
      <w:ind w:firstLine="493"/>
    </w:pPr>
    <w:rPr>
      <w:color w:val="FF0000"/>
      <w:sz w:val="24"/>
    </w:rPr>
  </w:style>
  <w:style w:type="character" w:customStyle="1" w:styleId="103">
    <w:name w:val="_Style 102"/>
    <w:unhideWhenUsed/>
    <w:qFormat/>
    <w:uiPriority w:val="99"/>
    <w:rPr>
      <w:color w:val="605E5C"/>
      <w:shd w:val="clear" w:color="auto" w:fill="E1DFDD"/>
    </w:rPr>
  </w:style>
  <w:style w:type="paragraph" w:customStyle="1" w:styleId="104">
    <w:name w:val="报告"/>
    <w:basedOn w:val="1"/>
    <w:link w:val="105"/>
    <w:qFormat/>
    <w:uiPriority w:val="0"/>
    <w:pPr>
      <w:adjustRightInd w:val="0"/>
      <w:spacing w:line="360" w:lineRule="auto"/>
      <w:ind w:firstLine="505"/>
      <w:textAlignment w:val="baseline"/>
    </w:pPr>
    <w:rPr>
      <w:kern w:val="0"/>
      <w:sz w:val="24"/>
      <w:szCs w:val="20"/>
    </w:rPr>
  </w:style>
  <w:style w:type="character" w:customStyle="1" w:styleId="105">
    <w:name w:val="报告 Char"/>
    <w:link w:val="104"/>
    <w:qFormat/>
    <w:uiPriority w:val="0"/>
    <w:rPr>
      <w:sz w:val="24"/>
    </w:rPr>
  </w:style>
  <w:style w:type="character" w:customStyle="1" w:styleId="106">
    <w:name w:val="页眉 Char"/>
    <w:qFormat/>
    <w:uiPriority w:val="99"/>
    <w:rPr>
      <w:sz w:val="18"/>
      <w:szCs w:val="18"/>
    </w:rPr>
  </w:style>
  <w:style w:type="character" w:customStyle="1" w:styleId="107">
    <w:name w:val="日期 Char"/>
    <w:qFormat/>
    <w:uiPriority w:val="0"/>
    <w:rPr>
      <w:rFonts w:ascii="Times New Roman" w:hAnsi="Times New Roman" w:eastAsia="宋体" w:cs="Times New Roman"/>
      <w:szCs w:val="20"/>
    </w:rPr>
  </w:style>
  <w:style w:type="paragraph" w:customStyle="1" w:styleId="108">
    <w:name w:val="正文2"/>
    <w:basedOn w:val="1"/>
    <w:qFormat/>
    <w:uiPriority w:val="0"/>
    <w:pPr>
      <w:ind w:firstLine="200" w:firstLineChars="200"/>
    </w:pPr>
  </w:style>
  <w:style w:type="paragraph" w:styleId="109">
    <w:name w:val="List Paragraph"/>
    <w:basedOn w:val="1"/>
    <w:qFormat/>
    <w:uiPriority w:val="34"/>
    <w:pPr>
      <w:ind w:firstLine="420" w:firstLineChars="200"/>
    </w:pPr>
  </w:style>
  <w:style w:type="character" w:customStyle="1" w:styleId="110">
    <w:name w:val="fontstyle01"/>
    <w:qFormat/>
    <w:uiPriority w:val="0"/>
    <w:rPr>
      <w:rFonts w:ascii="宋体" w:hAnsi="宋体" w:eastAsia="宋体" w:cs="宋体"/>
      <w:color w:val="000000"/>
      <w:kern w:val="0"/>
      <w:sz w:val="24"/>
      <w:szCs w:val="24"/>
    </w:rPr>
  </w:style>
  <w:style w:type="paragraph" w:customStyle="1" w:styleId="111">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112">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113">
    <w:name w:val="样式1"/>
    <w:basedOn w:val="32"/>
    <w:qFormat/>
    <w:uiPriority w:val="99"/>
    <w:tblPr>
      <w:tblBorders>
        <w:top w:val="single" w:color="auto" w:sz="12" w:space="0"/>
        <w:bottom w:val="single" w:color="auto" w:sz="12" w:space="0"/>
        <w:insideH w:val="single" w:color="auto" w:sz="4" w:space="0"/>
        <w:insideV w:val="single" w:color="auto" w:sz="4" w:space="0"/>
      </w:tblBorders>
      <w:tblCellMar>
        <w:left w:w="85" w:type="dxa"/>
        <w:right w:w="85" w:type="dxa"/>
      </w:tblCellMar>
    </w:tblPr>
    <w:tcPr>
      <w:vAlign w:val="center"/>
    </w:tcPr>
  </w:style>
  <w:style w:type="character" w:customStyle="1" w:styleId="114">
    <w:name w:val="NormalCharacter"/>
    <w:semiHidden/>
    <w:qFormat/>
    <w:uiPriority w:val="0"/>
    <w:rPr>
      <w:kern w:val="2"/>
      <w:sz w:val="21"/>
      <w:lang w:val="en-US" w:eastAsia="zh-CN" w:bidi="ar-SA"/>
    </w:rPr>
  </w:style>
  <w:style w:type="paragraph" w:customStyle="1" w:styleId="115">
    <w:name w:val="1表格"/>
    <w:basedOn w:val="1"/>
    <w:qFormat/>
    <w:uiPriority w:val="0"/>
    <w:pPr>
      <w:snapToGrid w:val="0"/>
      <w:spacing w:line="160" w:lineRule="atLeast"/>
      <w:jc w:val="center"/>
    </w:pPr>
    <w:rPr>
      <w:rFonts w:eastAsia="仿宋_GB2312"/>
      <w:szCs w:val="20"/>
    </w:rPr>
  </w:style>
  <w:style w:type="paragraph" w:customStyle="1" w:styleId="116">
    <w:name w:val="样式 宋体 小四 行距: 1.5 倍行距"/>
    <w:basedOn w:val="1"/>
    <w:qFormat/>
    <w:uiPriority w:val="0"/>
    <w:pPr>
      <w:ind w:firstLine="480" w:firstLineChars="200"/>
    </w:pPr>
    <w:rPr>
      <w:rFonts w:ascii="宋体" w:hAnsi="宋体"/>
      <w:szCs w:val="20"/>
    </w:rPr>
  </w:style>
  <w:style w:type="paragraph" w:customStyle="1" w:styleId="117">
    <w:name w:val="报告表格"/>
    <w:basedOn w:val="1"/>
    <w:link w:val="118"/>
    <w:qFormat/>
    <w:uiPriority w:val="0"/>
    <w:pPr>
      <w:autoSpaceDE w:val="0"/>
      <w:autoSpaceDN w:val="0"/>
      <w:adjustRightInd w:val="0"/>
      <w:spacing w:before="40" w:after="40"/>
      <w:jc w:val="center"/>
      <w:textAlignment w:val="bottom"/>
    </w:pPr>
    <w:rPr>
      <w:kern w:val="0"/>
      <w:szCs w:val="20"/>
    </w:rPr>
  </w:style>
  <w:style w:type="character" w:customStyle="1" w:styleId="118">
    <w:name w:val="报告表格 Char"/>
    <w:link w:val="117"/>
    <w:qFormat/>
    <w:uiPriority w:val="0"/>
    <w:rPr>
      <w:sz w:val="21"/>
    </w:rPr>
  </w:style>
  <w:style w:type="paragraph" w:customStyle="1" w:styleId="119">
    <w:name w:val="哈喽"/>
    <w:basedOn w:val="1"/>
    <w:qFormat/>
    <w:uiPriority w:val="0"/>
    <w:pPr>
      <w:spacing w:line="360" w:lineRule="auto"/>
      <w:ind w:firstLine="200" w:firstLineChars="200"/>
      <w:jc w:val="left"/>
    </w:pPr>
    <w:rPr>
      <w:rFonts w:ascii="宋体" w:hAnsi="宋体"/>
      <w:kern w:val="28"/>
      <w:sz w:val="28"/>
      <w:szCs w:val="28"/>
    </w:rPr>
  </w:style>
  <w:style w:type="paragraph" w:customStyle="1" w:styleId="120">
    <w:name w:val="样式 正文文字 +"/>
    <w:basedOn w:val="1"/>
    <w:qFormat/>
    <w:uiPriority w:val="0"/>
    <w:pPr>
      <w:adjustRightInd w:val="0"/>
      <w:snapToGrid w:val="0"/>
      <w:spacing w:before="60" w:after="60" w:line="264" w:lineRule="auto"/>
      <w:ind w:firstLine="110" w:firstLineChars="110"/>
      <w:textAlignment w:val="baseline"/>
    </w:pPr>
    <w:rPr>
      <w:rFonts w:eastAsia="仿宋_GB2312"/>
      <w:snapToGrid w:val="0"/>
      <w:kern w:val="0"/>
      <w:sz w:val="24"/>
    </w:rPr>
  </w:style>
  <w:style w:type="paragraph" w:customStyle="1" w:styleId="121">
    <w:name w:val="0图表标题"/>
    <w:basedOn w:val="1"/>
    <w:next w:val="1"/>
    <w:qFormat/>
    <w:uiPriority w:val="0"/>
    <w:pPr>
      <w:adjustRightInd w:val="0"/>
      <w:snapToGrid w:val="0"/>
      <w:spacing w:line="360" w:lineRule="auto"/>
      <w:jc w:val="center"/>
    </w:pPr>
    <w:rPr>
      <w:b/>
      <w:sz w:val="24"/>
      <w:szCs w:val="22"/>
    </w:rPr>
  </w:style>
  <w:style w:type="paragraph" w:customStyle="1" w:styleId="122">
    <w:name w:val="图表标题"/>
    <w:basedOn w:val="1"/>
    <w:next w:val="1"/>
    <w:qFormat/>
    <w:uiPriority w:val="0"/>
    <w:pPr>
      <w:adjustRightInd w:val="0"/>
      <w:snapToGrid w:val="0"/>
      <w:jc w:val="center"/>
      <w:textAlignment w:val="baseline"/>
    </w:pPr>
    <w:rPr>
      <w:rFonts w:eastAsia="黑体"/>
      <w:sz w:val="24"/>
    </w:rPr>
  </w:style>
  <w:style w:type="paragraph" w:customStyle="1" w:styleId="123">
    <w:name w:val=" Char1 Char Char Char1 Char Char Char Char Char Char Char Char Char Char Char Char"/>
    <w:basedOn w:val="1"/>
    <w:next w:val="1"/>
    <w:qFormat/>
    <w:uiPriority w:val="0"/>
    <w:rPr>
      <w:rFonts w:ascii="宋体" w:hAnsi="宋体"/>
      <w:sz w:val="24"/>
    </w:rPr>
  </w:style>
  <w:style w:type="paragraph" w:customStyle="1" w:styleId="124">
    <w:name w:val="_Style 3"/>
    <w:basedOn w:val="1"/>
    <w:next w:val="1"/>
    <w:qFormat/>
    <w:uiPriority w:val="34"/>
    <w:pPr>
      <w:ind w:firstLine="420" w:firstLineChars="200"/>
    </w:pPr>
    <w:rPr>
      <w:rFonts w:ascii="Calibri" w:hAnsi="Calibri"/>
      <w:szCs w:val="22"/>
    </w:rPr>
  </w:style>
  <w:style w:type="character" w:customStyle="1" w:styleId="125">
    <w:name w:val="radio-btn"/>
    <w:qFormat/>
    <w:uiPriority w:val="0"/>
    <w:rPr>
      <w:sz w:val="24"/>
      <w:szCs w:val="24"/>
      <w:lang w:val="en-US" w:eastAsia="zh-CN" w:bidi="ar-SA"/>
    </w:rPr>
  </w:style>
  <w:style w:type="character" w:customStyle="1" w:styleId="126">
    <w:name w:val="znspantitle"/>
    <w:qFormat/>
    <w:uiPriority w:val="0"/>
    <w:rPr>
      <w:b/>
      <w:color w:val="333333"/>
      <w:lang w:val="en-US" w:eastAsia="zh-CN" w:bidi="ar-SA"/>
    </w:rPr>
  </w:style>
  <w:style w:type="character" w:customStyle="1" w:styleId="127">
    <w:name w:val="lishishuju"/>
    <w:qFormat/>
    <w:uiPriority w:val="0"/>
    <w:rPr>
      <w:b/>
      <w:color w:val="000052"/>
      <w:sz w:val="24"/>
      <w:szCs w:val="24"/>
      <w:bdr w:val="single" w:color="E3E3E3" w:sz="6" w:space="0"/>
      <w:lang w:val="en-US" w:eastAsia="zh-CN" w:bidi="ar-SA"/>
    </w:rPr>
  </w:style>
  <w:style w:type="character" w:customStyle="1" w:styleId="128">
    <w:name w:val="cur1"/>
    <w:qFormat/>
    <w:uiPriority w:val="0"/>
    <w:rPr>
      <w:color w:val="FFFFFF"/>
      <w:shd w:val="clear" w:color="auto" w:fill="2F6B98"/>
      <w:lang w:val="en-US" w:eastAsia="zh-CN" w:bidi="ar-SA"/>
    </w:rPr>
  </w:style>
  <w:style w:type="character" w:customStyle="1" w:styleId="129">
    <w:name w:val="font31"/>
    <w:uiPriority w:val="0"/>
    <w:rPr>
      <w:rFonts w:hint="eastAsia" w:ascii="宋体" w:hAnsi="宋体" w:eastAsia="宋体" w:cs="宋体"/>
      <w:color w:val="000000"/>
      <w:sz w:val="18"/>
      <w:szCs w:val="18"/>
      <w:u w:val="none"/>
      <w:lang w:val="en-US" w:eastAsia="zh-CN" w:bidi="ar-SA"/>
    </w:rPr>
  </w:style>
  <w:style w:type="character" w:customStyle="1" w:styleId="130">
    <w:name w:val="radio-btn1"/>
    <w:qFormat/>
    <w:uiPriority w:val="0"/>
    <w:rPr>
      <w:sz w:val="24"/>
      <w:szCs w:val="24"/>
      <w:lang w:val="en-US" w:eastAsia="zh-CN" w:bidi="ar-SA"/>
    </w:rPr>
  </w:style>
  <w:style w:type="character" w:customStyle="1" w:styleId="131">
    <w:name w:val="radio-btn2"/>
    <w:qFormat/>
    <w:uiPriority w:val="0"/>
    <w:rPr>
      <w:sz w:val="24"/>
      <w:szCs w:val="24"/>
      <w:lang w:val="en-US" w:eastAsia="zh-CN" w:bidi="ar-SA"/>
    </w:rPr>
  </w:style>
  <w:style w:type="character" w:customStyle="1" w:styleId="132">
    <w:name w:val="font21"/>
    <w:qFormat/>
    <w:uiPriority w:val="0"/>
    <w:rPr>
      <w:rFonts w:hint="default" w:ascii="Times New Roman" w:hAnsi="Times New Roman" w:cs="Times New Roman"/>
      <w:color w:val="000000"/>
      <w:sz w:val="18"/>
      <w:szCs w:val="18"/>
      <w:u w:val="none"/>
      <w:vertAlign w:val="superscript"/>
      <w:lang w:val="en-US" w:eastAsia="zh-CN" w:bidi="ar-SA"/>
    </w:rPr>
  </w:style>
  <w:style w:type="character" w:customStyle="1" w:styleId="133">
    <w:name w:val="lable"/>
    <w:qFormat/>
    <w:uiPriority w:val="0"/>
    <w:rPr>
      <w:sz w:val="24"/>
      <w:szCs w:val="24"/>
      <w:lang w:val="en-US" w:eastAsia="zh-CN" w:bidi="ar-SA"/>
    </w:rPr>
  </w:style>
  <w:style w:type="character" w:customStyle="1" w:styleId="134">
    <w:name w:val="font41"/>
    <w:qFormat/>
    <w:uiPriority w:val="0"/>
    <w:rPr>
      <w:rFonts w:hint="default" w:ascii="Times New Roman" w:hAnsi="Times New Roman" w:cs="Times New Roman"/>
      <w:color w:val="000000"/>
      <w:sz w:val="18"/>
      <w:szCs w:val="18"/>
      <w:u w:val="none"/>
      <w:lang w:val="en-US" w:eastAsia="zh-CN" w:bidi="ar-SA"/>
    </w:rPr>
  </w:style>
  <w:style w:type="paragraph" w:customStyle="1" w:styleId="135">
    <w:name w:val="报告书"/>
    <w:basedOn w:val="1"/>
    <w:semiHidden/>
    <w:qFormat/>
    <w:uiPriority w:val="0"/>
    <w:pPr>
      <w:autoSpaceDE w:val="0"/>
      <w:autoSpaceDN w:val="0"/>
      <w:adjustRightInd w:val="0"/>
      <w:spacing w:line="360" w:lineRule="auto"/>
      <w:ind w:firstLine="505"/>
      <w:jc w:val="left"/>
      <w:textAlignment w:val="bottom"/>
    </w:pPr>
    <w:rPr>
      <w:kern w:val="0"/>
      <w:sz w:val="24"/>
      <w:szCs w:val="20"/>
    </w:rPr>
  </w:style>
  <w:style w:type="paragraph" w:customStyle="1" w:styleId="136">
    <w:name w:val="环保表内字（五号）"/>
    <w:basedOn w:val="1"/>
    <w:qFormat/>
    <w:uiPriority w:val="0"/>
    <w:pPr>
      <w:tabs>
        <w:tab w:val="left" w:pos="3435"/>
      </w:tabs>
      <w:adjustRightInd w:val="0"/>
      <w:snapToGrid w:val="0"/>
      <w:spacing w:line="0" w:lineRule="atLeast"/>
      <w:jc w:val="left"/>
    </w:pPr>
    <w:rPr>
      <w:rFonts w:cs="宋体"/>
      <w:snapToGrid w:val="0"/>
      <w:color w:val="000000"/>
      <w:kern w:val="0"/>
      <w:szCs w:val="20"/>
    </w:rPr>
  </w:style>
  <w:style w:type="character" w:customStyle="1" w:styleId="137">
    <w:name w:val="表格 Char Char"/>
    <w:qFormat/>
    <w:uiPriority w:val="0"/>
    <w:rPr>
      <w:rFonts w:ascii="宋体"/>
      <w:sz w:val="21"/>
    </w:rPr>
  </w:style>
  <w:style w:type="paragraph" w:customStyle="1" w:styleId="138">
    <w:name w:val="报告表正文"/>
    <w:basedOn w:val="1"/>
    <w:link w:val="139"/>
    <w:qFormat/>
    <w:uiPriority w:val="0"/>
    <w:pPr>
      <w:adjustRightInd w:val="0"/>
      <w:spacing w:line="312" w:lineRule="auto"/>
      <w:ind w:left="113" w:right="113" w:firstLine="482"/>
      <w:jc w:val="left"/>
      <w:textAlignment w:val="baseline"/>
    </w:pPr>
    <w:rPr>
      <w:kern w:val="0"/>
      <w:sz w:val="24"/>
      <w:szCs w:val="20"/>
    </w:rPr>
  </w:style>
  <w:style w:type="character" w:customStyle="1" w:styleId="139">
    <w:name w:val="报告表正文 Char"/>
    <w:link w:val="138"/>
    <w:qFormat/>
    <w:uiPriority w:val="0"/>
    <w:rPr>
      <w:sz w:val="24"/>
    </w:rPr>
  </w:style>
  <w:style w:type="paragraph" w:customStyle="1" w:styleId="140">
    <w:name w:val=" Char Char Char Char Char Char Char Char Char Char Char Char Char Char Char Char Char Char1 Char Char Char Char Char Char Char Char Char Char Char Char Char"/>
    <w:basedOn w:val="1"/>
    <w:qFormat/>
    <w:uiPriority w:val="0"/>
    <w:pPr>
      <w:spacing w:line="360" w:lineRule="auto"/>
      <w:ind w:firstLine="200" w:firstLineChars="200"/>
    </w:pPr>
    <w:rPr>
      <w:rFonts w:ascii="宋体" w:hAnsi="宋体" w:cs="宋体"/>
      <w:sz w:val="24"/>
    </w:rPr>
  </w:style>
  <w:style w:type="table" w:customStyle="1" w:styleId="141">
    <w:name w:val="样式3"/>
    <w:basedOn w:val="32"/>
    <w:qFormat/>
    <w:uiPriority w:val="99"/>
    <w:rPr>
      <w:rFonts w:cs="Calibri"/>
      <w:sz w:val="22"/>
    </w:rPr>
    <w:tblPr>
      <w:tblBorders>
        <w:top w:val="single" w:color="auto" w:sz="12" w:space="0"/>
        <w:bottom w:val="single" w:color="auto" w:sz="12" w:space="0"/>
        <w:insideH w:val="single" w:color="auto" w:sz="4" w:space="0"/>
        <w:insideV w:val="single" w:color="auto" w:sz="4" w:space="0"/>
      </w:tblBorders>
      <w:tblCellMar>
        <w:left w:w="28" w:type="dxa"/>
        <w:right w:w="28" w:type="dxa"/>
      </w:tblCellMar>
    </w:tblPr>
    <w:tcPr>
      <w:vAlign w:val="center"/>
    </w:tcPr>
  </w:style>
  <w:style w:type="character" w:customStyle="1" w:styleId="142">
    <w:name w:val="bds_more"/>
    <w:qFormat/>
    <w:uiPriority w:val="0"/>
    <w:rPr>
      <w:rFonts w:hint="eastAsia" w:ascii="宋体" w:hAnsi="宋体" w:eastAsia="宋体" w:cs="宋体"/>
    </w:rPr>
  </w:style>
  <w:style w:type="character" w:customStyle="1" w:styleId="143">
    <w:name w:val="no42"/>
    <w:qFormat/>
    <w:uiPriority w:val="0"/>
    <w:rPr>
      <w:lang w:val="en-US" w:eastAsia="zh-CN" w:bidi="ar-SA"/>
    </w:rPr>
  </w:style>
  <w:style w:type="character" w:customStyle="1" w:styleId="144">
    <w:name w:val="ui-bz-bg-hover"/>
    <w:qFormat/>
    <w:uiPriority w:val="0"/>
    <w:rPr>
      <w:shd w:val="clear" w:color="auto" w:fill="000000"/>
    </w:rPr>
  </w:style>
  <w:style w:type="character" w:customStyle="1" w:styleId="145">
    <w:name w:val="表号 Char"/>
    <w:link w:val="146"/>
    <w:qFormat/>
    <w:uiPriority w:val="0"/>
    <w:rPr>
      <w:rFonts w:eastAsia="楷体_GB2312"/>
      <w:kern w:val="2"/>
      <w:szCs w:val="24"/>
    </w:rPr>
  </w:style>
  <w:style w:type="paragraph" w:customStyle="1" w:styleId="146">
    <w:name w:val="表号"/>
    <w:basedOn w:val="1"/>
    <w:link w:val="145"/>
    <w:qFormat/>
    <w:uiPriority w:val="0"/>
    <w:pPr>
      <w:snapToGrid w:val="0"/>
      <w:jc w:val="center"/>
    </w:pPr>
    <w:rPr>
      <w:rFonts w:eastAsia="楷体_GB2312"/>
      <w:sz w:val="20"/>
    </w:rPr>
  </w:style>
  <w:style w:type="character" w:customStyle="1" w:styleId="147">
    <w:name w:val="hover10"/>
    <w:qFormat/>
    <w:uiPriority w:val="0"/>
    <w:rPr>
      <w:b/>
      <w:color w:val="FFFFFF"/>
      <w:shd w:val="clear" w:color="auto" w:fill="3D9CCC"/>
    </w:rPr>
  </w:style>
  <w:style w:type="character" w:customStyle="1" w:styleId="148">
    <w:name w:val="no62"/>
    <w:qFormat/>
    <w:uiPriority w:val="0"/>
    <w:rPr>
      <w:lang w:val="en-US" w:eastAsia="zh-CN" w:bidi="ar-SA"/>
    </w:rPr>
  </w:style>
  <w:style w:type="character" w:customStyle="1" w:styleId="149">
    <w:name w:val="my-notice1"/>
    <w:qFormat/>
    <w:uiPriority w:val="0"/>
    <w:rPr>
      <w:lang w:val="en-US" w:eastAsia="zh-CN" w:bidi="ar-SA"/>
    </w:rPr>
  </w:style>
  <w:style w:type="character" w:customStyle="1" w:styleId="150">
    <w:name w:val="样式 宋体 三号 黑色"/>
    <w:qFormat/>
    <w:uiPriority w:val="0"/>
    <w:rPr>
      <w:rFonts w:ascii="黑体" w:hAnsi="黑体"/>
      <w:color w:val="000000"/>
      <w:sz w:val="28"/>
    </w:rPr>
  </w:style>
  <w:style w:type="character" w:customStyle="1" w:styleId="151">
    <w:name w:val="bds_nopic1"/>
    <w:uiPriority w:val="0"/>
    <w:rPr>
      <w:lang w:val="en-US" w:eastAsia="zh-CN" w:bidi="ar-SA"/>
    </w:rPr>
  </w:style>
  <w:style w:type="character" w:customStyle="1" w:styleId="152">
    <w:name w:val="bds_more1"/>
    <w:qFormat/>
    <w:uiPriority w:val="0"/>
    <w:rPr>
      <w:lang w:val="en-US" w:eastAsia="zh-CN" w:bidi="ar-SA"/>
    </w:rPr>
  </w:style>
  <w:style w:type="character" w:customStyle="1" w:styleId="153">
    <w:name w:val="bds_more3"/>
    <w:qFormat/>
    <w:uiPriority w:val="0"/>
    <w:rPr>
      <w:lang w:val="en-US" w:eastAsia="zh-CN" w:bidi="ar-SA"/>
    </w:rPr>
  </w:style>
  <w:style w:type="character" w:customStyle="1" w:styleId="154">
    <w:name w:val="报告 Char Char"/>
    <w:qFormat/>
    <w:uiPriority w:val="0"/>
    <w:rPr>
      <w:sz w:val="24"/>
    </w:rPr>
  </w:style>
  <w:style w:type="character" w:customStyle="1" w:styleId="155">
    <w:name w:val="no72"/>
    <w:uiPriority w:val="0"/>
    <w:rPr>
      <w:lang w:val="en-US" w:eastAsia="zh-CN" w:bidi="ar-SA"/>
    </w:rPr>
  </w:style>
  <w:style w:type="character" w:customStyle="1" w:styleId="156">
    <w:name w:val="my-notice"/>
    <w:uiPriority w:val="0"/>
    <w:rPr>
      <w:lang w:val="en-US" w:eastAsia="zh-CN" w:bidi="ar-SA"/>
    </w:rPr>
  </w:style>
  <w:style w:type="character" w:customStyle="1" w:styleId="157">
    <w:name w:val="orange"/>
    <w:uiPriority w:val="0"/>
    <w:rPr>
      <w:color w:val="3FB58F"/>
    </w:rPr>
  </w:style>
  <w:style w:type="character" w:customStyle="1" w:styleId="158">
    <w:name w:val="top-icon"/>
    <w:uiPriority w:val="0"/>
    <w:rPr>
      <w:lang w:val="en-US" w:eastAsia="zh-CN" w:bidi="ar-SA"/>
    </w:rPr>
  </w:style>
  <w:style w:type="character" w:customStyle="1" w:styleId="159">
    <w:name w:val="bds_nopic2"/>
    <w:uiPriority w:val="0"/>
    <w:rPr>
      <w:lang w:val="en-US" w:eastAsia="zh-CN" w:bidi="ar-SA"/>
    </w:rPr>
  </w:style>
  <w:style w:type="character" w:customStyle="1" w:styleId="160">
    <w:name w:val="tip"/>
    <w:uiPriority w:val="0"/>
    <w:rPr>
      <w:vanish/>
      <w:color w:val="FF0000"/>
      <w:sz w:val="18"/>
      <w:szCs w:val="18"/>
    </w:rPr>
  </w:style>
  <w:style w:type="character" w:customStyle="1" w:styleId="161">
    <w:name w:val="my-class"/>
    <w:uiPriority w:val="0"/>
    <w:rPr>
      <w:lang w:val="en-US" w:eastAsia="zh-CN" w:bidi="ar-SA"/>
    </w:rPr>
  </w:style>
  <w:style w:type="character" w:customStyle="1" w:styleId="162">
    <w:name w:val="ico-jiang3"/>
    <w:uiPriority w:val="0"/>
    <w:rPr>
      <w:lang w:val="en-US" w:eastAsia="zh-CN" w:bidi="ar-SA"/>
    </w:rPr>
  </w:style>
  <w:style w:type="character" w:customStyle="1" w:styleId="163">
    <w:name w:val="orange5"/>
    <w:uiPriority w:val="0"/>
    <w:rPr>
      <w:color w:val="3FB58F"/>
    </w:rPr>
  </w:style>
  <w:style w:type="character" w:customStyle="1" w:styleId="164">
    <w:name w:val="表格zh Char"/>
    <w:link w:val="165"/>
    <w:uiPriority w:val="0"/>
    <w:rPr>
      <w:rFonts w:eastAsia="Times New Roman"/>
      <w:kern w:val="2"/>
    </w:rPr>
  </w:style>
  <w:style w:type="paragraph" w:customStyle="1" w:styleId="165">
    <w:name w:val="表格zh"/>
    <w:basedOn w:val="1"/>
    <w:link w:val="164"/>
    <w:qFormat/>
    <w:uiPriority w:val="0"/>
    <w:pPr>
      <w:ind w:left="7" w:leftChars="3" w:firstLine="13"/>
      <w:jc w:val="left"/>
    </w:pPr>
    <w:rPr>
      <w:rFonts w:eastAsia="Times New Roman"/>
      <w:sz w:val="20"/>
      <w:szCs w:val="20"/>
    </w:rPr>
  </w:style>
  <w:style w:type="character" w:customStyle="1" w:styleId="166">
    <w:name w:val="引用 Char"/>
    <w:link w:val="167"/>
    <w:uiPriority w:val="29"/>
    <w:rPr>
      <w:iCs/>
      <w:color w:val="000000"/>
      <w:kern w:val="2"/>
      <w:szCs w:val="24"/>
    </w:rPr>
  </w:style>
  <w:style w:type="paragraph" w:customStyle="1" w:styleId="167">
    <w:name w:val="引用1"/>
    <w:basedOn w:val="1"/>
    <w:next w:val="1"/>
    <w:link w:val="166"/>
    <w:qFormat/>
    <w:uiPriority w:val="29"/>
    <w:pPr>
      <w:spacing w:line="360" w:lineRule="auto"/>
      <w:jc w:val="center"/>
    </w:pPr>
    <w:rPr>
      <w:iCs/>
      <w:color w:val="000000"/>
      <w:sz w:val="20"/>
    </w:rPr>
  </w:style>
  <w:style w:type="character" w:customStyle="1" w:styleId="168">
    <w:name w:val="表文 Char"/>
    <w:qFormat/>
    <w:uiPriority w:val="0"/>
    <w:rPr>
      <w:rFonts w:ascii="宋体" w:hAnsi="Courier New" w:eastAsia="宋体" w:cs="Courier New"/>
      <w:kern w:val="2"/>
      <w:sz w:val="30"/>
      <w:szCs w:val="21"/>
      <w:lang w:val="en-US" w:eastAsia="zh-CN" w:bidi="ar-SA"/>
    </w:rPr>
  </w:style>
  <w:style w:type="character" w:customStyle="1" w:styleId="169">
    <w:name w:val="org_name"/>
    <w:uiPriority w:val="0"/>
    <w:rPr>
      <w:lang w:val="en-US" w:eastAsia="zh-CN" w:bidi="ar-SA"/>
    </w:rPr>
  </w:style>
  <w:style w:type="character" w:customStyle="1" w:styleId="170">
    <w:name w:val="二级标题zh Char"/>
    <w:link w:val="171"/>
    <w:uiPriority w:val="0"/>
    <w:rPr>
      <w:b/>
      <w:bCs/>
      <w:kern w:val="2"/>
      <w:sz w:val="28"/>
      <w:szCs w:val="32"/>
    </w:rPr>
  </w:style>
  <w:style w:type="paragraph" w:customStyle="1" w:styleId="171">
    <w:name w:val="二级标题zh"/>
    <w:basedOn w:val="4"/>
    <w:link w:val="170"/>
    <w:qFormat/>
    <w:uiPriority w:val="0"/>
    <w:pPr>
      <w:adjustRightInd w:val="0"/>
      <w:snapToGrid w:val="0"/>
      <w:spacing w:before="0" w:beforeLines="50" w:after="0" w:afterLines="50" w:line="360" w:lineRule="auto"/>
    </w:pPr>
    <w:rPr>
      <w:rFonts w:ascii="Times New Roman" w:hAnsi="Times New Roman" w:eastAsia="宋体"/>
      <w:bCs/>
      <w:sz w:val="28"/>
      <w:szCs w:val="32"/>
    </w:rPr>
  </w:style>
  <w:style w:type="character" w:customStyle="1" w:styleId="172">
    <w:name w:val="del1"/>
    <w:uiPriority w:val="0"/>
    <w:rPr>
      <w:lang w:val="en-US" w:eastAsia="zh-CN" w:bidi="ar-SA"/>
    </w:rPr>
  </w:style>
  <w:style w:type="character" w:customStyle="1" w:styleId="173">
    <w:name w:val="正文-蓝色 Char"/>
    <w:link w:val="174"/>
    <w:locked/>
    <w:uiPriority w:val="0"/>
    <w:rPr>
      <w:rFonts w:cs="宋体"/>
      <w:color w:val="FF0000"/>
      <w:kern w:val="2"/>
      <w:sz w:val="24"/>
      <w:szCs w:val="28"/>
    </w:rPr>
  </w:style>
  <w:style w:type="paragraph" w:customStyle="1" w:styleId="174">
    <w:name w:val="正文-蓝色"/>
    <w:basedOn w:val="1"/>
    <w:link w:val="173"/>
    <w:qFormat/>
    <w:uiPriority w:val="0"/>
    <w:pPr>
      <w:spacing w:line="360" w:lineRule="auto"/>
      <w:ind w:firstLine="200" w:firstLineChars="200"/>
    </w:pPr>
    <w:rPr>
      <w:rFonts w:cs="宋体"/>
      <w:color w:val="FF0000"/>
      <w:sz w:val="24"/>
      <w:szCs w:val="28"/>
    </w:rPr>
  </w:style>
  <w:style w:type="character" w:customStyle="1" w:styleId="175">
    <w:name w:val="四级标题zh Char"/>
    <w:link w:val="176"/>
    <w:uiPriority w:val="0"/>
    <w:rPr>
      <w:sz w:val="24"/>
    </w:rPr>
  </w:style>
  <w:style w:type="paragraph" w:customStyle="1" w:styleId="176">
    <w:name w:val="四级标题zh"/>
    <w:basedOn w:val="6"/>
    <w:link w:val="175"/>
    <w:qFormat/>
    <w:uiPriority w:val="0"/>
    <w:pPr>
      <w:tabs>
        <w:tab w:val="left" w:pos="864"/>
      </w:tabs>
      <w:adjustRightInd w:val="0"/>
      <w:snapToGrid w:val="0"/>
      <w:spacing w:before="0" w:after="0" w:line="360" w:lineRule="auto"/>
      <w:ind w:left="862" w:hanging="862"/>
    </w:pPr>
    <w:rPr>
      <w:rFonts w:ascii="Times New Roman" w:hAnsi="Times New Roman"/>
      <w:b w:val="0"/>
      <w:bCs w:val="0"/>
      <w:kern w:val="0"/>
      <w:sz w:val="24"/>
      <w:szCs w:val="20"/>
    </w:rPr>
  </w:style>
  <w:style w:type="character" w:customStyle="1" w:styleId="177">
    <w:name w:val="tip10"/>
    <w:uiPriority w:val="0"/>
    <w:rPr>
      <w:vanish/>
      <w:color w:val="FF0000"/>
      <w:sz w:val="18"/>
      <w:szCs w:val="18"/>
    </w:rPr>
  </w:style>
  <w:style w:type="character" w:customStyle="1" w:styleId="178">
    <w:name w:val="三级标题zh Char"/>
    <w:link w:val="179"/>
    <w:uiPriority w:val="0"/>
    <w:rPr>
      <w:b/>
      <w:bCs/>
      <w:sz w:val="24"/>
      <w:szCs w:val="28"/>
    </w:rPr>
  </w:style>
  <w:style w:type="paragraph" w:customStyle="1" w:styleId="179">
    <w:name w:val="三级标题zh"/>
    <w:basedOn w:val="5"/>
    <w:link w:val="178"/>
    <w:qFormat/>
    <w:uiPriority w:val="0"/>
    <w:pPr>
      <w:keepNext/>
      <w:keepLines/>
      <w:autoSpaceDE/>
      <w:autoSpaceDN/>
      <w:adjustRightInd/>
      <w:spacing w:beforeLines="50" w:afterLines="50" w:line="360" w:lineRule="auto"/>
      <w:jc w:val="both"/>
    </w:pPr>
    <w:rPr>
      <w:rFonts w:ascii="Times New Roman"/>
      <w:b/>
      <w:bCs/>
      <w:szCs w:val="28"/>
    </w:rPr>
  </w:style>
  <w:style w:type="character" w:customStyle="1" w:styleId="180">
    <w:name w:val="style5"/>
    <w:uiPriority w:val="0"/>
    <w:rPr>
      <w:lang w:val="en-US" w:eastAsia="zh-CN" w:bidi="ar-SA"/>
    </w:rPr>
  </w:style>
  <w:style w:type="character" w:customStyle="1" w:styleId="181">
    <w:name w:val="偶的正文 Char Char Char Char Char"/>
    <w:link w:val="182"/>
    <w:uiPriority w:val="0"/>
    <w:rPr>
      <w:kern w:val="2"/>
      <w:sz w:val="24"/>
    </w:rPr>
  </w:style>
  <w:style w:type="paragraph" w:customStyle="1" w:styleId="182">
    <w:name w:val="偶的正文 Char Char Char Char"/>
    <w:basedOn w:val="30"/>
    <w:link w:val="181"/>
    <w:uiPriority w:val="0"/>
    <w:pPr>
      <w:spacing w:after="0" w:line="460" w:lineRule="exact"/>
      <w:ind w:firstLine="480" w:firstLineChars="200"/>
    </w:pPr>
    <w:rPr>
      <w:sz w:val="24"/>
      <w:szCs w:val="20"/>
    </w:rPr>
  </w:style>
  <w:style w:type="character" w:customStyle="1" w:styleId="183">
    <w:name w:val="current"/>
    <w:uiPriority w:val="0"/>
    <w:rPr>
      <w:b/>
      <w:color w:val="99210B"/>
    </w:rPr>
  </w:style>
  <w:style w:type="character" w:customStyle="1" w:styleId="184">
    <w:name w:val="报告书正文 Char Char"/>
    <w:link w:val="185"/>
    <w:uiPriority w:val="0"/>
    <w:rPr>
      <w:kern w:val="2"/>
      <w:sz w:val="24"/>
      <w:szCs w:val="24"/>
    </w:rPr>
  </w:style>
  <w:style w:type="paragraph" w:customStyle="1" w:styleId="185">
    <w:name w:val="报告书正文"/>
    <w:basedOn w:val="1"/>
    <w:link w:val="184"/>
    <w:uiPriority w:val="0"/>
    <w:pPr>
      <w:adjustRightInd w:val="0"/>
      <w:spacing w:line="360" w:lineRule="auto"/>
    </w:pPr>
    <w:rPr>
      <w:sz w:val="24"/>
    </w:rPr>
  </w:style>
  <w:style w:type="character" w:customStyle="1" w:styleId="186">
    <w:name w:val="AAA 正文 Char"/>
    <w:link w:val="187"/>
    <w:uiPriority w:val="0"/>
    <w:rPr>
      <w:rFonts w:ascii="宋体" w:hAnsi="宋体" w:cs="Dutch801 Rm BT"/>
      <w:kern w:val="2"/>
      <w:sz w:val="24"/>
      <w:szCs w:val="24"/>
    </w:rPr>
  </w:style>
  <w:style w:type="paragraph" w:customStyle="1" w:styleId="187">
    <w:name w:val="AAA 正文"/>
    <w:basedOn w:val="1"/>
    <w:link w:val="186"/>
    <w:uiPriority w:val="0"/>
    <w:pPr>
      <w:spacing w:line="360" w:lineRule="auto"/>
      <w:ind w:firstLine="480" w:firstLineChars="200"/>
    </w:pPr>
    <w:rPr>
      <w:rFonts w:ascii="宋体" w:hAnsi="宋体" w:cs="Dutch801 Rm BT"/>
      <w:sz w:val="24"/>
    </w:rPr>
  </w:style>
  <w:style w:type="character" w:customStyle="1" w:styleId="188">
    <w:name w:val="ico-jiang2"/>
    <w:uiPriority w:val="0"/>
    <w:rPr>
      <w:lang w:val="en-US" w:eastAsia="zh-CN" w:bidi="ar-SA"/>
    </w:rPr>
  </w:style>
  <w:style w:type="character" w:customStyle="1" w:styleId="189">
    <w:name w:val="no6"/>
    <w:uiPriority w:val="0"/>
    <w:rPr>
      <w:lang w:val="en-US" w:eastAsia="zh-CN" w:bidi="ar-SA"/>
    </w:rPr>
  </w:style>
  <w:style w:type="character" w:customStyle="1" w:styleId="190">
    <w:name w:val="del3"/>
    <w:uiPriority w:val="0"/>
    <w:rPr>
      <w:vanish/>
    </w:rPr>
  </w:style>
  <w:style w:type="character" w:customStyle="1" w:styleId="191">
    <w:name w:val="t-tag"/>
    <w:uiPriority w:val="0"/>
    <w:rPr>
      <w:color w:val="FFFFFF"/>
      <w:sz w:val="18"/>
      <w:szCs w:val="18"/>
      <w:shd w:val="clear" w:color="auto" w:fill="FE8833"/>
    </w:rPr>
  </w:style>
  <w:style w:type="character" w:customStyle="1" w:styleId="192">
    <w:name w:val="tip8"/>
    <w:uiPriority w:val="0"/>
    <w:rPr>
      <w:vanish/>
      <w:color w:val="FF0000"/>
      <w:sz w:val="18"/>
      <w:szCs w:val="18"/>
    </w:rPr>
  </w:style>
  <w:style w:type="character" w:customStyle="1" w:styleId="193">
    <w:name w:val="tip11"/>
    <w:uiPriority w:val="0"/>
    <w:rPr>
      <w:vanish/>
      <w:color w:val="FF0000"/>
      <w:sz w:val="18"/>
      <w:szCs w:val="18"/>
    </w:rPr>
  </w:style>
  <w:style w:type="character" w:customStyle="1" w:styleId="194">
    <w:name w:val="style31"/>
    <w:uiPriority w:val="0"/>
    <w:rPr>
      <w:sz w:val="33"/>
      <w:szCs w:val="33"/>
    </w:rPr>
  </w:style>
  <w:style w:type="character" w:customStyle="1" w:styleId="195">
    <w:name w:val="bz"/>
    <w:uiPriority w:val="0"/>
    <w:rPr>
      <w:lang w:val="en-US" w:eastAsia="zh-CN" w:bidi="ar-SA"/>
    </w:rPr>
  </w:style>
  <w:style w:type="character" w:customStyle="1" w:styleId="196">
    <w:name w:val="no7"/>
    <w:uiPriority w:val="0"/>
    <w:rPr>
      <w:lang w:val="en-US" w:eastAsia="zh-CN" w:bidi="ar-SA"/>
    </w:rPr>
  </w:style>
  <w:style w:type="character" w:customStyle="1" w:styleId="197">
    <w:name w:val="tip13"/>
    <w:uiPriority w:val="0"/>
    <w:rPr>
      <w:vanish/>
      <w:color w:val="FF0000"/>
      <w:sz w:val="18"/>
      <w:szCs w:val="18"/>
    </w:rPr>
  </w:style>
  <w:style w:type="character" w:customStyle="1" w:styleId="198">
    <w:name w:val="no4"/>
    <w:uiPriority w:val="0"/>
    <w:rPr>
      <w:lang w:val="en-US" w:eastAsia="zh-CN" w:bidi="ar-SA"/>
    </w:rPr>
  </w:style>
  <w:style w:type="character" w:customStyle="1" w:styleId="199">
    <w:name w:val="ui-bz-bg-hover1"/>
    <w:uiPriority w:val="0"/>
    <w:rPr>
      <w:lang w:val="en-US" w:eastAsia="zh-CN" w:bidi="ar-SA"/>
    </w:rPr>
  </w:style>
  <w:style w:type="character" w:customStyle="1" w:styleId="200">
    <w:name w:val="on"/>
    <w:uiPriority w:val="0"/>
    <w:rPr>
      <w:shd w:val="clear" w:color="auto" w:fill="FFFFFF"/>
    </w:rPr>
  </w:style>
  <w:style w:type="character" w:customStyle="1" w:styleId="201">
    <w:name w:val="f-star"/>
    <w:uiPriority w:val="0"/>
    <w:rPr>
      <w:color w:val="999999"/>
      <w:sz w:val="21"/>
      <w:szCs w:val="21"/>
    </w:rPr>
  </w:style>
  <w:style w:type="character" w:customStyle="1" w:styleId="202">
    <w:name w:val="hover"/>
    <w:uiPriority w:val="0"/>
    <w:rPr>
      <w:b/>
      <w:color w:val="FFFFFF"/>
      <w:shd w:val="clear" w:color="auto" w:fill="3D9CCC"/>
    </w:rPr>
  </w:style>
  <w:style w:type="character" w:customStyle="1" w:styleId="203">
    <w:name w:val="orange6"/>
    <w:uiPriority w:val="0"/>
    <w:rPr>
      <w:color w:val="3FB58F"/>
    </w:rPr>
  </w:style>
  <w:style w:type="character" w:customStyle="1" w:styleId="204">
    <w:name w:val="no5"/>
    <w:uiPriority w:val="0"/>
    <w:rPr>
      <w:lang w:val="en-US" w:eastAsia="zh-CN" w:bidi="ar-SA"/>
    </w:rPr>
  </w:style>
  <w:style w:type="character" w:customStyle="1" w:styleId="205">
    <w:name w:val="bds_nopic"/>
    <w:uiPriority w:val="0"/>
    <w:rPr>
      <w:lang w:val="en-US" w:eastAsia="zh-CN" w:bidi="ar-SA"/>
    </w:rPr>
  </w:style>
  <w:style w:type="character" w:customStyle="1" w:styleId="206">
    <w:name w:val="ico-jiang"/>
    <w:uiPriority w:val="0"/>
    <w:rPr>
      <w:lang w:val="en-US" w:eastAsia="zh-CN" w:bidi="ar-SA"/>
    </w:rPr>
  </w:style>
  <w:style w:type="character" w:customStyle="1" w:styleId="207">
    <w:name w:val="del"/>
    <w:uiPriority w:val="0"/>
    <w:rPr>
      <w:vanish/>
    </w:rPr>
  </w:style>
  <w:style w:type="character" w:customStyle="1" w:styleId="208">
    <w:name w:val="my-class2"/>
    <w:uiPriority w:val="0"/>
    <w:rPr>
      <w:lang w:val="en-US" w:eastAsia="zh-CN" w:bidi="ar-SA"/>
    </w:rPr>
  </w:style>
  <w:style w:type="character" w:customStyle="1" w:styleId="209">
    <w:name w:val="ico-jiang1"/>
    <w:uiPriority w:val="0"/>
    <w:rPr>
      <w:lang w:val="en-US" w:eastAsia="zh-CN" w:bidi="ar-SA"/>
    </w:rPr>
  </w:style>
  <w:style w:type="character" w:customStyle="1" w:styleId="210">
    <w:name w:val="正文文本缩进 Char"/>
    <w:link w:val="211"/>
    <w:uiPriority w:val="0"/>
    <w:rPr>
      <w:rFonts w:ascii="仿宋_GB2312" w:eastAsia="仿宋_GB2312"/>
    </w:rPr>
  </w:style>
  <w:style w:type="paragraph" w:customStyle="1" w:styleId="211">
    <w:name w:val="正文文本缩进1"/>
    <w:basedOn w:val="1"/>
    <w:link w:val="210"/>
    <w:uiPriority w:val="0"/>
    <w:pPr>
      <w:adjustRightInd w:val="0"/>
      <w:spacing w:before="120" w:line="360" w:lineRule="auto"/>
      <w:ind w:firstLine="425"/>
      <w:textAlignment w:val="baseline"/>
    </w:pPr>
    <w:rPr>
      <w:rFonts w:ascii="仿宋_GB2312" w:eastAsia="仿宋_GB2312"/>
      <w:kern w:val="0"/>
      <w:sz w:val="20"/>
      <w:szCs w:val="20"/>
    </w:rPr>
  </w:style>
  <w:style w:type="character" w:customStyle="1" w:styleId="212">
    <w:name w:val="org_name2"/>
    <w:uiPriority w:val="0"/>
    <w:rPr>
      <w:color w:val="FF0000"/>
      <w:sz w:val="21"/>
      <w:szCs w:val="21"/>
    </w:rPr>
  </w:style>
  <w:style w:type="character" w:customStyle="1" w:styleId="213">
    <w:name w:val="表格内容 Char"/>
    <w:link w:val="214"/>
    <w:locked/>
    <w:uiPriority w:val="0"/>
    <w:rPr>
      <w:kern w:val="21"/>
    </w:rPr>
  </w:style>
  <w:style w:type="paragraph" w:customStyle="1" w:styleId="214">
    <w:name w:val="表格内容"/>
    <w:link w:val="213"/>
    <w:qFormat/>
    <w:uiPriority w:val="0"/>
    <w:pPr>
      <w:jc w:val="center"/>
    </w:pPr>
    <w:rPr>
      <w:rFonts w:ascii="Times New Roman" w:hAnsi="Times New Roman" w:eastAsia="宋体" w:cs="Times New Roman"/>
      <w:kern w:val="21"/>
      <w:lang w:val="en-US" w:eastAsia="zh-CN" w:bidi="ar-SA"/>
    </w:rPr>
  </w:style>
  <w:style w:type="character" w:customStyle="1" w:styleId="215">
    <w:name w:val="apple-converted-space"/>
    <w:uiPriority w:val="0"/>
  </w:style>
  <w:style w:type="character" w:customStyle="1" w:styleId="216">
    <w:name w:val="bds_more2"/>
    <w:uiPriority w:val="0"/>
    <w:rPr>
      <w:rFonts w:hint="eastAsia" w:ascii="宋体" w:hAnsi="宋体" w:eastAsia="宋体" w:cs="宋体"/>
    </w:rPr>
  </w:style>
  <w:style w:type="character" w:customStyle="1" w:styleId="217">
    <w:name w:val="no52"/>
    <w:qFormat/>
    <w:uiPriority w:val="0"/>
    <w:rPr>
      <w:lang w:val="en-US" w:eastAsia="zh-CN" w:bidi="ar-SA"/>
    </w:rPr>
  </w:style>
  <w:style w:type="character" w:customStyle="1" w:styleId="218">
    <w:name w:val="fontstrikethrough"/>
    <w:qFormat/>
    <w:uiPriority w:val="0"/>
    <w:rPr>
      <w:strike/>
    </w:rPr>
  </w:style>
  <w:style w:type="character" w:customStyle="1" w:styleId="219">
    <w:name w:val="fontborder"/>
    <w:qFormat/>
    <w:uiPriority w:val="0"/>
    <w:rPr>
      <w:bdr w:val="single" w:color="000000" w:sz="6" w:space="0"/>
    </w:rPr>
  </w:style>
  <w:style w:type="character" w:customStyle="1" w:styleId="220">
    <w:name w:val="del2"/>
    <w:uiPriority w:val="0"/>
    <w:rPr>
      <w:vanish/>
      <w:color w:val="666666"/>
      <w:sz w:val="18"/>
      <w:szCs w:val="18"/>
      <w:u w:val="single"/>
    </w:rPr>
  </w:style>
  <w:style w:type="character" w:customStyle="1" w:styleId="221">
    <w:name w:val="bds_more4"/>
    <w:qFormat/>
    <w:uiPriority w:val="0"/>
    <w:rPr>
      <w:lang w:val="en-US" w:eastAsia="zh-CN" w:bidi="ar-SA"/>
    </w:rPr>
  </w:style>
  <w:style w:type="character" w:customStyle="1" w:styleId="222">
    <w:name w:val="hr6"/>
    <w:qFormat/>
    <w:uiPriority w:val="0"/>
    <w:rPr>
      <w:lang w:val="en-US" w:eastAsia="zh-CN" w:bidi="ar-SA"/>
    </w:rPr>
  </w:style>
  <w:style w:type="character" w:customStyle="1" w:styleId="223">
    <w:name w:val="tip12"/>
    <w:qFormat/>
    <w:uiPriority w:val="0"/>
    <w:rPr>
      <w:vanish/>
      <w:color w:val="FF0000"/>
      <w:sz w:val="18"/>
      <w:szCs w:val="18"/>
    </w:rPr>
  </w:style>
  <w:style w:type="paragraph" w:customStyle="1" w:styleId="224">
    <w:name w:val="正文新建"/>
    <w:basedOn w:val="2"/>
    <w:qFormat/>
    <w:uiPriority w:val="0"/>
    <w:pPr>
      <w:widowControl w:val="0"/>
      <w:snapToGrid/>
      <w:spacing w:before="0" w:after="0" w:line="560" w:lineRule="exact"/>
      <w:ind w:right="0" w:firstLine="200" w:firstLineChars="200"/>
    </w:pPr>
    <w:rPr>
      <w:kern w:val="2"/>
      <w:sz w:val="21"/>
      <w:szCs w:val="24"/>
    </w:rPr>
  </w:style>
  <w:style w:type="paragraph" w:customStyle="1" w:styleId="225">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 w:val="24"/>
      <w:szCs w:val="20"/>
    </w:rPr>
  </w:style>
  <w:style w:type="paragraph" w:customStyle="1" w:styleId="226">
    <w:name w:val="haydonli"/>
    <w:basedOn w:val="1"/>
    <w:uiPriority w:val="0"/>
    <w:pPr>
      <w:snapToGrid w:val="0"/>
      <w:spacing w:line="360" w:lineRule="auto"/>
      <w:ind w:firstLine="200" w:firstLineChars="200"/>
    </w:pPr>
    <w:rPr>
      <w:sz w:val="24"/>
    </w:rPr>
  </w:style>
  <w:style w:type="paragraph" w:customStyle="1" w:styleId="227">
    <w:name w:val="图表头"/>
    <w:basedOn w:val="1"/>
    <w:qFormat/>
    <w:uiPriority w:val="0"/>
    <w:pPr>
      <w:adjustRightInd w:val="0"/>
      <w:snapToGrid w:val="0"/>
      <w:jc w:val="center"/>
      <w:textAlignment w:val="baseline"/>
    </w:pPr>
    <w:rPr>
      <w:rFonts w:eastAsia="黑体"/>
      <w:bCs/>
      <w:kern w:val="0"/>
      <w:sz w:val="24"/>
    </w:rPr>
  </w:style>
  <w:style w:type="paragraph" w:customStyle="1" w:styleId="228">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229">
    <w:name w:val="表格文字1"/>
    <w:basedOn w:val="1"/>
    <w:qFormat/>
    <w:uiPriority w:val="0"/>
    <w:pPr>
      <w:adjustRightInd w:val="0"/>
      <w:spacing w:before="120" w:line="360" w:lineRule="auto"/>
      <w:ind w:left="113"/>
      <w:jc w:val="left"/>
      <w:textAlignment w:val="baseline"/>
    </w:pPr>
    <w:rPr>
      <w:rFonts w:ascii="宋体"/>
      <w:kern w:val="0"/>
      <w:sz w:val="24"/>
      <w:szCs w:val="20"/>
    </w:rPr>
  </w:style>
  <w:style w:type="paragraph" w:customStyle="1" w:styleId="230">
    <w:name w:val="Char"/>
    <w:basedOn w:val="1"/>
    <w:next w:val="1"/>
    <w:qFormat/>
    <w:uiPriority w:val="0"/>
    <w:pPr>
      <w:keepNext/>
      <w:keepLines/>
      <w:widowControl/>
      <w:adjustRightInd w:val="0"/>
      <w:spacing w:line="500" w:lineRule="exact"/>
      <w:ind w:firstLine="200" w:firstLineChars="200"/>
      <w:jc w:val="left"/>
      <w:textAlignment w:val="baseline"/>
    </w:pPr>
    <w:rPr>
      <w:rFonts w:ascii="宋体" w:hAnsi="宋体" w:cs="宋体"/>
      <w:b/>
      <w:bCs/>
      <w:kern w:val="0"/>
      <w:sz w:val="24"/>
      <w:szCs w:val="28"/>
    </w:rPr>
  </w:style>
  <w:style w:type="paragraph" w:customStyle="1" w:styleId="231">
    <w:name w:val="xl27"/>
    <w:basedOn w:val="1"/>
    <w:uiPriority w:val="0"/>
    <w:pPr>
      <w:widowControl/>
      <w:pBdr>
        <w:bottom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4"/>
      <w:szCs w:val="14"/>
    </w:rPr>
  </w:style>
  <w:style w:type="paragraph" w:customStyle="1" w:styleId="232">
    <w:name w:val="默认段落字体 Para Char Char Char Char"/>
    <w:basedOn w:val="1"/>
    <w:qFormat/>
    <w:uiPriority w:val="0"/>
  </w:style>
  <w:style w:type="paragraph" w:customStyle="1" w:styleId="233">
    <w:name w:val="xl54"/>
    <w:basedOn w:val="1"/>
    <w:qFormat/>
    <w:uiPriority w:val="0"/>
    <w:pPr>
      <w:widowControl/>
      <w:pBdr>
        <w:left w:val="single" w:color="auto" w:sz="4" w:space="0"/>
        <w:bottom w:val="single" w:color="auto" w:sz="4" w:space="0"/>
        <w:right w:val="single" w:color="auto" w:sz="4" w:space="0"/>
      </w:pBdr>
      <w:spacing w:before="100" w:after="100"/>
      <w:jc w:val="center"/>
      <w:textAlignment w:val="center"/>
    </w:pPr>
    <w:rPr>
      <w:rFonts w:eastAsia="Arial Unicode MS"/>
      <w:kern w:val="0"/>
      <w:sz w:val="24"/>
      <w:szCs w:val="20"/>
    </w:rPr>
  </w:style>
  <w:style w:type="paragraph" w:customStyle="1" w:styleId="234">
    <w:name w:val="8--"/>
    <w:basedOn w:val="1"/>
    <w:qFormat/>
    <w:uiPriority w:val="0"/>
    <w:pPr>
      <w:adjustRightInd w:val="0"/>
      <w:spacing w:line="360" w:lineRule="atLeast"/>
      <w:jc w:val="left"/>
      <w:textAlignment w:val="baseline"/>
    </w:pPr>
    <w:rPr>
      <w:kern w:val="0"/>
      <w:sz w:val="24"/>
      <w:szCs w:val="20"/>
    </w:rPr>
  </w:style>
  <w:style w:type="paragraph" w:customStyle="1" w:styleId="235">
    <w:name w:val="正文 + 宋体"/>
    <w:basedOn w:val="1"/>
    <w:uiPriority w:val="0"/>
    <w:pPr>
      <w:autoSpaceDE w:val="0"/>
      <w:autoSpaceDN w:val="0"/>
      <w:adjustRightInd w:val="0"/>
      <w:snapToGrid w:val="0"/>
      <w:spacing w:line="360" w:lineRule="auto"/>
      <w:ind w:left="239" w:firstLine="560" w:firstLineChars="200"/>
    </w:pPr>
    <w:rPr>
      <w:rFonts w:ascii="宋体" w:hAnsi="宋体" w:cs="宋体"/>
      <w:sz w:val="28"/>
      <w:szCs w:val="28"/>
      <w:lang w:val="zh-CN"/>
    </w:rPr>
  </w:style>
  <w:style w:type="paragraph" w:customStyle="1" w:styleId="236">
    <w:name w:val="TOC 标题1"/>
    <w:basedOn w:val="3"/>
    <w:next w:val="1"/>
    <w:qFormat/>
    <w:uiPriority w:val="39"/>
    <w:pPr>
      <w:keepLines/>
      <w:widowControl/>
      <w:overflowPunct/>
      <w:snapToGrid/>
      <w:spacing w:before="240" w:after="0"/>
      <w:ind w:left="0" w:firstLine="0"/>
      <w:jc w:val="left"/>
      <w:outlineLvl w:val="9"/>
    </w:pPr>
    <w:rPr>
      <w:rFonts w:ascii="Calibri Light" w:hAnsi="Calibri Light" w:eastAsia="宋体"/>
      <w:b w:val="0"/>
      <w:bCs w:val="0"/>
      <w:color w:val="2E74B5"/>
      <w:kern w:val="0"/>
      <w:sz w:val="32"/>
      <w:szCs w:val="32"/>
    </w:rPr>
  </w:style>
  <w:style w:type="paragraph" w:customStyle="1" w:styleId="237">
    <w:name w:val="正文001"/>
    <w:basedOn w:val="1"/>
    <w:qFormat/>
    <w:uiPriority w:val="0"/>
    <w:pPr>
      <w:spacing w:before="60" w:line="460" w:lineRule="exact"/>
      <w:ind w:firstLine="482"/>
    </w:pPr>
    <w:rPr>
      <w:sz w:val="24"/>
      <w:szCs w:val="20"/>
    </w:rPr>
  </w:style>
  <w:style w:type="paragraph" w:customStyle="1" w:styleId="238">
    <w:name w:val="xl24"/>
    <w:basedOn w:val="1"/>
    <w:uiPriority w:val="0"/>
    <w:pPr>
      <w:widowControl/>
      <w:spacing w:before="100" w:beforeAutospacing="1" w:after="100" w:afterAutospacing="1"/>
      <w:jc w:val="center"/>
    </w:pPr>
    <w:rPr>
      <w:rFonts w:eastAsia="Arial Unicode MS"/>
      <w:kern w:val="0"/>
      <w:szCs w:val="21"/>
    </w:rPr>
  </w:style>
  <w:style w:type="paragraph" w:customStyle="1" w:styleId="239">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240">
    <w:name w:val="简单回函地址"/>
    <w:basedOn w:val="1"/>
    <w:qFormat/>
    <w:uiPriority w:val="99"/>
    <w:rPr>
      <w:rFonts w:eastAsia="楷体_GB2312"/>
      <w:sz w:val="32"/>
      <w:szCs w:val="20"/>
    </w:rPr>
  </w:style>
  <w:style w:type="paragraph" w:customStyle="1" w:styleId="241">
    <w:name w:val="Char Char Char Char Char Char Char"/>
    <w:basedOn w:val="1"/>
    <w:uiPriority w:val="0"/>
    <w:pPr>
      <w:widowControl/>
      <w:spacing w:after="160" w:line="240" w:lineRule="exact"/>
      <w:jc w:val="left"/>
    </w:pPr>
    <w:rPr>
      <w:rFonts w:ascii="Verdana" w:hAnsi="Verdana"/>
      <w:kern w:val="0"/>
      <w:sz w:val="20"/>
      <w:szCs w:val="20"/>
      <w:lang w:eastAsia="en-US"/>
    </w:rPr>
  </w:style>
  <w:style w:type="paragraph" w:customStyle="1" w:styleId="242">
    <w:name w:val="1"/>
    <w:basedOn w:val="1"/>
    <w:next w:val="25"/>
    <w:qFormat/>
    <w:uiPriority w:val="0"/>
    <w:pPr>
      <w:spacing w:line="480" w:lineRule="exact"/>
      <w:ind w:right="36" w:rightChars="17" w:firstLine="480" w:firstLineChars="200"/>
    </w:pPr>
    <w:rPr>
      <w:color w:val="000000"/>
      <w:sz w:val="24"/>
    </w:rPr>
  </w:style>
  <w:style w:type="paragraph" w:customStyle="1" w:styleId="243">
    <w:name w:val="Char4 Char Char Char Char Char Char1"/>
    <w:basedOn w:val="1"/>
    <w:qFormat/>
    <w:uiPriority w:val="0"/>
    <w:pPr>
      <w:spacing w:line="360" w:lineRule="auto"/>
      <w:ind w:firstLine="200" w:firstLineChars="200"/>
    </w:pPr>
    <w:rPr>
      <w:rFonts w:ascii="宋体" w:hAnsi="宋体" w:cs="宋体"/>
      <w:sz w:val="24"/>
    </w:rPr>
  </w:style>
  <w:style w:type="paragraph" w:customStyle="1" w:styleId="244">
    <w:name w:val="Char4 Char Char Char Char Char Char12"/>
    <w:basedOn w:val="1"/>
    <w:uiPriority w:val="0"/>
    <w:pPr>
      <w:spacing w:line="360" w:lineRule="auto"/>
      <w:ind w:firstLine="200" w:firstLineChars="200"/>
    </w:pPr>
    <w:rPr>
      <w:rFonts w:ascii="宋体" w:hAnsi="宋体" w:cs="宋体"/>
      <w:sz w:val="24"/>
    </w:rPr>
  </w:style>
  <w:style w:type="paragraph" w:customStyle="1" w:styleId="245">
    <w:name w:val="Char2"/>
    <w:basedOn w:val="1"/>
    <w:next w:val="1"/>
    <w:qFormat/>
    <w:uiPriority w:val="0"/>
    <w:pPr>
      <w:keepNext/>
      <w:keepLines/>
      <w:widowControl/>
      <w:adjustRightInd w:val="0"/>
      <w:spacing w:line="500" w:lineRule="exact"/>
      <w:ind w:firstLine="200" w:firstLineChars="200"/>
      <w:jc w:val="left"/>
      <w:textAlignment w:val="baseline"/>
    </w:pPr>
    <w:rPr>
      <w:rFonts w:ascii="宋体" w:hAnsi="宋体" w:cs="宋体"/>
      <w:b/>
      <w:bCs/>
      <w:kern w:val="0"/>
      <w:sz w:val="24"/>
      <w:szCs w:val="28"/>
    </w:rPr>
  </w:style>
  <w:style w:type="paragraph" w:customStyle="1" w:styleId="246">
    <w:name w:val="小表文"/>
    <w:basedOn w:val="1"/>
    <w:uiPriority w:val="0"/>
    <w:pPr>
      <w:autoSpaceDE w:val="0"/>
      <w:autoSpaceDN w:val="0"/>
      <w:adjustRightInd w:val="0"/>
      <w:spacing w:before="20"/>
      <w:textAlignment w:val="baseline"/>
    </w:pPr>
    <w:rPr>
      <w:kern w:val="0"/>
      <w:sz w:val="18"/>
      <w:szCs w:val="20"/>
    </w:rPr>
  </w:style>
  <w:style w:type="paragraph" w:customStyle="1" w:styleId="247">
    <w:name w:val="_Style 6"/>
    <w:basedOn w:val="1"/>
    <w:uiPriority w:val="0"/>
    <w:rPr>
      <w:rFonts w:eastAsia="华文中宋"/>
      <w:kern w:val="0"/>
      <w:sz w:val="24"/>
      <w:szCs w:val="20"/>
    </w:rPr>
  </w:style>
  <w:style w:type="paragraph" w:customStyle="1" w:styleId="248">
    <w:name w:val="样式 报告表正文 + 首行缩进:  2 字符 行距: 1.5 倍行距"/>
    <w:basedOn w:val="1"/>
    <w:uiPriority w:val="0"/>
    <w:pPr>
      <w:adjustRightInd w:val="0"/>
      <w:spacing w:line="360" w:lineRule="auto"/>
      <w:ind w:left="113" w:right="113" w:firstLine="480" w:firstLineChars="200"/>
    </w:pPr>
    <w:rPr>
      <w:kern w:val="0"/>
      <w:sz w:val="24"/>
      <w:szCs w:val="20"/>
    </w:rPr>
  </w:style>
  <w:style w:type="paragraph" w:customStyle="1" w:styleId="249">
    <w:name w:val="正文1"/>
    <w:basedOn w:val="1"/>
    <w:qFormat/>
    <w:uiPriority w:val="0"/>
    <w:pPr>
      <w:spacing w:afterLines="30"/>
      <w:ind w:left="240" w:leftChars="100" w:firstLine="480" w:firstLineChars="200"/>
    </w:pPr>
    <w:rPr>
      <w:rFonts w:cs="宋体"/>
      <w:sz w:val="24"/>
      <w:szCs w:val="20"/>
    </w:rPr>
  </w:style>
  <w:style w:type="paragraph" w:customStyle="1" w:styleId="250">
    <w:name w:val="m2"/>
    <w:basedOn w:val="1"/>
    <w:qFormat/>
    <w:uiPriority w:val="0"/>
    <w:pPr>
      <w:widowControl/>
      <w:spacing w:before="100" w:beforeAutospacing="1" w:after="100" w:afterAutospacing="1" w:line="360" w:lineRule="atLeast"/>
      <w:jc w:val="left"/>
    </w:pPr>
    <w:rPr>
      <w:rFonts w:ascii="Arial Unicode MS" w:hAnsi="Arial Unicode MS" w:eastAsia="Arial Unicode MS"/>
      <w:color w:val="000000"/>
      <w:kern w:val="0"/>
      <w:sz w:val="20"/>
      <w:szCs w:val="20"/>
    </w:rPr>
  </w:style>
  <w:style w:type="paragraph" w:customStyle="1" w:styleId="251">
    <w:name w:val="纯文本1"/>
    <w:basedOn w:val="1"/>
    <w:qFormat/>
    <w:uiPriority w:val="0"/>
    <w:pPr>
      <w:snapToGrid w:val="0"/>
      <w:spacing w:line="360" w:lineRule="auto"/>
      <w:ind w:firstLine="500" w:firstLineChars="200"/>
    </w:pPr>
    <w:rPr>
      <w:rFonts w:ascii="宋体" w:hAnsi="Courier New"/>
      <w:sz w:val="25"/>
    </w:rPr>
  </w:style>
  <w:style w:type="paragraph" w:customStyle="1" w:styleId="252">
    <w:name w:val="m1"/>
    <w:basedOn w:val="1"/>
    <w:qFormat/>
    <w:uiPriority w:val="0"/>
    <w:pPr>
      <w:widowControl/>
      <w:spacing w:before="100" w:beforeAutospacing="1" w:after="100" w:afterAutospacing="1" w:line="300" w:lineRule="atLeast"/>
      <w:jc w:val="left"/>
    </w:pPr>
    <w:rPr>
      <w:rFonts w:ascii="Arial Unicode MS" w:hAnsi="Arial Unicode MS" w:eastAsia="Arial Unicode MS"/>
      <w:color w:val="000000"/>
      <w:kern w:val="0"/>
      <w:sz w:val="20"/>
      <w:szCs w:val="20"/>
    </w:rPr>
  </w:style>
  <w:style w:type="paragraph" w:customStyle="1" w:styleId="253">
    <w:name w:val="m"/>
    <w:basedOn w:val="1"/>
    <w:qFormat/>
    <w:uiPriority w:val="0"/>
    <w:pPr>
      <w:widowControl/>
      <w:spacing w:before="100" w:beforeAutospacing="1" w:after="100" w:afterAutospacing="1" w:line="240" w:lineRule="atLeast"/>
      <w:jc w:val="left"/>
    </w:pPr>
    <w:rPr>
      <w:rFonts w:ascii="Arial Unicode MS" w:hAnsi="Arial Unicode MS" w:eastAsia="Arial Unicode MS"/>
      <w:color w:val="000000"/>
      <w:kern w:val="0"/>
      <w:sz w:val="20"/>
      <w:szCs w:val="20"/>
    </w:rPr>
  </w:style>
  <w:style w:type="paragraph" w:customStyle="1" w:styleId="254">
    <w:name w:val="xyb自建正文"/>
    <w:basedOn w:val="1"/>
    <w:qFormat/>
    <w:uiPriority w:val="0"/>
    <w:pPr>
      <w:spacing w:line="360" w:lineRule="auto"/>
      <w:ind w:firstLine="470" w:firstLineChars="196"/>
      <w:textAlignment w:val="baseline"/>
    </w:pPr>
    <w:rPr>
      <w:snapToGrid w:val="0"/>
      <w:kern w:val="0"/>
      <w:sz w:val="24"/>
    </w:rPr>
  </w:style>
  <w:style w:type="paragraph" w:customStyle="1" w:styleId="255">
    <w:name w:val="正文-欣欣"/>
    <w:basedOn w:val="1"/>
    <w:next w:val="1"/>
    <w:qFormat/>
    <w:uiPriority w:val="0"/>
    <w:pPr>
      <w:spacing w:line="360" w:lineRule="auto"/>
      <w:ind w:firstLine="480" w:firstLineChars="200"/>
    </w:pPr>
    <w:rPr>
      <w:bCs/>
      <w:sz w:val="24"/>
    </w:rPr>
  </w:style>
  <w:style w:type="paragraph" w:customStyle="1" w:styleId="256">
    <w:name w:val="段落 Char"/>
    <w:basedOn w:val="1"/>
    <w:qFormat/>
    <w:uiPriority w:val="0"/>
    <w:pPr>
      <w:topLinePunct/>
      <w:snapToGrid w:val="0"/>
      <w:spacing w:line="360" w:lineRule="auto"/>
      <w:ind w:firstLine="200" w:firstLineChars="200"/>
    </w:pPr>
    <w:rPr>
      <w:sz w:val="24"/>
    </w:rPr>
  </w:style>
  <w:style w:type="character" w:customStyle="1" w:styleId="257">
    <w:name w:val="样式7 Char"/>
    <w:link w:val="258"/>
    <w:qFormat/>
    <w:locked/>
    <w:uiPriority w:val="0"/>
    <w:rPr>
      <w:rFonts w:hAnsi="宋体"/>
      <w:sz w:val="24"/>
    </w:rPr>
  </w:style>
  <w:style w:type="paragraph" w:customStyle="1" w:styleId="258">
    <w:name w:val="样式7"/>
    <w:basedOn w:val="1"/>
    <w:link w:val="257"/>
    <w:qFormat/>
    <w:uiPriority w:val="0"/>
    <w:pPr>
      <w:autoSpaceDE w:val="0"/>
      <w:autoSpaceDN w:val="0"/>
      <w:spacing w:line="360" w:lineRule="auto"/>
      <w:ind w:firstLine="480" w:firstLineChars="200"/>
    </w:pPr>
    <w:rPr>
      <w:rFonts w:hAnsi="宋体"/>
      <w:kern w:val="0"/>
      <w:sz w:val="24"/>
      <w:szCs w:val="20"/>
    </w:rPr>
  </w:style>
  <w:style w:type="paragraph" w:customStyle="1" w:styleId="259">
    <w:name w:val="河南正文"/>
    <w:basedOn w:val="1"/>
    <w:qFormat/>
    <w:uiPriority w:val="0"/>
    <w:pPr>
      <w:spacing w:line="520" w:lineRule="exact"/>
      <w:ind w:firstLine="200" w:firstLineChars="200"/>
    </w:pPr>
    <w:rPr>
      <w:sz w:val="24"/>
      <w:szCs w:val="22"/>
    </w:rPr>
  </w:style>
  <w:style w:type="character" w:customStyle="1" w:styleId="260">
    <w:name w:val="标题 3 Char"/>
    <w:qFormat/>
    <w:uiPriority w:val="99"/>
    <w:rPr>
      <w:rFonts w:ascii="宋体"/>
      <w:sz w:val="24"/>
      <w:szCs w:val="24"/>
    </w:rPr>
  </w:style>
  <w:style w:type="paragraph" w:customStyle="1" w:styleId="261">
    <w:name w:val="表格5号字"/>
    <w:qFormat/>
    <w:uiPriority w:val="0"/>
    <w:pPr>
      <w:jc w:val="center"/>
    </w:pPr>
    <w:rPr>
      <w:rFonts w:ascii="Times New Roman" w:hAnsi="Times New Roman" w:eastAsia="仿宋" w:cs="Times New Roman"/>
      <w:kern w:val="2"/>
      <w:sz w:val="21"/>
      <w:szCs w:val="21"/>
      <w:lang w:val="en-US" w:eastAsia="zh-CN" w:bidi="ar-SA"/>
    </w:rPr>
  </w:style>
  <w:style w:type="character" w:customStyle="1" w:styleId="262">
    <w:name w:val="正文缩进 Char"/>
    <w:qFormat/>
    <w:uiPriority w:val="0"/>
    <w:rPr>
      <w:rFonts w:eastAsia="宋体"/>
      <w:kern w:val="2"/>
      <w:sz w:val="21"/>
      <w:lang w:val="en-US" w:eastAsia="zh-CN" w:bidi="ar-SA"/>
    </w:rPr>
  </w:style>
  <w:style w:type="character" w:customStyle="1" w:styleId="263">
    <w:name w:val="批注文字 Char"/>
    <w:qFormat/>
    <w:uiPriority w:val="0"/>
    <w:rPr>
      <w:kern w:val="2"/>
      <w:sz w:val="21"/>
      <w:szCs w:val="24"/>
    </w:rPr>
  </w:style>
  <w:style w:type="character" w:customStyle="1" w:styleId="264">
    <w:name w:val="纯文本 Char"/>
    <w:qFormat/>
    <w:uiPriority w:val="0"/>
    <w:rPr>
      <w:rFonts w:ascii="宋体" w:hAnsi="Courier New" w:eastAsia="宋体"/>
      <w:kern w:val="2"/>
      <w:sz w:val="21"/>
      <w:lang w:val="en-US" w:eastAsia="zh-CN" w:bidi="ar-SA"/>
    </w:rPr>
  </w:style>
  <w:style w:type="paragraph" w:customStyle="1" w:styleId="265">
    <w:name w:val="2"/>
    <w:basedOn w:val="1"/>
    <w:next w:val="1"/>
    <w:qFormat/>
    <w:uiPriority w:val="39"/>
    <w:pPr>
      <w:ind w:left="840" w:leftChars="400"/>
    </w:pPr>
  </w:style>
  <w:style w:type="paragraph" w:customStyle="1" w:styleId="266">
    <w:name w:val="Char4 Char Char Char Char Char Char11"/>
    <w:basedOn w:val="1"/>
    <w:qFormat/>
    <w:uiPriority w:val="0"/>
    <w:pPr>
      <w:spacing w:line="360" w:lineRule="auto"/>
      <w:ind w:firstLine="200" w:firstLineChars="200"/>
    </w:pPr>
    <w:rPr>
      <w:rFonts w:ascii="宋体" w:hAnsi="宋体" w:cs="宋体"/>
      <w:sz w:val="24"/>
    </w:rPr>
  </w:style>
  <w:style w:type="paragraph" w:customStyle="1" w:styleId="267">
    <w:name w:val="Char1"/>
    <w:basedOn w:val="1"/>
    <w:next w:val="1"/>
    <w:qFormat/>
    <w:uiPriority w:val="0"/>
    <w:pPr>
      <w:keepNext/>
      <w:keepLines/>
      <w:widowControl/>
      <w:adjustRightInd w:val="0"/>
      <w:spacing w:line="500" w:lineRule="exact"/>
      <w:ind w:firstLine="200" w:firstLineChars="200"/>
      <w:jc w:val="left"/>
      <w:textAlignment w:val="baseline"/>
    </w:pPr>
    <w:rPr>
      <w:rFonts w:ascii="宋体" w:hAnsi="宋体" w:cs="宋体"/>
      <w:b/>
      <w:bCs/>
      <w:kern w:val="0"/>
      <w:sz w:val="24"/>
      <w:szCs w:val="28"/>
    </w:rPr>
  </w:style>
  <w:style w:type="character" w:customStyle="1" w:styleId="268">
    <w:name w:val="标题 1 Char"/>
    <w:qFormat/>
    <w:uiPriority w:val="0"/>
    <w:rPr>
      <w:b/>
      <w:bCs/>
      <w:kern w:val="44"/>
      <w:sz w:val="44"/>
      <w:szCs w:val="44"/>
    </w:rPr>
  </w:style>
  <w:style w:type="paragraph" w:customStyle="1" w:styleId="269">
    <w:name w:val="框图（五号）"/>
    <w:basedOn w:val="1"/>
    <w:qFormat/>
    <w:uiPriority w:val="0"/>
    <w:pPr>
      <w:spacing w:line="240" w:lineRule="exact"/>
      <w:jc w:val="center"/>
    </w:pPr>
  </w:style>
  <w:style w:type="paragraph" w:customStyle="1" w:styleId="270">
    <w:name w:val="表内容"/>
    <w:basedOn w:val="1"/>
    <w:qFormat/>
    <w:uiPriority w:val="0"/>
    <w:pPr>
      <w:spacing w:line="260" w:lineRule="exact"/>
      <w:jc w:val="center"/>
    </w:pPr>
    <w:rPr>
      <w:rFonts w:hint="eastAsia" w:ascii="Malgun Gothic" w:hAnsi="Malgun Gothic"/>
      <w:color w:val="000000"/>
      <w:sz w:val="20"/>
      <w:szCs w:val="22"/>
    </w:rPr>
  </w:style>
  <w:style w:type="paragraph" w:customStyle="1" w:styleId="271">
    <w:name w:val="正文01"/>
    <w:basedOn w:val="1"/>
    <w:qFormat/>
    <w:uiPriority w:val="0"/>
    <w:pPr>
      <w:spacing w:line="360" w:lineRule="auto"/>
      <w:ind w:firstLine="482"/>
    </w:pPr>
    <w:rPr>
      <w:sz w:val="24"/>
      <w:szCs w:val="20"/>
    </w:rPr>
  </w:style>
  <w:style w:type="paragraph" w:customStyle="1" w:styleId="272">
    <w:name w:val="表格标题"/>
    <w:link w:val="273"/>
    <w:qFormat/>
    <w:uiPriority w:val="0"/>
    <w:pPr>
      <w:tabs>
        <w:tab w:val="right" w:leader="dot" w:pos="8296"/>
      </w:tabs>
      <w:spacing w:before="50" w:beforeLines="50" w:after="50" w:afterLines="50"/>
      <w:jc w:val="center"/>
    </w:pPr>
    <w:rPr>
      <w:rFonts w:ascii="Times New Roman" w:hAnsi="Times New Roman" w:eastAsia="宋体" w:cs="Times New Roman"/>
      <w:b/>
      <w:kern w:val="2"/>
      <w:sz w:val="24"/>
      <w:szCs w:val="24"/>
      <w:lang w:val="en-US" w:eastAsia="zh-CN" w:bidi="ar-SA"/>
    </w:rPr>
  </w:style>
  <w:style w:type="character" w:customStyle="1" w:styleId="273">
    <w:name w:val="表格标题 Char"/>
    <w:link w:val="272"/>
    <w:qFormat/>
    <w:uiPriority w:val="0"/>
    <w:rPr>
      <w:b/>
      <w:kern w:val="2"/>
      <w:sz w:val="24"/>
      <w:szCs w:val="24"/>
    </w:rPr>
  </w:style>
  <w:style w:type="paragraph" w:customStyle="1" w:styleId="274">
    <w:name w:val="表格的字"/>
    <w:basedOn w:val="1"/>
    <w:link w:val="275"/>
    <w:qFormat/>
    <w:uiPriority w:val="0"/>
    <w:pPr>
      <w:jc w:val="center"/>
    </w:pPr>
  </w:style>
  <w:style w:type="character" w:customStyle="1" w:styleId="275">
    <w:name w:val="表格的字 Char"/>
    <w:link w:val="274"/>
    <w:qFormat/>
    <w:uiPriority w:val="0"/>
    <w:rPr>
      <w:kern w:val="2"/>
      <w:sz w:val="21"/>
      <w:szCs w:val="24"/>
    </w:rPr>
  </w:style>
  <w:style w:type="character" w:customStyle="1" w:styleId="276">
    <w:name w:val="+++ 表头 Char"/>
    <w:link w:val="277"/>
    <w:qFormat/>
    <w:locked/>
    <w:uiPriority w:val="0"/>
    <w:rPr>
      <w:rFonts w:ascii="宋体" w:hAnsi="宋体" w:cs="宋体"/>
      <w:b/>
      <w:bCs/>
      <w:color w:val="99CC00"/>
      <w:sz w:val="24"/>
      <w:szCs w:val="24"/>
    </w:rPr>
  </w:style>
  <w:style w:type="paragraph" w:customStyle="1" w:styleId="277">
    <w:name w:val="+++ 表头"/>
    <w:basedOn w:val="1"/>
    <w:link w:val="276"/>
    <w:qFormat/>
    <w:uiPriority w:val="0"/>
    <w:pPr>
      <w:spacing w:line="360" w:lineRule="auto"/>
      <w:jc w:val="center"/>
    </w:pPr>
    <w:rPr>
      <w:rFonts w:ascii="宋体" w:hAnsi="宋体" w:cs="宋体"/>
      <w:b/>
      <w:bCs/>
      <w:color w:val="99CC00"/>
      <w:kern w:val="0"/>
      <w:sz w:val="24"/>
    </w:rPr>
  </w:style>
  <w:style w:type="paragraph" w:customStyle="1" w:styleId="278">
    <w:name w:val="报告正文"/>
    <w:basedOn w:val="1"/>
    <w:link w:val="279"/>
    <w:qFormat/>
    <w:uiPriority w:val="0"/>
    <w:pPr>
      <w:overflowPunct w:val="0"/>
      <w:autoSpaceDE w:val="0"/>
      <w:autoSpaceDN w:val="0"/>
      <w:adjustRightInd w:val="0"/>
      <w:spacing w:line="360" w:lineRule="auto"/>
      <w:ind w:firstLine="200" w:firstLineChars="200"/>
      <w:textAlignment w:val="baseline"/>
    </w:pPr>
    <w:rPr>
      <w:kern w:val="0"/>
      <w:sz w:val="24"/>
      <w:szCs w:val="22"/>
    </w:rPr>
  </w:style>
  <w:style w:type="character" w:customStyle="1" w:styleId="279">
    <w:name w:val="报告正文 Char1"/>
    <w:link w:val="278"/>
    <w:qFormat/>
    <w:uiPriority w:val="0"/>
    <w:rPr>
      <w:sz w:val="24"/>
      <w:szCs w:val="22"/>
    </w:rPr>
  </w:style>
  <w:style w:type="table" w:customStyle="1" w:styleId="280">
    <w:name w:val="网格型1"/>
    <w:basedOn w:val="32"/>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81">
    <w:name w:val="8"/>
    <w:basedOn w:val="1"/>
    <w:next w:val="1"/>
    <w:qFormat/>
    <w:uiPriority w:val="0"/>
    <w:pPr>
      <w:adjustRightInd w:val="0"/>
      <w:spacing w:before="60"/>
      <w:ind w:firstLine="480"/>
      <w:textAlignment w:val="baseline"/>
    </w:pPr>
    <w:rPr>
      <w:color w:val="FF0000"/>
      <w:sz w:val="24"/>
      <w:szCs w:val="20"/>
    </w:rPr>
  </w:style>
  <w:style w:type="paragraph" w:customStyle="1" w:styleId="282">
    <w:name w:val="图表居中"/>
    <w:basedOn w:val="1"/>
    <w:link w:val="283"/>
    <w:qFormat/>
    <w:uiPriority w:val="0"/>
    <w:pPr>
      <w:jc w:val="center"/>
    </w:pPr>
    <w:rPr>
      <w:rFonts w:ascii="仿宋" w:hAnsi="仿宋" w:eastAsia="仿宋"/>
      <w:kern w:val="0"/>
      <w:sz w:val="24"/>
      <w:szCs w:val="30"/>
      <w:lang w:val="zh-CN"/>
    </w:rPr>
  </w:style>
  <w:style w:type="character" w:customStyle="1" w:styleId="283">
    <w:name w:val="图表居中 Char"/>
    <w:link w:val="282"/>
    <w:qFormat/>
    <w:uiPriority w:val="0"/>
    <w:rPr>
      <w:rFonts w:ascii="仿宋" w:hAnsi="仿宋" w:eastAsia="仿宋"/>
      <w:sz w:val="24"/>
      <w:szCs w:val="30"/>
      <w:lang w:val="zh-CN"/>
    </w:rPr>
  </w:style>
  <w:style w:type="character" w:customStyle="1" w:styleId="284">
    <w:name w:val="纯文本 字符1"/>
    <w:qFormat/>
    <w:uiPriority w:val="0"/>
    <w:rPr>
      <w:rFonts w:ascii="宋体" w:hAnsi="Courier New"/>
      <w:kern w:val="2"/>
      <w:sz w:val="21"/>
    </w:rPr>
  </w:style>
  <w:style w:type="paragraph" w:customStyle="1" w:styleId="285">
    <w:name w:val="正文-204"/>
    <w:basedOn w:val="1"/>
    <w:qFormat/>
    <w:uiPriority w:val="0"/>
    <w:pPr>
      <w:spacing w:line="360" w:lineRule="auto"/>
      <w:ind w:firstLine="480" w:firstLineChars="200"/>
      <w:contextualSpacing/>
    </w:pPr>
    <w:rPr>
      <w:sz w:val="24"/>
    </w:rPr>
  </w:style>
  <w:style w:type="paragraph" w:customStyle="1" w:styleId="286">
    <w:name w:val="无间隔4"/>
    <w:qFormat/>
    <w:uiPriority w:val="0"/>
    <w:pPr>
      <w:widowControl w:val="0"/>
      <w:spacing w:line="290" w:lineRule="exact"/>
      <w:jc w:val="center"/>
    </w:pPr>
    <w:rPr>
      <w:rFonts w:ascii="Times New Roman" w:hAnsi="Times New Roman" w:eastAsia="宋体" w:cs="Times New Roman"/>
      <w:kern w:val="2"/>
      <w:sz w:val="18"/>
      <w:szCs w:val="22"/>
      <w:lang w:val="en-US" w:eastAsia="zh-CN" w:bidi="ar-SA"/>
    </w:rPr>
  </w:style>
  <w:style w:type="paragraph" w:customStyle="1" w:styleId="287">
    <w:name w:val="RH-2表标题"/>
    <w:basedOn w:val="1"/>
    <w:link w:val="288"/>
    <w:qFormat/>
    <w:uiPriority w:val="0"/>
    <w:pPr>
      <w:spacing w:line="480" w:lineRule="exact"/>
      <w:ind w:firstLine="200" w:firstLineChars="200"/>
    </w:pPr>
    <w:rPr>
      <w:rFonts w:eastAsia="黑体"/>
      <w:color w:val="000000"/>
      <w:sz w:val="24"/>
    </w:rPr>
  </w:style>
  <w:style w:type="character" w:customStyle="1" w:styleId="288">
    <w:name w:val="RH-2表标题 Char"/>
    <w:link w:val="287"/>
    <w:qFormat/>
    <w:uiPriority w:val="0"/>
    <w:rPr>
      <w:rFonts w:eastAsia="黑体"/>
      <w:color w:val="000000"/>
      <w:kern w:val="2"/>
      <w:sz w:val="24"/>
      <w:szCs w:val="24"/>
    </w:rPr>
  </w:style>
  <w:style w:type="paragraph" w:customStyle="1" w:styleId="289">
    <w:name w:val="RH表正文"/>
    <w:basedOn w:val="1"/>
    <w:link w:val="290"/>
    <w:qFormat/>
    <w:uiPriority w:val="0"/>
    <w:pPr>
      <w:spacing w:line="240" w:lineRule="exact"/>
      <w:jc w:val="center"/>
    </w:pPr>
    <w:rPr>
      <w:color w:val="000000"/>
      <w:szCs w:val="21"/>
    </w:rPr>
  </w:style>
  <w:style w:type="character" w:customStyle="1" w:styleId="290">
    <w:name w:val="RH表正文 字符"/>
    <w:link w:val="289"/>
    <w:qFormat/>
    <w:uiPriority w:val="0"/>
    <w:rPr>
      <w:color w:val="000000"/>
      <w:kern w:val="2"/>
      <w:sz w:val="21"/>
      <w:szCs w:val="21"/>
    </w:rPr>
  </w:style>
  <w:style w:type="paragraph" w:customStyle="1" w:styleId="291">
    <w:name w:val="正本文字"/>
    <w:basedOn w:val="1"/>
    <w:qFormat/>
    <w:uiPriority w:val="0"/>
    <w:pPr>
      <w:snapToGrid w:val="0"/>
      <w:spacing w:line="460" w:lineRule="exact"/>
      <w:ind w:firstLine="200" w:firstLineChars="200"/>
    </w:pPr>
    <w:rPr>
      <w:kern w:val="0"/>
      <w:sz w:val="26"/>
      <w:szCs w:val="26"/>
    </w:rPr>
  </w:style>
  <w:style w:type="character" w:customStyle="1" w:styleId="292">
    <w:name w:val="无间隔 字符"/>
    <w:link w:val="293"/>
    <w:qFormat/>
    <w:uiPriority w:val="0"/>
    <w:rPr>
      <w:kern w:val="2"/>
      <w:sz w:val="21"/>
      <w:szCs w:val="28"/>
    </w:rPr>
  </w:style>
  <w:style w:type="paragraph" w:styleId="293">
    <w:name w:val="No Spacing"/>
    <w:link w:val="292"/>
    <w:qFormat/>
    <w:uiPriority w:val="0"/>
    <w:pPr>
      <w:widowControl w:val="0"/>
      <w:adjustRightInd w:val="0"/>
      <w:spacing w:line="500" w:lineRule="exact"/>
      <w:jc w:val="center"/>
    </w:pPr>
    <w:rPr>
      <w:rFonts w:ascii="Times New Roman" w:hAnsi="Times New Roman" w:eastAsia="宋体" w:cs="Times New Roman"/>
      <w:kern w:val="2"/>
      <w:sz w:val="21"/>
      <w:szCs w:val="28"/>
      <w:lang w:val="en-US" w:eastAsia="zh-CN" w:bidi="ar-SA"/>
    </w:rPr>
  </w:style>
  <w:style w:type="character" w:customStyle="1" w:styleId="294">
    <w:name w:val="表格内容 字符"/>
    <w:qFormat/>
    <w:uiPriority w:val="0"/>
    <w:rPr>
      <w:rFonts w:cs="宋体"/>
      <w:sz w:val="18"/>
      <w:szCs w:val="18"/>
    </w:rPr>
  </w:style>
  <w:style w:type="paragraph" w:customStyle="1" w:styleId="295">
    <w:name w:val="表格内容小五"/>
    <w:basedOn w:val="1"/>
    <w:link w:val="296"/>
    <w:qFormat/>
    <w:uiPriority w:val="0"/>
    <w:pPr>
      <w:adjustRightInd w:val="0"/>
      <w:snapToGrid w:val="0"/>
      <w:jc w:val="center"/>
    </w:pPr>
    <w:rPr>
      <w:rFonts w:cs="宋体"/>
      <w:kern w:val="0"/>
      <w:sz w:val="18"/>
      <w:szCs w:val="18"/>
      <w:lang w:eastAsia="en-US"/>
    </w:rPr>
  </w:style>
  <w:style w:type="character" w:customStyle="1" w:styleId="296">
    <w:name w:val="表格内容小五 Char"/>
    <w:link w:val="295"/>
    <w:qFormat/>
    <w:uiPriority w:val="0"/>
    <w:rPr>
      <w:rFonts w:cs="宋体"/>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5.png"/><Relationship Id="rId36" Type="http://schemas.openxmlformats.org/officeDocument/2006/relationships/image" Target="media/image24.wmf"/><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jpeg"/><Relationship Id="rId31" Type="http://schemas.openxmlformats.org/officeDocument/2006/relationships/image" Target="media/image19.png"/><Relationship Id="rId30" Type="http://schemas.openxmlformats.org/officeDocument/2006/relationships/image" Target="media/image18.jpeg"/><Relationship Id="rId3" Type="http://schemas.openxmlformats.org/officeDocument/2006/relationships/footer" Target="foot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wmf"/><Relationship Id="rId26" Type="http://schemas.openxmlformats.org/officeDocument/2006/relationships/oleObject" Target="embeddings/oleObject5.bin"/><Relationship Id="rId25" Type="http://schemas.openxmlformats.org/officeDocument/2006/relationships/image" Target="media/image14.wmf"/><Relationship Id="rId24" Type="http://schemas.openxmlformats.org/officeDocument/2006/relationships/oleObject" Target="embeddings/oleObject4.bin"/><Relationship Id="rId23" Type="http://schemas.openxmlformats.org/officeDocument/2006/relationships/image" Target="media/image13.wmf"/><Relationship Id="rId22" Type="http://schemas.openxmlformats.org/officeDocument/2006/relationships/oleObject" Target="embeddings/oleObject3.bin"/><Relationship Id="rId21" Type="http://schemas.openxmlformats.org/officeDocument/2006/relationships/image" Target="media/image12.png"/><Relationship Id="rId20" Type="http://schemas.openxmlformats.org/officeDocument/2006/relationships/image" Target="media/image11.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emf"/><Relationship Id="rId11" Type="http://schemas.openxmlformats.org/officeDocument/2006/relationships/oleObject" Target="embeddings/oleObject1.bin"/><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112</Pages>
  <Words>12075</Words>
  <Characters>68828</Characters>
  <Lines>573</Lines>
  <Paragraphs>161</Paragraphs>
  <TotalTime>23</TotalTime>
  <ScaleCrop>false</ScaleCrop>
  <LinksUpToDate>false</LinksUpToDate>
  <CharactersWithSpaces>80742</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2023-08-02T09:09:00Z</dcterms:created>
  <dc:creator>lhj</dc:creator>
  <cp:lastModifiedBy>idiot</cp:lastModifiedBy>
  <cp:lastPrinted>2022-10-27T01:47:00Z</cp:lastPrinted>
  <dcterms:modified xsi:type="dcterms:W3CDTF">2023-08-10T02:34:40Z</dcterms:modified>
  <dc:title>附件2</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44BDFC93B2B94288AFEBBF22D79263E1_13</vt:lpwstr>
  </property>
</Properties>
</file>